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11DF" w14:textId="77777777" w:rsidR="00380F04" w:rsidRPr="00CF571C" w:rsidRDefault="00CA6128" w:rsidP="006130E6">
      <w:pPr>
        <w:adjustRightInd w:val="0"/>
        <w:snapToGrid w:val="0"/>
        <w:spacing w:beforeLines="100" w:before="312" w:afterLines="100" w:after="312"/>
        <w:jc w:val="center"/>
        <w:rPr>
          <w:rFonts w:ascii="楷体" w:eastAsia="楷体" w:hAnsi="楷体" w:cs="Times New Roman"/>
          <w:vanish/>
          <w:color w:val="000000" w:themeColor="text1"/>
          <w:sz w:val="44"/>
          <w:szCs w:val="44"/>
        </w:rPr>
      </w:pPr>
      <w:r w:rsidRPr="00CF571C">
        <w:rPr>
          <w:rFonts w:ascii="黑体" w:eastAsia="黑体" w:hAnsi="黑体" w:cs="Times New Roman"/>
          <w:color w:val="000000" w:themeColor="text1"/>
          <w:sz w:val="44"/>
          <w:szCs w:val="44"/>
        </w:rPr>
        <w:t>我国地方政府民生性预算支出结构差异的制度因素</w:t>
      </w:r>
      <w:r w:rsidR="00BC2BC4" w:rsidRPr="00CF571C">
        <w:rPr>
          <w:rStyle w:val="ac"/>
          <w:rFonts w:ascii="黑体" w:eastAsia="黑体" w:hAnsi="黑体" w:cs="Times New Roman"/>
          <w:color w:val="000000" w:themeColor="text1"/>
          <w:sz w:val="44"/>
          <w:szCs w:val="44"/>
        </w:rPr>
        <w:footnoteReference w:id="1"/>
      </w:r>
    </w:p>
    <w:p w14:paraId="01CA644B" w14:textId="77777777" w:rsidR="00483DA6" w:rsidRPr="00CF571C" w:rsidRDefault="00483DA6" w:rsidP="006130E6">
      <w:pPr>
        <w:adjustRightInd w:val="0"/>
        <w:snapToGrid w:val="0"/>
        <w:spacing w:beforeLines="100" w:before="312" w:afterLines="100" w:after="312"/>
        <w:jc w:val="center"/>
        <w:rPr>
          <w:rFonts w:ascii="楷体" w:eastAsia="楷体" w:hAnsi="楷体" w:cs="Times New Roman"/>
          <w:color w:val="000000" w:themeColor="text1"/>
          <w:sz w:val="44"/>
          <w:szCs w:val="44"/>
        </w:rPr>
      </w:pPr>
      <w:r w:rsidRPr="00CF571C">
        <w:rPr>
          <w:rFonts w:ascii="楷体" w:eastAsia="楷体" w:hAnsi="楷体" w:cs="Times New Roman"/>
          <w:color w:val="000000" w:themeColor="text1"/>
          <w:sz w:val="44"/>
          <w:szCs w:val="44"/>
        </w:rPr>
        <w:t>——纵向统筹与横向趋同</w:t>
      </w:r>
    </w:p>
    <w:p w14:paraId="4C764146" w14:textId="77777777" w:rsidR="00F57EC3" w:rsidRPr="00CF571C" w:rsidRDefault="00F57EC3" w:rsidP="006130E6">
      <w:pPr>
        <w:adjustRightInd w:val="0"/>
        <w:snapToGrid w:val="0"/>
        <w:spacing w:beforeLines="100" w:before="312" w:afterLines="100" w:after="312"/>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姚东旻</w:t>
      </w:r>
      <w:r w:rsidRPr="00CF571C">
        <w:rPr>
          <w:rFonts w:ascii="Times New Roman" w:hAnsi="Times New Roman" w:cs="Times New Roman" w:hint="eastAsia"/>
          <w:color w:val="000000" w:themeColor="text1"/>
          <w:sz w:val="21"/>
          <w:szCs w:val="21"/>
        </w:rPr>
        <w:t xml:space="preserve"> </w:t>
      </w:r>
      <w:r w:rsidR="00A32413" w:rsidRPr="00CF571C">
        <w:rPr>
          <w:rFonts w:ascii="Times New Roman" w:hAnsi="Times New Roman" w:cs="Times New Roman" w:hint="eastAsia"/>
          <w:color w:val="000000" w:themeColor="text1"/>
          <w:sz w:val="21"/>
          <w:szCs w:val="21"/>
        </w:rPr>
        <w:t xml:space="preserve"> </w:t>
      </w:r>
      <w:r w:rsidRPr="00CF571C">
        <w:rPr>
          <w:rFonts w:ascii="Times New Roman" w:hAnsi="Times New Roman" w:cs="Times New Roman" w:hint="eastAsia"/>
          <w:color w:val="000000" w:themeColor="text1"/>
          <w:sz w:val="21"/>
          <w:szCs w:val="21"/>
        </w:rPr>
        <w:t>崔孟奇</w:t>
      </w:r>
      <w:r w:rsidRPr="00CF571C">
        <w:rPr>
          <w:rFonts w:ascii="Times New Roman" w:hAnsi="Times New Roman" w:cs="Times New Roman" w:hint="eastAsia"/>
          <w:color w:val="000000" w:themeColor="text1"/>
          <w:sz w:val="21"/>
          <w:szCs w:val="21"/>
        </w:rPr>
        <w:t xml:space="preserve"> </w:t>
      </w:r>
      <w:r w:rsidR="00A32413" w:rsidRPr="00CF571C">
        <w:rPr>
          <w:rFonts w:ascii="Times New Roman" w:hAnsi="Times New Roman" w:cs="Times New Roman" w:hint="eastAsia"/>
          <w:color w:val="000000" w:themeColor="text1"/>
          <w:sz w:val="21"/>
          <w:szCs w:val="21"/>
        </w:rPr>
        <w:t xml:space="preserve"> </w:t>
      </w:r>
      <w:r w:rsidRPr="00CF571C">
        <w:rPr>
          <w:rFonts w:ascii="Times New Roman" w:hAnsi="Times New Roman" w:cs="Times New Roman" w:hint="eastAsia"/>
          <w:color w:val="000000" w:themeColor="text1"/>
          <w:sz w:val="21"/>
          <w:szCs w:val="21"/>
        </w:rPr>
        <w:t>赵江威</w:t>
      </w:r>
    </w:p>
    <w:p w14:paraId="6FB304D4" w14:textId="77777777" w:rsidR="00F223CC" w:rsidRPr="00CF571C" w:rsidRDefault="007529E0" w:rsidP="003E1C81">
      <w:pPr>
        <w:adjustRightInd w:val="0"/>
        <w:snapToGrid w:val="0"/>
        <w:spacing w:line="300" w:lineRule="auto"/>
        <w:ind w:firstLineChars="200" w:firstLine="422"/>
        <w:jc w:val="both"/>
        <w:rPr>
          <w:rFonts w:ascii="Times New Roman" w:eastAsia="楷体" w:hAnsi="Times New Roman" w:cs="Times New Roman"/>
          <w:color w:val="000000" w:themeColor="text1"/>
          <w:sz w:val="21"/>
          <w:szCs w:val="21"/>
        </w:rPr>
      </w:pPr>
      <w:r w:rsidRPr="00CF571C">
        <w:rPr>
          <w:rFonts w:ascii="黑体" w:eastAsia="黑体" w:hAnsi="黑体" w:cs="Times New Roman" w:hint="eastAsia"/>
          <w:b/>
          <w:bCs/>
          <w:color w:val="000000" w:themeColor="text1"/>
          <w:sz w:val="21"/>
          <w:szCs w:val="21"/>
        </w:rPr>
        <w:t>摘要</w:t>
      </w:r>
      <w:r w:rsidR="00380F04" w:rsidRPr="00CF571C">
        <w:rPr>
          <w:rFonts w:ascii="黑体" w:eastAsia="黑体" w:hAnsi="黑体" w:cs="Times New Roman" w:hint="eastAsia"/>
          <w:b/>
          <w:bCs/>
          <w:color w:val="000000" w:themeColor="text1"/>
          <w:sz w:val="21"/>
          <w:szCs w:val="21"/>
        </w:rPr>
        <w:t>：</w:t>
      </w:r>
      <w:r w:rsidR="009D7165" w:rsidRPr="00CF571C">
        <w:rPr>
          <w:rFonts w:ascii="Times New Roman" w:eastAsia="楷体" w:hAnsi="Times New Roman" w:cs="Times New Roman" w:hint="eastAsia"/>
          <w:color w:val="000000" w:themeColor="text1"/>
          <w:sz w:val="21"/>
          <w:szCs w:val="21"/>
        </w:rPr>
        <w:t>地方预算支出差异受到不同层级</w:t>
      </w:r>
      <w:r w:rsidR="00A96CED" w:rsidRPr="00CF571C">
        <w:rPr>
          <w:rFonts w:ascii="Times New Roman" w:eastAsia="楷体" w:hAnsi="Times New Roman" w:cs="Times New Roman" w:hint="eastAsia"/>
          <w:color w:val="000000" w:themeColor="text1"/>
          <w:sz w:val="21"/>
          <w:szCs w:val="21"/>
        </w:rPr>
        <w:t>政府</w:t>
      </w:r>
      <w:r w:rsidR="000F49D8" w:rsidRPr="00CF571C">
        <w:rPr>
          <w:rFonts w:ascii="Times New Roman" w:eastAsia="楷体" w:hAnsi="Times New Roman" w:cs="Times New Roman" w:hint="eastAsia"/>
          <w:color w:val="000000" w:themeColor="text1"/>
          <w:sz w:val="21"/>
          <w:szCs w:val="21"/>
        </w:rPr>
        <w:t>财政互动</w:t>
      </w:r>
      <w:r w:rsidR="009D7165" w:rsidRPr="00CF571C">
        <w:rPr>
          <w:rFonts w:ascii="Times New Roman" w:eastAsia="楷体" w:hAnsi="Times New Roman" w:cs="Times New Roman" w:hint="eastAsia"/>
          <w:color w:val="000000" w:themeColor="text1"/>
          <w:sz w:val="21"/>
          <w:szCs w:val="21"/>
        </w:rPr>
        <w:t>的影响，</w:t>
      </w:r>
      <w:r w:rsidR="00424BD2" w:rsidRPr="00CF571C">
        <w:rPr>
          <w:rFonts w:ascii="Times New Roman" w:eastAsia="楷体" w:hAnsi="Times New Roman" w:cs="Times New Roman" w:hint="eastAsia"/>
          <w:color w:val="000000" w:themeColor="text1"/>
          <w:sz w:val="21"/>
          <w:szCs w:val="21"/>
        </w:rPr>
        <w:t>分析地方预算支出差异的</w:t>
      </w:r>
      <w:r w:rsidR="0012187A" w:rsidRPr="00CF571C">
        <w:rPr>
          <w:rFonts w:ascii="Times New Roman" w:eastAsia="楷体" w:hAnsi="Times New Roman" w:cs="Times New Roman" w:hint="eastAsia"/>
          <w:color w:val="000000" w:themeColor="text1"/>
          <w:sz w:val="21"/>
          <w:szCs w:val="21"/>
        </w:rPr>
        <w:t>成因</w:t>
      </w:r>
      <w:r w:rsidR="00424BD2" w:rsidRPr="00CF571C">
        <w:rPr>
          <w:rFonts w:ascii="Times New Roman" w:eastAsia="楷体" w:hAnsi="Times New Roman" w:cs="Times New Roman" w:hint="eastAsia"/>
          <w:color w:val="000000" w:themeColor="text1"/>
          <w:sz w:val="21"/>
          <w:szCs w:val="21"/>
        </w:rPr>
        <w:t>对于理解政府预算行为至关重要。</w:t>
      </w:r>
      <w:r w:rsidR="00D15D22" w:rsidRPr="00CF571C">
        <w:rPr>
          <w:rFonts w:ascii="Times New Roman" w:eastAsia="楷体" w:hAnsi="Times New Roman" w:cs="Times New Roman" w:hint="eastAsia"/>
          <w:color w:val="000000" w:themeColor="text1"/>
          <w:sz w:val="21"/>
          <w:szCs w:val="21"/>
        </w:rPr>
        <w:t>本文构造</w:t>
      </w:r>
      <w:r w:rsidR="00D15D22" w:rsidRPr="00CF571C">
        <w:rPr>
          <w:rFonts w:ascii="Times New Roman" w:eastAsia="楷体" w:hAnsi="Times New Roman" w:cs="Times New Roman" w:hint="eastAsia"/>
          <w:color w:val="000000" w:themeColor="text1"/>
          <w:sz w:val="21"/>
          <w:szCs w:val="21"/>
        </w:rPr>
        <w:t>2</w:t>
      </w:r>
      <w:r w:rsidR="00D15D22" w:rsidRPr="00CF571C">
        <w:rPr>
          <w:rFonts w:ascii="Times New Roman" w:eastAsia="楷体" w:hAnsi="Times New Roman" w:cs="Times New Roman"/>
          <w:color w:val="000000" w:themeColor="text1"/>
          <w:sz w:val="21"/>
          <w:szCs w:val="21"/>
        </w:rPr>
        <w:t>010</w:t>
      </w:r>
      <w:r w:rsidR="00A32413" w:rsidRPr="00CF571C">
        <w:rPr>
          <w:rFonts w:ascii="Times New Roman" w:eastAsia="楷体" w:hAnsi="Times New Roman" w:cs="Times New Roman"/>
          <w:color w:val="000000" w:themeColor="text1"/>
          <w:sz w:val="21"/>
          <w:szCs w:val="21"/>
        </w:rPr>
        <w:t>-</w:t>
      </w:r>
      <w:r w:rsidR="00D15D22" w:rsidRPr="00CF571C">
        <w:rPr>
          <w:rFonts w:ascii="Times New Roman" w:eastAsia="楷体" w:hAnsi="Times New Roman" w:cs="Times New Roman"/>
          <w:color w:val="000000" w:themeColor="text1"/>
          <w:sz w:val="21"/>
          <w:szCs w:val="21"/>
        </w:rPr>
        <w:t>2018</w:t>
      </w:r>
      <w:r w:rsidR="00D15D22" w:rsidRPr="00CF571C">
        <w:rPr>
          <w:rFonts w:ascii="Times New Roman" w:eastAsia="楷体" w:hAnsi="Times New Roman" w:cs="Times New Roman" w:hint="eastAsia"/>
          <w:color w:val="000000" w:themeColor="text1"/>
          <w:sz w:val="21"/>
          <w:szCs w:val="21"/>
        </w:rPr>
        <w:t>年“城市对”数据，采用夏普利值分解、倾向得分匹配方法</w:t>
      </w:r>
      <w:r w:rsidR="00621F4F" w:rsidRPr="00CF571C">
        <w:rPr>
          <w:rFonts w:ascii="Times New Roman" w:eastAsia="楷体" w:hAnsi="Times New Roman" w:cs="Times New Roman" w:hint="eastAsia"/>
          <w:color w:val="000000" w:themeColor="text1"/>
          <w:sz w:val="21"/>
          <w:szCs w:val="21"/>
        </w:rPr>
        <w:t>，</w:t>
      </w:r>
      <w:r w:rsidR="00D15D22" w:rsidRPr="00CF571C">
        <w:rPr>
          <w:rFonts w:ascii="Times New Roman" w:eastAsia="楷体" w:hAnsi="Times New Roman" w:cs="Times New Roman" w:hint="eastAsia"/>
          <w:color w:val="000000" w:themeColor="text1"/>
          <w:sz w:val="21"/>
          <w:szCs w:val="21"/>
        </w:rPr>
        <w:t>识别</w:t>
      </w:r>
      <w:r w:rsidR="00621F4F" w:rsidRPr="00CF571C">
        <w:rPr>
          <w:rFonts w:ascii="Times New Roman" w:eastAsia="楷体" w:hAnsi="Times New Roman" w:cs="Times New Roman" w:hint="eastAsia"/>
          <w:color w:val="000000" w:themeColor="text1"/>
          <w:sz w:val="21"/>
          <w:szCs w:val="21"/>
        </w:rPr>
        <w:t>影响</w:t>
      </w:r>
      <w:r w:rsidR="00D15D22" w:rsidRPr="00CF571C">
        <w:rPr>
          <w:rFonts w:ascii="Times New Roman" w:eastAsia="楷体" w:hAnsi="Times New Roman" w:cs="Times New Roman" w:hint="eastAsia"/>
          <w:color w:val="000000" w:themeColor="text1"/>
          <w:sz w:val="21"/>
          <w:szCs w:val="21"/>
        </w:rPr>
        <w:t>我国地方</w:t>
      </w:r>
      <w:r w:rsidR="000B2DC5" w:rsidRPr="00CF571C">
        <w:rPr>
          <w:rFonts w:ascii="Times New Roman" w:eastAsia="楷体" w:hAnsi="Times New Roman" w:cs="Times New Roman" w:hint="eastAsia"/>
          <w:color w:val="000000" w:themeColor="text1"/>
          <w:sz w:val="21"/>
          <w:szCs w:val="21"/>
        </w:rPr>
        <w:t>政府</w:t>
      </w:r>
      <w:r w:rsidR="00D15D22" w:rsidRPr="00CF571C">
        <w:rPr>
          <w:rFonts w:ascii="Times New Roman" w:eastAsia="楷体" w:hAnsi="Times New Roman" w:cs="Times New Roman" w:hint="eastAsia"/>
          <w:color w:val="000000" w:themeColor="text1"/>
          <w:sz w:val="21"/>
          <w:szCs w:val="21"/>
        </w:rPr>
        <w:t>四种民生性预算支出差异的</w:t>
      </w:r>
      <w:r w:rsidR="00BB05E2" w:rsidRPr="00CF571C">
        <w:rPr>
          <w:rFonts w:ascii="Times New Roman" w:eastAsia="楷体" w:hAnsi="Times New Roman" w:cs="Times New Roman" w:hint="eastAsia"/>
          <w:color w:val="000000" w:themeColor="text1"/>
          <w:sz w:val="21"/>
          <w:szCs w:val="21"/>
        </w:rPr>
        <w:t>两类因素：</w:t>
      </w:r>
      <w:r w:rsidR="00D15D22" w:rsidRPr="00CF571C">
        <w:rPr>
          <w:rFonts w:ascii="Times New Roman" w:eastAsia="楷体" w:hAnsi="Times New Roman" w:cs="Times New Roman" w:hint="eastAsia"/>
          <w:color w:val="000000" w:themeColor="text1"/>
          <w:sz w:val="21"/>
          <w:szCs w:val="21"/>
        </w:rPr>
        <w:t>纵向</w:t>
      </w:r>
      <w:r w:rsidR="00621F4F" w:rsidRPr="00CF571C">
        <w:rPr>
          <w:rFonts w:ascii="Times New Roman" w:eastAsia="楷体" w:hAnsi="Times New Roman" w:cs="Times New Roman" w:hint="eastAsia"/>
          <w:color w:val="000000" w:themeColor="text1"/>
          <w:sz w:val="21"/>
          <w:szCs w:val="21"/>
        </w:rPr>
        <w:t>统筹</w:t>
      </w:r>
      <w:r w:rsidR="00D15D22" w:rsidRPr="00CF571C">
        <w:rPr>
          <w:rFonts w:ascii="Times New Roman" w:eastAsia="楷体" w:hAnsi="Times New Roman" w:cs="Times New Roman" w:hint="eastAsia"/>
          <w:color w:val="000000" w:themeColor="text1"/>
          <w:sz w:val="21"/>
          <w:szCs w:val="21"/>
        </w:rPr>
        <w:t>和横向</w:t>
      </w:r>
      <w:r w:rsidR="00621F4F" w:rsidRPr="00CF571C">
        <w:rPr>
          <w:rFonts w:ascii="Times New Roman" w:eastAsia="楷体" w:hAnsi="Times New Roman" w:cs="Times New Roman" w:hint="eastAsia"/>
          <w:color w:val="000000" w:themeColor="text1"/>
          <w:sz w:val="21"/>
          <w:szCs w:val="21"/>
        </w:rPr>
        <w:t>趋同</w:t>
      </w:r>
      <w:r w:rsidR="00D15D22" w:rsidRPr="00CF571C">
        <w:rPr>
          <w:rFonts w:ascii="Times New Roman" w:eastAsia="楷体" w:hAnsi="Times New Roman" w:cs="Times New Roman" w:hint="eastAsia"/>
          <w:color w:val="000000" w:themeColor="text1"/>
          <w:sz w:val="21"/>
          <w:szCs w:val="21"/>
        </w:rPr>
        <w:t>。</w:t>
      </w:r>
      <w:r w:rsidR="00632F84" w:rsidRPr="00CF571C">
        <w:rPr>
          <w:rFonts w:ascii="Times New Roman" w:eastAsia="楷体" w:hAnsi="Times New Roman" w:cs="Times New Roman"/>
          <w:color w:val="000000" w:themeColor="text1"/>
          <w:sz w:val="21"/>
          <w:szCs w:val="21"/>
        </w:rPr>
        <w:t>纵向来看，我国省级以下地方政府的财政自主权有限</w:t>
      </w:r>
      <w:r w:rsidR="00632F84" w:rsidRPr="00CF571C">
        <w:rPr>
          <w:rFonts w:ascii="Times New Roman" w:eastAsia="楷体" w:hAnsi="Times New Roman" w:cs="Times New Roman" w:hint="eastAsia"/>
          <w:color w:val="000000" w:themeColor="text1"/>
          <w:sz w:val="21"/>
          <w:szCs w:val="21"/>
        </w:rPr>
        <w:t>，</w:t>
      </w:r>
      <w:r w:rsidR="00632F84" w:rsidRPr="00CF571C">
        <w:rPr>
          <w:rFonts w:ascii="Times New Roman" w:eastAsia="楷体" w:hAnsi="Times New Roman" w:cs="Times New Roman"/>
          <w:color w:val="000000" w:themeColor="text1"/>
          <w:sz w:val="21"/>
          <w:szCs w:val="21"/>
        </w:rPr>
        <w:t>地级市预算</w:t>
      </w:r>
      <w:r w:rsidR="00632F84" w:rsidRPr="00CF571C">
        <w:rPr>
          <w:rFonts w:ascii="Times New Roman" w:eastAsia="楷体" w:hAnsi="Times New Roman" w:cs="Times New Roman" w:hint="eastAsia"/>
          <w:color w:val="000000" w:themeColor="text1"/>
          <w:sz w:val="21"/>
          <w:szCs w:val="21"/>
        </w:rPr>
        <w:t>必然受到省级政府的</w:t>
      </w:r>
      <w:r w:rsidR="003502BD" w:rsidRPr="00CF571C">
        <w:rPr>
          <w:rFonts w:ascii="Times New Roman" w:eastAsia="楷体" w:hAnsi="Times New Roman" w:cs="Times New Roman" w:hint="eastAsia"/>
          <w:color w:val="000000" w:themeColor="text1"/>
          <w:sz w:val="21"/>
          <w:szCs w:val="21"/>
        </w:rPr>
        <w:t>统筹引导</w:t>
      </w:r>
      <w:r w:rsidR="00632F84" w:rsidRPr="00CF571C">
        <w:rPr>
          <w:rFonts w:ascii="Times New Roman" w:eastAsia="楷体" w:hAnsi="Times New Roman" w:cs="Times New Roman"/>
          <w:color w:val="000000" w:themeColor="text1"/>
          <w:sz w:val="21"/>
          <w:szCs w:val="21"/>
        </w:rPr>
        <w:t>。横向来看，</w:t>
      </w:r>
      <w:r w:rsidR="00F223CC" w:rsidRPr="00CF571C">
        <w:rPr>
          <w:rFonts w:ascii="Times New Roman" w:eastAsia="楷体" w:hAnsi="Times New Roman" w:cs="Times New Roman"/>
          <w:color w:val="000000" w:themeColor="text1"/>
          <w:sz w:val="21"/>
          <w:szCs w:val="21"/>
        </w:rPr>
        <w:t>因我国户籍制度改革</w:t>
      </w:r>
      <w:r w:rsidR="00F223CC" w:rsidRPr="00CF571C">
        <w:rPr>
          <w:rFonts w:ascii="Times New Roman" w:eastAsia="楷体" w:hAnsi="Times New Roman" w:cs="Times New Roman" w:hint="eastAsia"/>
          <w:color w:val="000000" w:themeColor="text1"/>
          <w:sz w:val="21"/>
          <w:szCs w:val="21"/>
        </w:rPr>
        <w:t>和地方政府间的支出竞争</w:t>
      </w:r>
      <w:r w:rsidR="007C7091" w:rsidRPr="00CF571C">
        <w:rPr>
          <w:rFonts w:ascii="Times New Roman" w:eastAsia="楷体" w:hAnsi="Times New Roman" w:cs="Times New Roman" w:hint="eastAsia"/>
          <w:color w:val="000000" w:themeColor="text1"/>
          <w:sz w:val="21"/>
          <w:szCs w:val="21"/>
        </w:rPr>
        <w:t>，地级市</w:t>
      </w:r>
      <w:r w:rsidR="00E30538" w:rsidRPr="00CF571C">
        <w:rPr>
          <w:rFonts w:ascii="Times New Roman" w:eastAsia="楷体" w:hAnsi="Times New Roman" w:cs="Times New Roman"/>
          <w:color w:val="000000" w:themeColor="text1"/>
          <w:sz w:val="21"/>
          <w:szCs w:val="21"/>
        </w:rPr>
        <w:t>预算</w:t>
      </w:r>
      <w:r w:rsidR="007C7091" w:rsidRPr="00CF571C">
        <w:rPr>
          <w:rFonts w:ascii="Times New Roman" w:eastAsia="楷体" w:hAnsi="Times New Roman" w:cs="Times New Roman" w:hint="eastAsia"/>
          <w:color w:val="000000" w:themeColor="text1"/>
          <w:sz w:val="21"/>
          <w:szCs w:val="21"/>
        </w:rPr>
        <w:t>受临近地区的影响</w:t>
      </w:r>
      <w:r w:rsidR="00632F84" w:rsidRPr="00CF571C">
        <w:rPr>
          <w:rFonts w:ascii="Times New Roman" w:eastAsia="楷体" w:hAnsi="Times New Roman" w:cs="Times New Roman" w:hint="eastAsia"/>
          <w:color w:val="000000" w:themeColor="text1"/>
          <w:sz w:val="21"/>
          <w:szCs w:val="21"/>
        </w:rPr>
        <w:t>。</w:t>
      </w:r>
      <w:r w:rsidR="00F223CC" w:rsidRPr="00CF571C">
        <w:rPr>
          <w:rFonts w:ascii="Times New Roman" w:eastAsia="楷体" w:hAnsi="Times New Roman" w:cs="Times New Roman" w:hint="eastAsia"/>
          <w:color w:val="000000" w:themeColor="text1"/>
          <w:sz w:val="21"/>
          <w:szCs w:val="21"/>
        </w:rPr>
        <w:t>研究发现：</w:t>
      </w:r>
      <w:r w:rsidR="007C7091" w:rsidRPr="00CF571C">
        <w:rPr>
          <w:rFonts w:ascii="Times New Roman" w:eastAsia="楷体" w:hAnsi="Times New Roman" w:cs="Times New Roman"/>
          <w:color w:val="000000" w:themeColor="text1"/>
          <w:sz w:val="21"/>
          <w:szCs w:val="21"/>
        </w:rPr>
        <w:t>第一，因省级政府</w:t>
      </w:r>
      <w:r w:rsidR="003502BD" w:rsidRPr="00CF571C">
        <w:rPr>
          <w:rFonts w:ascii="Times New Roman" w:eastAsia="楷体" w:hAnsi="Times New Roman" w:cs="Times New Roman" w:hint="eastAsia"/>
          <w:color w:val="000000" w:themeColor="text1"/>
          <w:sz w:val="21"/>
          <w:szCs w:val="21"/>
        </w:rPr>
        <w:t>统筹</w:t>
      </w:r>
      <w:r w:rsidR="007C7091" w:rsidRPr="00CF571C">
        <w:rPr>
          <w:rFonts w:ascii="Times New Roman" w:eastAsia="楷体" w:hAnsi="Times New Roman" w:cs="Times New Roman"/>
          <w:color w:val="000000" w:themeColor="text1"/>
          <w:sz w:val="21"/>
          <w:szCs w:val="21"/>
        </w:rPr>
        <w:t>，省内城市间预算支出</w:t>
      </w:r>
      <w:r w:rsidR="001B1B42" w:rsidRPr="00CF571C">
        <w:rPr>
          <w:rFonts w:ascii="Times New Roman" w:eastAsia="楷体" w:hAnsi="Times New Roman" w:cs="Times New Roman" w:hint="eastAsia"/>
          <w:color w:val="000000" w:themeColor="text1"/>
          <w:sz w:val="21"/>
          <w:szCs w:val="21"/>
        </w:rPr>
        <w:t>结构</w:t>
      </w:r>
      <w:r w:rsidR="007C7091" w:rsidRPr="00CF571C">
        <w:rPr>
          <w:rFonts w:ascii="Times New Roman" w:eastAsia="楷体" w:hAnsi="Times New Roman" w:cs="Times New Roman"/>
          <w:color w:val="000000" w:themeColor="text1"/>
          <w:sz w:val="21"/>
          <w:szCs w:val="21"/>
        </w:rPr>
        <w:t>差异较小，跨省城市间预算支出</w:t>
      </w:r>
      <w:r w:rsidR="001B1B42" w:rsidRPr="00CF571C">
        <w:rPr>
          <w:rFonts w:ascii="Times New Roman" w:eastAsia="楷体" w:hAnsi="Times New Roman" w:cs="Times New Roman" w:hint="eastAsia"/>
          <w:color w:val="000000" w:themeColor="text1"/>
          <w:sz w:val="21"/>
          <w:szCs w:val="21"/>
        </w:rPr>
        <w:t>结构</w:t>
      </w:r>
      <w:r w:rsidR="007C7091" w:rsidRPr="00CF571C">
        <w:rPr>
          <w:rFonts w:ascii="Times New Roman" w:eastAsia="楷体" w:hAnsi="Times New Roman" w:cs="Times New Roman"/>
          <w:color w:val="000000" w:themeColor="text1"/>
          <w:sz w:val="21"/>
          <w:szCs w:val="21"/>
        </w:rPr>
        <w:t>差异较大。第二，因毗邻</w:t>
      </w:r>
      <w:r w:rsidR="007C7091" w:rsidRPr="00CF571C">
        <w:rPr>
          <w:rFonts w:ascii="Times New Roman" w:eastAsia="楷体" w:hAnsi="Times New Roman" w:cs="Times New Roman" w:hint="eastAsia"/>
          <w:color w:val="000000" w:themeColor="text1"/>
          <w:sz w:val="21"/>
          <w:szCs w:val="21"/>
        </w:rPr>
        <w:t>地区</w:t>
      </w:r>
      <w:r w:rsidR="007C7091" w:rsidRPr="00CF571C">
        <w:rPr>
          <w:rFonts w:ascii="Times New Roman" w:eastAsia="楷体" w:hAnsi="Times New Roman" w:cs="Times New Roman"/>
          <w:color w:val="000000" w:themeColor="text1"/>
          <w:sz w:val="21"/>
          <w:szCs w:val="21"/>
        </w:rPr>
        <w:t>互动，毗邻城市间预算支出</w:t>
      </w:r>
      <w:r w:rsidR="001B1B42" w:rsidRPr="00CF571C">
        <w:rPr>
          <w:rFonts w:ascii="Times New Roman" w:eastAsia="楷体" w:hAnsi="Times New Roman" w:cs="Times New Roman" w:hint="eastAsia"/>
          <w:color w:val="000000" w:themeColor="text1"/>
          <w:sz w:val="21"/>
          <w:szCs w:val="21"/>
        </w:rPr>
        <w:t>结构</w:t>
      </w:r>
      <w:r w:rsidR="007C7091" w:rsidRPr="00CF571C">
        <w:rPr>
          <w:rFonts w:ascii="Times New Roman" w:eastAsia="楷体" w:hAnsi="Times New Roman" w:cs="Times New Roman"/>
          <w:color w:val="000000" w:themeColor="text1"/>
          <w:sz w:val="21"/>
          <w:szCs w:val="21"/>
        </w:rPr>
        <w:t>差异较小，不毗邻城市间预算支出</w:t>
      </w:r>
      <w:r w:rsidR="001B1B42" w:rsidRPr="00CF571C">
        <w:rPr>
          <w:rFonts w:ascii="Times New Roman" w:eastAsia="楷体" w:hAnsi="Times New Roman" w:cs="Times New Roman" w:hint="eastAsia"/>
          <w:color w:val="000000" w:themeColor="text1"/>
          <w:sz w:val="21"/>
          <w:szCs w:val="21"/>
        </w:rPr>
        <w:t>结构</w:t>
      </w:r>
      <w:r w:rsidR="007C7091" w:rsidRPr="00CF571C">
        <w:rPr>
          <w:rFonts w:ascii="Times New Roman" w:eastAsia="楷体" w:hAnsi="Times New Roman" w:cs="Times New Roman"/>
          <w:color w:val="000000" w:themeColor="text1"/>
          <w:sz w:val="21"/>
          <w:szCs w:val="21"/>
        </w:rPr>
        <w:t>差异较大。第三，在同时受两种力量影响时，不同支出类型所受纵向和横向影响的大小不同。对于教育和科技支出，横向</w:t>
      </w:r>
      <w:r w:rsidR="007F2855" w:rsidRPr="00CF571C">
        <w:rPr>
          <w:rFonts w:ascii="Times New Roman" w:eastAsia="楷体" w:hAnsi="Times New Roman" w:cs="Times New Roman" w:hint="eastAsia"/>
          <w:color w:val="000000" w:themeColor="text1"/>
          <w:sz w:val="21"/>
          <w:szCs w:val="21"/>
        </w:rPr>
        <w:t>趋同</w:t>
      </w:r>
      <w:r w:rsidR="007C7091" w:rsidRPr="00CF571C">
        <w:rPr>
          <w:rFonts w:ascii="Times New Roman" w:eastAsia="楷体" w:hAnsi="Times New Roman" w:cs="Times New Roman"/>
          <w:color w:val="000000" w:themeColor="text1"/>
          <w:sz w:val="21"/>
          <w:szCs w:val="21"/>
        </w:rPr>
        <w:t>效果更为明显；对于医疗卫生和社会保障支出，省级纵向</w:t>
      </w:r>
      <w:r w:rsidR="003502BD" w:rsidRPr="00CF571C">
        <w:rPr>
          <w:rFonts w:ascii="Times New Roman" w:eastAsia="楷体" w:hAnsi="Times New Roman" w:cs="Times New Roman" w:hint="eastAsia"/>
          <w:color w:val="000000" w:themeColor="text1"/>
          <w:sz w:val="21"/>
          <w:szCs w:val="21"/>
        </w:rPr>
        <w:t>统筹</w:t>
      </w:r>
      <w:r w:rsidR="007C7091" w:rsidRPr="00CF571C">
        <w:rPr>
          <w:rFonts w:ascii="Times New Roman" w:eastAsia="楷体" w:hAnsi="Times New Roman" w:cs="Times New Roman"/>
          <w:color w:val="000000" w:themeColor="text1"/>
          <w:sz w:val="21"/>
          <w:szCs w:val="21"/>
        </w:rPr>
        <w:t>更为明显。</w:t>
      </w:r>
    </w:p>
    <w:p w14:paraId="41CD2729" w14:textId="77777777" w:rsidR="00070F37" w:rsidRPr="00CF571C" w:rsidRDefault="00380F04" w:rsidP="00070F37">
      <w:pPr>
        <w:adjustRightInd w:val="0"/>
        <w:snapToGrid w:val="0"/>
        <w:spacing w:line="300" w:lineRule="auto"/>
        <w:ind w:firstLineChars="200" w:firstLine="422"/>
        <w:rPr>
          <w:rFonts w:ascii="Times New Roman" w:eastAsia="楷体" w:hAnsi="Times New Roman" w:cs="Times New Roman"/>
          <w:color w:val="000000" w:themeColor="text1"/>
          <w:sz w:val="21"/>
          <w:szCs w:val="21"/>
        </w:rPr>
      </w:pPr>
      <w:r w:rsidRPr="00CF571C">
        <w:rPr>
          <w:rFonts w:ascii="黑体" w:eastAsia="黑体" w:hAnsi="黑体" w:cs="Times New Roman" w:hint="eastAsia"/>
          <w:b/>
          <w:bCs/>
          <w:color w:val="000000" w:themeColor="text1"/>
          <w:sz w:val="21"/>
          <w:szCs w:val="21"/>
        </w:rPr>
        <w:t>关键词：</w:t>
      </w:r>
      <w:r w:rsidRPr="00CF571C">
        <w:rPr>
          <w:rFonts w:ascii="Times New Roman" w:eastAsia="楷体" w:hAnsi="Times New Roman" w:cs="Times New Roman" w:hint="eastAsia"/>
          <w:color w:val="000000" w:themeColor="text1"/>
          <w:sz w:val="21"/>
          <w:szCs w:val="21"/>
        </w:rPr>
        <w:t>预算支出</w:t>
      </w:r>
      <w:r w:rsidR="007C7091" w:rsidRPr="00CF571C">
        <w:rPr>
          <w:rFonts w:ascii="Times New Roman" w:eastAsia="楷体" w:hAnsi="Times New Roman" w:cs="Times New Roman" w:hint="eastAsia"/>
          <w:color w:val="000000" w:themeColor="text1"/>
          <w:sz w:val="21"/>
          <w:szCs w:val="21"/>
        </w:rPr>
        <w:t>差异</w:t>
      </w:r>
      <w:r w:rsidR="003E1C81" w:rsidRPr="00CF571C">
        <w:rPr>
          <w:rFonts w:ascii="Times New Roman" w:eastAsia="楷体" w:hAnsi="Times New Roman" w:cs="Times New Roman" w:hint="eastAsia"/>
          <w:color w:val="000000" w:themeColor="text1"/>
          <w:sz w:val="21"/>
          <w:szCs w:val="21"/>
        </w:rPr>
        <w:t xml:space="preserve"> </w:t>
      </w:r>
      <w:r w:rsidR="003E1C81" w:rsidRPr="00CF571C">
        <w:rPr>
          <w:rFonts w:ascii="Times New Roman" w:eastAsia="楷体" w:hAnsi="Times New Roman" w:cs="Times New Roman"/>
          <w:color w:val="000000" w:themeColor="text1"/>
          <w:sz w:val="21"/>
          <w:szCs w:val="21"/>
        </w:rPr>
        <w:t xml:space="preserve"> </w:t>
      </w:r>
      <w:r w:rsidR="007C7091" w:rsidRPr="00CF571C">
        <w:rPr>
          <w:rFonts w:ascii="Times New Roman" w:eastAsia="楷体" w:hAnsi="Times New Roman" w:cs="Times New Roman" w:hint="eastAsia"/>
          <w:color w:val="000000" w:themeColor="text1"/>
          <w:sz w:val="21"/>
          <w:szCs w:val="21"/>
        </w:rPr>
        <w:t>支出竞争</w:t>
      </w:r>
      <w:r w:rsidR="003E1C81" w:rsidRPr="00CF571C">
        <w:rPr>
          <w:rFonts w:ascii="Times New Roman" w:eastAsia="楷体" w:hAnsi="Times New Roman" w:cs="Times New Roman" w:hint="eastAsia"/>
          <w:color w:val="000000" w:themeColor="text1"/>
          <w:sz w:val="21"/>
          <w:szCs w:val="21"/>
        </w:rPr>
        <w:t xml:space="preserve"> </w:t>
      </w:r>
      <w:r w:rsidR="003E1C81" w:rsidRPr="00CF571C">
        <w:rPr>
          <w:rFonts w:ascii="Times New Roman" w:eastAsia="楷体" w:hAnsi="Times New Roman" w:cs="Times New Roman"/>
          <w:color w:val="000000" w:themeColor="text1"/>
          <w:sz w:val="21"/>
          <w:szCs w:val="21"/>
        </w:rPr>
        <w:t xml:space="preserve"> </w:t>
      </w:r>
      <w:r w:rsidR="007C7091" w:rsidRPr="00CF571C">
        <w:rPr>
          <w:rFonts w:ascii="Times New Roman" w:eastAsia="楷体" w:hAnsi="Times New Roman" w:cs="Times New Roman" w:hint="eastAsia"/>
          <w:color w:val="000000" w:themeColor="text1"/>
          <w:sz w:val="21"/>
          <w:szCs w:val="21"/>
        </w:rPr>
        <w:t>夏普利值</w:t>
      </w:r>
      <w:r w:rsidR="003E1C81" w:rsidRPr="00CF571C">
        <w:rPr>
          <w:rFonts w:ascii="Times New Roman" w:eastAsia="楷体" w:hAnsi="Times New Roman" w:cs="Times New Roman" w:hint="eastAsia"/>
          <w:color w:val="000000" w:themeColor="text1"/>
          <w:sz w:val="21"/>
          <w:szCs w:val="21"/>
        </w:rPr>
        <w:t xml:space="preserve"> </w:t>
      </w:r>
      <w:r w:rsidR="003E1C81" w:rsidRPr="00CF571C">
        <w:rPr>
          <w:rFonts w:ascii="Times New Roman" w:eastAsia="楷体" w:hAnsi="Times New Roman" w:cs="Times New Roman"/>
          <w:color w:val="000000" w:themeColor="text1"/>
          <w:sz w:val="21"/>
          <w:szCs w:val="21"/>
        </w:rPr>
        <w:t xml:space="preserve"> </w:t>
      </w:r>
      <w:r w:rsidR="007C7091" w:rsidRPr="00CF571C">
        <w:rPr>
          <w:rFonts w:ascii="Times New Roman" w:eastAsia="楷体" w:hAnsi="Times New Roman" w:cs="Times New Roman" w:hint="eastAsia"/>
          <w:color w:val="000000" w:themeColor="text1"/>
          <w:sz w:val="21"/>
          <w:szCs w:val="21"/>
        </w:rPr>
        <w:t>毗邻</w:t>
      </w:r>
    </w:p>
    <w:p w14:paraId="76642A54" w14:textId="77777777" w:rsidR="00070F37" w:rsidRPr="00CF571C" w:rsidRDefault="00070F37" w:rsidP="00070F37">
      <w:pPr>
        <w:adjustRightInd w:val="0"/>
        <w:snapToGrid w:val="0"/>
        <w:spacing w:line="300" w:lineRule="auto"/>
        <w:ind w:firstLineChars="200" w:firstLine="420"/>
        <w:rPr>
          <w:rFonts w:ascii="Times New Roman" w:eastAsia="楷体" w:hAnsi="Times New Roman" w:cs="Times New Roman"/>
          <w:color w:val="000000" w:themeColor="text1"/>
          <w:sz w:val="21"/>
          <w:szCs w:val="21"/>
        </w:rPr>
      </w:pPr>
    </w:p>
    <w:p w14:paraId="7BB8E1EE" w14:textId="77777777" w:rsidR="00AB2412" w:rsidRPr="00CF571C" w:rsidRDefault="004E46D7" w:rsidP="00070F37">
      <w:pPr>
        <w:adjustRightInd w:val="0"/>
        <w:snapToGrid w:val="0"/>
        <w:spacing w:line="300" w:lineRule="auto"/>
        <w:ind w:firstLineChars="200" w:firstLine="480"/>
        <w:jc w:val="center"/>
        <w:rPr>
          <w:rFonts w:ascii="黑体" w:hAnsi="黑体" w:cs="Times New Roman"/>
          <w:color w:val="000000" w:themeColor="text1"/>
          <w:szCs w:val="28"/>
        </w:rPr>
      </w:pPr>
      <w:r w:rsidRPr="00CF571C">
        <w:rPr>
          <w:rFonts w:ascii="黑体" w:hAnsi="黑体" w:cs="Times New Roman" w:hint="eastAsia"/>
          <w:color w:val="000000" w:themeColor="text1"/>
          <w:szCs w:val="28"/>
        </w:rPr>
        <w:t>一、</w:t>
      </w:r>
      <w:r w:rsidR="00A574C7" w:rsidRPr="00CF571C">
        <w:rPr>
          <w:rFonts w:ascii="黑体" w:hAnsi="黑体" w:cs="Times New Roman" w:hint="eastAsia"/>
          <w:color w:val="000000" w:themeColor="text1"/>
          <w:szCs w:val="28"/>
        </w:rPr>
        <w:t>引言</w:t>
      </w:r>
    </w:p>
    <w:p w14:paraId="7EC06CC1" w14:textId="77777777" w:rsidR="00FA2D15" w:rsidRPr="00CF571C" w:rsidRDefault="0075508C" w:rsidP="008325B9">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当前，我国财税体制改革不断推进，对优化财政支出结构提出了更高的要求</w:t>
      </w:r>
      <w:r w:rsidR="00CC30B3" w:rsidRPr="00CF571C">
        <w:rPr>
          <w:rFonts w:ascii="Times New Roman" w:hAnsi="Times New Roman" w:cs="Times New Roman" w:hint="eastAsia"/>
          <w:color w:val="000000" w:themeColor="text1"/>
          <w:sz w:val="21"/>
          <w:szCs w:val="21"/>
        </w:rPr>
        <w:t>。然而，</w:t>
      </w:r>
      <w:r w:rsidR="004B1702" w:rsidRPr="00CF571C">
        <w:rPr>
          <w:rFonts w:ascii="Times New Roman" w:hAnsi="Times New Roman" w:cs="Times New Roman" w:hint="eastAsia"/>
          <w:color w:val="000000" w:themeColor="text1"/>
          <w:sz w:val="21"/>
          <w:szCs w:val="21"/>
        </w:rPr>
        <w:t>我</w:t>
      </w:r>
      <w:r w:rsidR="004B1702" w:rsidRPr="00CF571C">
        <w:rPr>
          <w:rFonts w:ascii="Times New Roman" w:hAnsi="Times New Roman" w:cs="Times New Roman"/>
          <w:color w:val="000000" w:themeColor="text1"/>
          <w:sz w:val="21"/>
          <w:szCs w:val="21"/>
        </w:rPr>
        <w:t>国不同地方政府的预算支出结构差异极为明显</w:t>
      </w:r>
      <w:r w:rsidR="00CC30B3" w:rsidRPr="00CF571C">
        <w:rPr>
          <w:rFonts w:ascii="Times New Roman" w:hAnsi="Times New Roman" w:cs="Times New Roman" w:hint="eastAsia"/>
          <w:color w:val="000000" w:themeColor="text1"/>
          <w:sz w:val="21"/>
          <w:szCs w:val="21"/>
        </w:rPr>
        <w:t>，一些地区的支出结构仍然与财政的</w:t>
      </w:r>
      <w:r w:rsidR="00536E76" w:rsidRPr="00CF571C">
        <w:rPr>
          <w:rFonts w:ascii="Times New Roman" w:hAnsi="Times New Roman" w:cs="Times New Roman" w:hint="eastAsia"/>
          <w:color w:val="000000" w:themeColor="text1"/>
          <w:sz w:val="21"/>
          <w:szCs w:val="21"/>
        </w:rPr>
        <w:t>根本任务</w:t>
      </w:r>
      <w:r w:rsidR="00CC30B3" w:rsidRPr="00CF571C">
        <w:rPr>
          <w:rFonts w:ascii="Times New Roman" w:hAnsi="Times New Roman" w:cs="Times New Roman" w:hint="eastAsia"/>
          <w:color w:val="000000" w:themeColor="text1"/>
          <w:sz w:val="21"/>
          <w:szCs w:val="21"/>
        </w:rPr>
        <w:t>——</w:t>
      </w:r>
      <w:r w:rsidR="00524E8F" w:rsidRPr="00CF571C">
        <w:rPr>
          <w:rFonts w:ascii="Times New Roman" w:hAnsi="Times New Roman" w:cs="Times New Roman" w:hint="eastAsia"/>
          <w:color w:val="000000" w:themeColor="text1"/>
          <w:sz w:val="21"/>
          <w:szCs w:val="21"/>
        </w:rPr>
        <w:t>实现</w:t>
      </w:r>
      <w:r w:rsidR="00CC30B3" w:rsidRPr="00CF571C">
        <w:rPr>
          <w:rFonts w:ascii="Times New Roman" w:hAnsi="Times New Roman" w:cs="Times New Roman" w:hint="eastAsia"/>
          <w:color w:val="000000" w:themeColor="text1"/>
          <w:sz w:val="21"/>
          <w:szCs w:val="21"/>
        </w:rPr>
        <w:t>基本公共服务均等化</w:t>
      </w:r>
      <w:r w:rsidR="00524E8F" w:rsidRPr="00CF571C">
        <w:rPr>
          <w:rFonts w:ascii="Times New Roman" w:hAnsi="Times New Roman" w:cs="Times New Roman" w:hint="eastAsia"/>
          <w:color w:val="000000" w:themeColor="text1"/>
          <w:sz w:val="21"/>
          <w:szCs w:val="21"/>
        </w:rPr>
        <w:t>有较大差距。</w:t>
      </w:r>
      <w:r w:rsidR="008325B9" w:rsidRPr="00CF571C">
        <w:rPr>
          <w:rFonts w:ascii="Times New Roman" w:hAnsi="Times New Roman" w:cs="Times New Roman" w:hint="eastAsia"/>
          <w:color w:val="000000" w:themeColor="text1"/>
          <w:sz w:val="21"/>
          <w:szCs w:val="21"/>
        </w:rPr>
        <w:t>研究</w:t>
      </w:r>
      <w:r w:rsidR="004B1702" w:rsidRPr="00CF571C">
        <w:rPr>
          <w:rFonts w:ascii="Times New Roman" w:hAnsi="Times New Roman" w:cs="Times New Roman"/>
          <w:color w:val="000000" w:themeColor="text1"/>
          <w:sz w:val="21"/>
          <w:szCs w:val="21"/>
        </w:rPr>
        <w:t>地方政府</w:t>
      </w:r>
      <w:r w:rsidR="00DA3210" w:rsidRPr="00CF571C">
        <w:rPr>
          <w:rFonts w:ascii="Times New Roman" w:hAnsi="Times New Roman" w:cs="Times New Roman" w:hint="eastAsia"/>
          <w:color w:val="000000" w:themeColor="text1"/>
          <w:sz w:val="21"/>
          <w:szCs w:val="21"/>
        </w:rPr>
        <w:t>民生性</w:t>
      </w:r>
      <w:r w:rsidR="004B1702" w:rsidRPr="00CF571C">
        <w:rPr>
          <w:rFonts w:ascii="Times New Roman" w:hAnsi="Times New Roman" w:cs="Times New Roman"/>
          <w:color w:val="000000" w:themeColor="text1"/>
          <w:sz w:val="21"/>
          <w:szCs w:val="21"/>
        </w:rPr>
        <w:t>预算支出</w:t>
      </w:r>
      <w:r w:rsidR="00483DA6" w:rsidRPr="00CF571C">
        <w:rPr>
          <w:rFonts w:ascii="Times New Roman" w:hAnsi="Times New Roman" w:cs="Times New Roman"/>
          <w:color w:val="000000" w:themeColor="text1"/>
          <w:sz w:val="21"/>
          <w:szCs w:val="21"/>
        </w:rPr>
        <w:t>结构</w:t>
      </w:r>
      <w:r w:rsidR="004B1702" w:rsidRPr="00CF571C">
        <w:rPr>
          <w:rFonts w:ascii="Times New Roman" w:hAnsi="Times New Roman" w:cs="Times New Roman"/>
          <w:color w:val="000000" w:themeColor="text1"/>
          <w:sz w:val="21"/>
          <w:szCs w:val="21"/>
        </w:rPr>
        <w:t>差异的成因</w:t>
      </w:r>
      <w:r w:rsidR="004460D9" w:rsidRPr="00CF571C">
        <w:rPr>
          <w:rFonts w:ascii="Times New Roman" w:hAnsi="Times New Roman" w:cs="Times New Roman" w:hint="eastAsia"/>
          <w:color w:val="000000" w:themeColor="text1"/>
          <w:sz w:val="21"/>
          <w:szCs w:val="21"/>
        </w:rPr>
        <w:t>，尤其是</w:t>
      </w:r>
      <w:r w:rsidR="00E32B96" w:rsidRPr="00CF571C">
        <w:rPr>
          <w:rFonts w:ascii="Times New Roman" w:hAnsi="Times New Roman" w:cs="Times New Roman" w:hint="eastAsia"/>
          <w:color w:val="000000" w:themeColor="text1"/>
          <w:sz w:val="21"/>
          <w:szCs w:val="21"/>
        </w:rPr>
        <w:t>结合</w:t>
      </w:r>
      <w:r w:rsidR="008F11C6" w:rsidRPr="00CF571C">
        <w:rPr>
          <w:rFonts w:ascii="Times New Roman" w:hAnsi="Times New Roman" w:cs="Times New Roman" w:hint="eastAsia"/>
          <w:color w:val="000000" w:themeColor="text1"/>
          <w:sz w:val="21"/>
          <w:szCs w:val="21"/>
        </w:rPr>
        <w:t>政府间</w:t>
      </w:r>
      <w:r w:rsidR="008325B9" w:rsidRPr="00CF571C">
        <w:rPr>
          <w:rFonts w:ascii="Times New Roman" w:hAnsi="Times New Roman" w:cs="Times New Roman" w:hint="eastAsia"/>
          <w:color w:val="000000" w:themeColor="text1"/>
          <w:sz w:val="21"/>
          <w:szCs w:val="21"/>
        </w:rPr>
        <w:t>财政互动关系展开分析</w:t>
      </w:r>
      <w:r w:rsidR="00E32B96" w:rsidRPr="00CF571C">
        <w:rPr>
          <w:rFonts w:ascii="Times New Roman" w:hAnsi="Times New Roman" w:cs="Times New Roman" w:hint="eastAsia"/>
          <w:color w:val="000000" w:themeColor="text1"/>
          <w:sz w:val="21"/>
          <w:szCs w:val="21"/>
        </w:rPr>
        <w:t>，</w:t>
      </w:r>
      <w:r w:rsidR="00575DF2" w:rsidRPr="00CF571C">
        <w:rPr>
          <w:rFonts w:ascii="Times New Roman" w:hAnsi="Times New Roman" w:cs="Times New Roman" w:hint="eastAsia"/>
          <w:color w:val="000000" w:themeColor="text1"/>
          <w:sz w:val="21"/>
          <w:szCs w:val="21"/>
        </w:rPr>
        <w:t>对于</w:t>
      </w:r>
      <w:r w:rsidR="008325B9" w:rsidRPr="00CF571C">
        <w:rPr>
          <w:rFonts w:ascii="Times New Roman" w:hAnsi="Times New Roman" w:cs="Times New Roman" w:hint="eastAsia"/>
          <w:color w:val="000000" w:themeColor="text1"/>
          <w:sz w:val="21"/>
          <w:szCs w:val="21"/>
        </w:rPr>
        <w:t>理解政府预算行为，</w:t>
      </w:r>
      <w:r w:rsidR="004B1702" w:rsidRPr="00CF571C">
        <w:rPr>
          <w:rFonts w:ascii="Times New Roman" w:hAnsi="Times New Roman" w:cs="Times New Roman"/>
          <w:color w:val="000000" w:themeColor="text1"/>
          <w:sz w:val="21"/>
          <w:szCs w:val="21"/>
        </w:rPr>
        <w:t>推动基本公共服务均等化有重要意义。</w:t>
      </w:r>
      <w:r w:rsidR="00FA2D15" w:rsidRPr="00CF571C">
        <w:rPr>
          <w:rFonts w:ascii="Times New Roman" w:hAnsi="Times New Roman" w:cs="Times New Roman" w:hint="eastAsia"/>
          <w:color w:val="000000" w:themeColor="text1"/>
          <w:sz w:val="21"/>
          <w:szCs w:val="21"/>
        </w:rPr>
        <w:t>因此，</w:t>
      </w:r>
      <w:r w:rsidR="00575DF2" w:rsidRPr="00CF571C">
        <w:rPr>
          <w:rFonts w:ascii="Times New Roman" w:hAnsi="Times New Roman" w:cs="Times New Roman" w:hint="eastAsia"/>
          <w:color w:val="000000" w:themeColor="text1"/>
          <w:sz w:val="21"/>
          <w:szCs w:val="21"/>
        </w:rPr>
        <w:t>本文</w:t>
      </w:r>
      <w:r w:rsidR="00E2558E" w:rsidRPr="00CF571C">
        <w:rPr>
          <w:rFonts w:ascii="Times New Roman" w:hAnsi="Times New Roman" w:cs="Times New Roman" w:hint="eastAsia"/>
          <w:color w:val="000000" w:themeColor="text1"/>
          <w:sz w:val="21"/>
          <w:szCs w:val="21"/>
        </w:rPr>
        <w:t>聚焦教育、</w:t>
      </w:r>
      <w:r w:rsidR="00C453A4" w:rsidRPr="00CF571C">
        <w:rPr>
          <w:rFonts w:ascii="Times New Roman" w:hAnsi="Times New Roman" w:cs="Times New Roman" w:hint="eastAsia"/>
          <w:color w:val="000000" w:themeColor="text1"/>
          <w:sz w:val="21"/>
          <w:szCs w:val="21"/>
        </w:rPr>
        <w:t>科学技术</w:t>
      </w:r>
      <w:r w:rsidR="00E2558E" w:rsidRPr="00CF571C">
        <w:rPr>
          <w:rFonts w:ascii="Times New Roman" w:hAnsi="Times New Roman" w:cs="Times New Roman" w:hint="eastAsia"/>
          <w:color w:val="000000" w:themeColor="text1"/>
          <w:sz w:val="21"/>
          <w:szCs w:val="21"/>
        </w:rPr>
        <w:t>、医疗卫生和社会保障</w:t>
      </w:r>
      <w:r w:rsidR="00C453A4" w:rsidRPr="00CF571C">
        <w:rPr>
          <w:rFonts w:ascii="Times New Roman" w:hAnsi="Times New Roman" w:cs="Times New Roman" w:hint="eastAsia"/>
          <w:color w:val="000000" w:themeColor="text1"/>
          <w:sz w:val="21"/>
          <w:szCs w:val="21"/>
        </w:rPr>
        <w:t>与就业</w:t>
      </w:r>
      <w:r w:rsidR="00E2558E" w:rsidRPr="00CF571C">
        <w:rPr>
          <w:rFonts w:ascii="Times New Roman" w:hAnsi="Times New Roman" w:cs="Times New Roman" w:hint="eastAsia"/>
          <w:color w:val="000000" w:themeColor="text1"/>
          <w:sz w:val="21"/>
          <w:szCs w:val="21"/>
        </w:rPr>
        <w:t>四类支出，</w:t>
      </w:r>
      <w:r w:rsidR="008325B9" w:rsidRPr="00CF571C">
        <w:rPr>
          <w:rFonts w:ascii="Times New Roman" w:hAnsi="Times New Roman" w:cs="Times New Roman" w:hint="eastAsia"/>
          <w:color w:val="000000" w:themeColor="text1"/>
          <w:sz w:val="21"/>
          <w:szCs w:val="21"/>
        </w:rPr>
        <w:t>基于</w:t>
      </w:r>
      <w:r w:rsidR="00FA2D15" w:rsidRPr="00CF571C">
        <w:rPr>
          <w:rFonts w:ascii="Times New Roman" w:hAnsi="Times New Roman" w:cs="Times New Roman" w:hint="eastAsia"/>
          <w:color w:val="000000" w:themeColor="text1"/>
          <w:sz w:val="21"/>
          <w:szCs w:val="21"/>
        </w:rPr>
        <w:t>我国不同层级政府财政关系</w:t>
      </w:r>
      <w:r w:rsidR="008325B9" w:rsidRPr="00CF571C">
        <w:rPr>
          <w:rFonts w:ascii="Times New Roman" w:hAnsi="Times New Roman" w:cs="Times New Roman" w:hint="eastAsia"/>
          <w:color w:val="000000" w:themeColor="text1"/>
          <w:sz w:val="21"/>
          <w:szCs w:val="21"/>
        </w:rPr>
        <w:t>和预算行为</w:t>
      </w:r>
      <w:r w:rsidR="00FA2D15" w:rsidRPr="00CF571C">
        <w:rPr>
          <w:rFonts w:ascii="Times New Roman" w:hAnsi="Times New Roman" w:cs="Times New Roman" w:hint="eastAsia"/>
          <w:color w:val="000000" w:themeColor="text1"/>
          <w:sz w:val="21"/>
          <w:szCs w:val="21"/>
        </w:rPr>
        <w:t>，</w:t>
      </w:r>
      <w:r w:rsidR="00C453A4" w:rsidRPr="00CF571C">
        <w:rPr>
          <w:rFonts w:ascii="Times New Roman" w:hAnsi="Times New Roman" w:cs="Times New Roman" w:hint="eastAsia"/>
          <w:color w:val="000000" w:themeColor="text1"/>
          <w:sz w:val="21"/>
          <w:szCs w:val="21"/>
        </w:rPr>
        <w:t>研究</w:t>
      </w:r>
      <w:r w:rsidR="00C75E29" w:rsidRPr="00CF571C">
        <w:rPr>
          <w:rFonts w:ascii="Times New Roman" w:hAnsi="Times New Roman" w:cs="Times New Roman" w:hint="eastAsia"/>
          <w:color w:val="000000" w:themeColor="text1"/>
          <w:sz w:val="21"/>
          <w:szCs w:val="21"/>
        </w:rPr>
        <w:t>预算支出结构差异的两个特殊成因——上级政府的纵向</w:t>
      </w:r>
      <w:r w:rsidR="00346D17" w:rsidRPr="00CF571C">
        <w:rPr>
          <w:rFonts w:ascii="Times New Roman" w:hAnsi="Times New Roman" w:cs="Times New Roman" w:hint="eastAsia"/>
          <w:color w:val="000000" w:themeColor="text1"/>
          <w:sz w:val="21"/>
          <w:szCs w:val="21"/>
        </w:rPr>
        <w:t>统筹</w:t>
      </w:r>
      <w:r w:rsidR="00C75E29" w:rsidRPr="00CF571C">
        <w:rPr>
          <w:rFonts w:ascii="Times New Roman" w:hAnsi="Times New Roman" w:cs="Times New Roman" w:hint="eastAsia"/>
          <w:color w:val="000000" w:themeColor="text1"/>
          <w:sz w:val="21"/>
          <w:szCs w:val="21"/>
        </w:rPr>
        <w:t>和毗邻</w:t>
      </w:r>
      <w:r w:rsidR="004A0581" w:rsidRPr="00CF571C">
        <w:rPr>
          <w:rFonts w:ascii="Times New Roman" w:hAnsi="Times New Roman" w:cs="Times New Roman" w:hint="eastAsia"/>
          <w:color w:val="000000" w:themeColor="text1"/>
          <w:sz w:val="21"/>
          <w:szCs w:val="21"/>
        </w:rPr>
        <w:t>城市间</w:t>
      </w:r>
      <w:r w:rsidR="00C75E29" w:rsidRPr="00CF571C">
        <w:rPr>
          <w:rFonts w:ascii="Times New Roman" w:hAnsi="Times New Roman" w:cs="Times New Roman" w:hint="eastAsia"/>
          <w:color w:val="000000" w:themeColor="text1"/>
          <w:sz w:val="21"/>
          <w:szCs w:val="21"/>
        </w:rPr>
        <w:t>的横向</w:t>
      </w:r>
      <w:r w:rsidR="00346D17" w:rsidRPr="00CF571C">
        <w:rPr>
          <w:rFonts w:ascii="Times New Roman" w:hAnsi="Times New Roman" w:cs="Times New Roman" w:hint="eastAsia"/>
          <w:color w:val="000000" w:themeColor="text1"/>
          <w:sz w:val="21"/>
          <w:szCs w:val="21"/>
        </w:rPr>
        <w:t>趋同</w:t>
      </w:r>
      <w:r w:rsidR="00C75E29" w:rsidRPr="00CF571C">
        <w:rPr>
          <w:rFonts w:ascii="Times New Roman" w:hAnsi="Times New Roman" w:cs="Times New Roman" w:hint="eastAsia"/>
          <w:color w:val="000000" w:themeColor="text1"/>
          <w:sz w:val="21"/>
          <w:szCs w:val="21"/>
        </w:rPr>
        <w:t>。</w:t>
      </w:r>
    </w:p>
    <w:p w14:paraId="37192DB6" w14:textId="77777777" w:rsidR="00915138" w:rsidRPr="00CF571C" w:rsidRDefault="000B2DC5" w:rsidP="00FA2D15">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对于</w:t>
      </w:r>
      <w:r w:rsidR="00C75E29" w:rsidRPr="00CF571C">
        <w:rPr>
          <w:rFonts w:ascii="Times New Roman" w:hAnsi="Times New Roman" w:cs="Times New Roman" w:hint="eastAsia"/>
          <w:color w:val="000000" w:themeColor="text1"/>
          <w:sz w:val="21"/>
          <w:szCs w:val="21"/>
        </w:rPr>
        <w:t>地方预算支出结构</w:t>
      </w:r>
      <w:r w:rsidR="00A63FC9" w:rsidRPr="00CF571C">
        <w:rPr>
          <w:rFonts w:ascii="Times New Roman" w:hAnsi="Times New Roman" w:cs="Times New Roman" w:hint="eastAsia"/>
          <w:color w:val="000000" w:themeColor="text1"/>
          <w:sz w:val="21"/>
          <w:szCs w:val="21"/>
        </w:rPr>
        <w:t>的</w:t>
      </w:r>
      <w:r w:rsidR="00C75E29" w:rsidRPr="00CF571C">
        <w:rPr>
          <w:rFonts w:ascii="Times New Roman" w:hAnsi="Times New Roman" w:cs="Times New Roman" w:hint="eastAsia"/>
          <w:color w:val="000000" w:themeColor="text1"/>
          <w:sz w:val="21"/>
          <w:szCs w:val="21"/>
        </w:rPr>
        <w:t>影响因素有较为丰富的研究，</w:t>
      </w:r>
      <w:r w:rsidR="00C75E29" w:rsidRPr="00CF571C">
        <w:rPr>
          <w:rFonts w:ascii="Times New Roman" w:hAnsi="Times New Roman" w:cs="Times New Roman"/>
          <w:color w:val="000000" w:themeColor="text1"/>
          <w:sz w:val="21"/>
          <w:szCs w:val="21"/>
        </w:rPr>
        <w:t>地方财政状况</w:t>
      </w:r>
      <w:r w:rsidR="00C75E29" w:rsidRPr="00CF571C">
        <w:rPr>
          <w:rFonts w:ascii="Times New Roman" w:hAnsi="Times New Roman" w:cs="Times New Roman" w:hint="eastAsia"/>
          <w:color w:val="000000" w:themeColor="text1"/>
          <w:sz w:val="21"/>
          <w:szCs w:val="21"/>
        </w:rPr>
        <w:t>（傅勇</w:t>
      </w:r>
      <w:r w:rsidR="00483DA6"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hint="eastAsia"/>
          <w:color w:val="000000" w:themeColor="text1"/>
          <w:sz w:val="21"/>
          <w:szCs w:val="21"/>
        </w:rPr>
        <w:t>张晏，</w:t>
      </w:r>
      <w:r w:rsidR="00C75E29" w:rsidRPr="00CF571C">
        <w:rPr>
          <w:rFonts w:ascii="Times New Roman" w:hAnsi="Times New Roman" w:cs="Times New Roman" w:hint="eastAsia"/>
          <w:color w:val="000000" w:themeColor="text1"/>
          <w:sz w:val="21"/>
          <w:szCs w:val="21"/>
        </w:rPr>
        <w:t>2</w:t>
      </w:r>
      <w:r w:rsidR="00C75E29" w:rsidRPr="00CF571C">
        <w:rPr>
          <w:rFonts w:ascii="Times New Roman" w:hAnsi="Times New Roman" w:cs="Times New Roman"/>
          <w:color w:val="000000" w:themeColor="text1"/>
          <w:sz w:val="21"/>
          <w:szCs w:val="21"/>
        </w:rPr>
        <w:t>007</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张志超</w:t>
      </w:r>
      <w:r w:rsidR="00483DA6"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丁宏</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2009</w:t>
      </w:r>
      <w:r w:rsidR="00524E8F" w:rsidRPr="00CF571C">
        <w:rPr>
          <w:rFonts w:ascii="Times New Roman" w:hAnsi="Times New Roman" w:cs="Times New Roman" w:hint="eastAsia"/>
          <w:color w:val="000000" w:themeColor="text1"/>
          <w:sz w:val="21"/>
          <w:szCs w:val="21"/>
        </w:rPr>
        <w:t>；</w:t>
      </w:r>
      <w:r w:rsidR="00524E8F" w:rsidRPr="00CF571C">
        <w:rPr>
          <w:rFonts w:ascii="Times New Roman" w:hAnsi="Times New Roman" w:cs="Times New Roman"/>
          <w:color w:val="000000" w:themeColor="text1"/>
          <w:sz w:val="21"/>
          <w:szCs w:val="21"/>
        </w:rPr>
        <w:t>张宇，</w:t>
      </w:r>
      <w:r w:rsidR="00524E8F" w:rsidRPr="00CF571C">
        <w:rPr>
          <w:rFonts w:ascii="Times New Roman" w:hAnsi="Times New Roman" w:cs="Times New Roman"/>
          <w:color w:val="000000" w:themeColor="text1"/>
          <w:sz w:val="21"/>
          <w:szCs w:val="21"/>
        </w:rPr>
        <w:t>2013</w:t>
      </w:r>
      <w:r w:rsidR="00524E8F" w:rsidRPr="00CF571C">
        <w:rPr>
          <w:rFonts w:ascii="Times New Roman" w:hAnsi="Times New Roman" w:cs="Times New Roman" w:hint="eastAsia"/>
          <w:color w:val="000000" w:themeColor="text1"/>
          <w:sz w:val="21"/>
          <w:szCs w:val="21"/>
        </w:rPr>
        <w:t>；吴</w:t>
      </w:r>
      <w:r w:rsidR="00524E8F" w:rsidRPr="00CF571C">
        <w:rPr>
          <w:rFonts w:ascii="Times New Roman" w:hAnsi="Times New Roman" w:cs="Times New Roman"/>
          <w:color w:val="000000" w:themeColor="text1"/>
          <w:sz w:val="21"/>
          <w:szCs w:val="21"/>
        </w:rPr>
        <w:t>延兵，</w:t>
      </w:r>
      <w:r w:rsidR="00524E8F" w:rsidRPr="00CF571C">
        <w:rPr>
          <w:rFonts w:ascii="Times New Roman" w:hAnsi="Times New Roman" w:cs="Times New Roman"/>
          <w:color w:val="000000" w:themeColor="text1"/>
          <w:sz w:val="21"/>
          <w:szCs w:val="21"/>
        </w:rPr>
        <w:t>2017</w:t>
      </w:r>
      <w:r w:rsidR="00C75E29" w:rsidRPr="00CF571C">
        <w:rPr>
          <w:rFonts w:ascii="Times New Roman" w:hAnsi="Times New Roman" w:cs="Times New Roman" w:hint="eastAsia"/>
          <w:color w:val="000000" w:themeColor="text1"/>
          <w:sz w:val="21"/>
          <w:szCs w:val="21"/>
        </w:rPr>
        <w:t>）</w:t>
      </w:r>
      <w:r w:rsidR="00804A42"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地方经济状况</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黄国平</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2013</w:t>
      </w:r>
      <w:r w:rsidR="00524E8F" w:rsidRPr="00CF571C">
        <w:rPr>
          <w:rFonts w:ascii="Times New Roman" w:hAnsi="Times New Roman" w:cs="Times New Roman" w:hint="eastAsia"/>
          <w:color w:val="000000" w:themeColor="text1"/>
          <w:sz w:val="21"/>
          <w:szCs w:val="21"/>
        </w:rPr>
        <w:t>；</w:t>
      </w:r>
      <w:r w:rsidR="00524E8F" w:rsidRPr="00CF571C">
        <w:rPr>
          <w:rFonts w:ascii="Times New Roman" w:hAnsi="Times New Roman" w:cs="Times New Roman"/>
          <w:color w:val="000000" w:themeColor="text1"/>
          <w:sz w:val="21"/>
          <w:szCs w:val="21"/>
        </w:rPr>
        <w:t>尹恒</w:t>
      </w:r>
      <w:r w:rsidR="00483DA6" w:rsidRPr="00CF571C">
        <w:rPr>
          <w:rFonts w:ascii="Times New Roman" w:hAnsi="Times New Roman" w:cs="Times New Roman" w:hint="eastAsia"/>
          <w:color w:val="000000" w:themeColor="text1"/>
          <w:sz w:val="21"/>
          <w:szCs w:val="21"/>
        </w:rPr>
        <w:t>、</w:t>
      </w:r>
      <w:r w:rsidR="00524E8F" w:rsidRPr="00CF571C">
        <w:rPr>
          <w:rFonts w:ascii="Times New Roman" w:hAnsi="Times New Roman" w:cs="Times New Roman"/>
          <w:color w:val="000000" w:themeColor="text1"/>
          <w:sz w:val="21"/>
          <w:szCs w:val="21"/>
        </w:rPr>
        <w:t>杨龙见，</w:t>
      </w:r>
      <w:r w:rsidR="00524E8F" w:rsidRPr="00CF571C">
        <w:rPr>
          <w:rFonts w:ascii="Times New Roman" w:hAnsi="Times New Roman" w:cs="Times New Roman"/>
          <w:color w:val="000000" w:themeColor="text1"/>
          <w:sz w:val="21"/>
          <w:szCs w:val="21"/>
        </w:rPr>
        <w:t>2014</w:t>
      </w:r>
      <w:r w:rsidR="00524E8F" w:rsidRPr="00CF571C">
        <w:rPr>
          <w:rFonts w:ascii="Times New Roman" w:hAnsi="Times New Roman" w:cs="Times New Roman" w:hint="eastAsia"/>
          <w:color w:val="000000" w:themeColor="text1"/>
          <w:sz w:val="21"/>
          <w:szCs w:val="21"/>
        </w:rPr>
        <w:t>；</w:t>
      </w:r>
      <w:r w:rsidR="00524E8F" w:rsidRPr="00CF571C">
        <w:rPr>
          <w:rFonts w:ascii="Times New Roman" w:hAnsi="Times New Roman" w:cs="Times New Roman"/>
          <w:color w:val="000000" w:themeColor="text1"/>
          <w:sz w:val="21"/>
          <w:szCs w:val="21"/>
        </w:rPr>
        <w:t>姚东旻</w:t>
      </w:r>
      <w:r w:rsidR="00524E8F" w:rsidRPr="00CF571C">
        <w:rPr>
          <w:rFonts w:ascii="Times New Roman" w:hAnsi="Times New Roman" w:cs="Times New Roman" w:hint="eastAsia"/>
          <w:color w:val="000000" w:themeColor="text1"/>
          <w:sz w:val="21"/>
          <w:szCs w:val="21"/>
        </w:rPr>
        <w:t>等</w:t>
      </w:r>
      <w:r w:rsidR="00524E8F" w:rsidRPr="00CF571C">
        <w:rPr>
          <w:rFonts w:ascii="Times New Roman" w:hAnsi="Times New Roman" w:cs="Times New Roman"/>
          <w:color w:val="000000" w:themeColor="text1"/>
          <w:sz w:val="21"/>
          <w:szCs w:val="21"/>
        </w:rPr>
        <w:t>，</w:t>
      </w:r>
      <w:r w:rsidR="00524E8F" w:rsidRPr="00CF571C">
        <w:rPr>
          <w:rFonts w:ascii="Times New Roman" w:hAnsi="Times New Roman" w:cs="Times New Roman"/>
          <w:color w:val="000000" w:themeColor="text1"/>
          <w:sz w:val="21"/>
          <w:szCs w:val="21"/>
        </w:rPr>
        <w:t>2020</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、地方官员</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周黎安</w:t>
      </w:r>
      <w:r w:rsidR="00C75E29" w:rsidRPr="00CF571C">
        <w:rPr>
          <w:rFonts w:ascii="Times New Roman" w:hAnsi="Times New Roman" w:cs="Times New Roman" w:hint="eastAsia"/>
          <w:color w:val="000000" w:themeColor="text1"/>
          <w:sz w:val="21"/>
          <w:szCs w:val="21"/>
        </w:rPr>
        <w:t>，</w:t>
      </w:r>
      <w:r w:rsidR="00C75E29" w:rsidRPr="00CF571C">
        <w:rPr>
          <w:rFonts w:ascii="Times New Roman" w:hAnsi="Times New Roman" w:cs="Times New Roman"/>
          <w:color w:val="000000" w:themeColor="text1"/>
          <w:sz w:val="21"/>
          <w:szCs w:val="21"/>
        </w:rPr>
        <w:t>2004</w:t>
      </w:r>
      <w:r w:rsidR="00C75E29" w:rsidRPr="00CF571C">
        <w:rPr>
          <w:rFonts w:ascii="Times New Roman" w:hAnsi="Times New Roman" w:cs="Times New Roman" w:hint="eastAsia"/>
          <w:color w:val="000000" w:themeColor="text1"/>
          <w:sz w:val="21"/>
          <w:szCs w:val="21"/>
        </w:rPr>
        <w:t>）均是影响地方预算支出结构的重要因素。然而，本文发现，预算支出结构差异普遍存在于两城市间，</w:t>
      </w:r>
      <w:r w:rsidR="007723BD" w:rsidRPr="00CF571C">
        <w:rPr>
          <w:rFonts w:ascii="Times New Roman" w:hAnsi="Times New Roman" w:cs="Times New Roman" w:hint="eastAsia"/>
          <w:color w:val="000000" w:themeColor="text1"/>
          <w:sz w:val="21"/>
          <w:szCs w:val="21"/>
        </w:rPr>
        <w:t>即使</w:t>
      </w:r>
      <w:r w:rsidR="00C75E29" w:rsidRPr="00CF571C">
        <w:rPr>
          <w:rFonts w:ascii="Times New Roman" w:hAnsi="Times New Roman" w:cs="Times New Roman" w:hint="eastAsia"/>
          <w:color w:val="000000" w:themeColor="text1"/>
          <w:sz w:val="21"/>
          <w:szCs w:val="21"/>
        </w:rPr>
        <w:t>两个城市的财政状况、经济状况等</w:t>
      </w:r>
      <w:r w:rsidR="007723BD" w:rsidRPr="00CF571C">
        <w:rPr>
          <w:rFonts w:ascii="Times New Roman" w:hAnsi="Times New Roman" w:cs="Times New Roman" w:hint="eastAsia"/>
          <w:color w:val="000000" w:themeColor="text1"/>
          <w:sz w:val="21"/>
          <w:szCs w:val="21"/>
        </w:rPr>
        <w:t>相似</w:t>
      </w:r>
      <w:r w:rsidR="00C75E29" w:rsidRPr="00CF571C">
        <w:rPr>
          <w:rFonts w:ascii="Times New Roman" w:hAnsi="Times New Roman" w:cs="Times New Roman" w:hint="eastAsia"/>
          <w:color w:val="000000" w:themeColor="text1"/>
          <w:sz w:val="21"/>
          <w:szCs w:val="21"/>
        </w:rPr>
        <w:t>，其预算支出结构仍然存在</w:t>
      </w:r>
      <w:r w:rsidR="007723BD" w:rsidRPr="00CF571C">
        <w:rPr>
          <w:rFonts w:ascii="Times New Roman" w:hAnsi="Times New Roman" w:cs="Times New Roman" w:hint="eastAsia"/>
          <w:color w:val="000000" w:themeColor="text1"/>
          <w:sz w:val="21"/>
          <w:szCs w:val="21"/>
        </w:rPr>
        <w:t>明显差异</w:t>
      </w:r>
      <w:r w:rsidR="00C75E29" w:rsidRPr="00CF571C">
        <w:rPr>
          <w:rFonts w:ascii="Times New Roman" w:hAnsi="Times New Roman" w:cs="Times New Roman" w:hint="eastAsia"/>
          <w:color w:val="000000" w:themeColor="text1"/>
          <w:sz w:val="21"/>
          <w:szCs w:val="21"/>
        </w:rPr>
        <w:t>。那么</w:t>
      </w:r>
      <w:r w:rsidR="00C3615C" w:rsidRPr="00CF571C">
        <w:rPr>
          <w:rFonts w:ascii="Times New Roman" w:hAnsi="Times New Roman" w:cs="Times New Roman" w:hint="eastAsia"/>
          <w:color w:val="000000" w:themeColor="text1"/>
          <w:sz w:val="21"/>
          <w:szCs w:val="21"/>
        </w:rPr>
        <w:t>是否</w:t>
      </w:r>
      <w:r w:rsidR="00C75E29" w:rsidRPr="00CF571C">
        <w:rPr>
          <w:rFonts w:ascii="Times New Roman" w:hAnsi="Times New Roman" w:cs="Times New Roman" w:hint="eastAsia"/>
          <w:color w:val="000000" w:themeColor="text1"/>
          <w:sz w:val="21"/>
          <w:szCs w:val="21"/>
        </w:rPr>
        <w:t>还有其他因素影响城市间的预算支出结构差异？</w:t>
      </w:r>
    </w:p>
    <w:p w14:paraId="5BFB73DC" w14:textId="77777777" w:rsidR="00AB2412" w:rsidRPr="00CF571C" w:rsidRDefault="00C75E29" w:rsidP="00C75E29">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结合我国地方预算支出差异的</w:t>
      </w:r>
      <w:r w:rsidR="000B2DC5" w:rsidRPr="00CF571C">
        <w:rPr>
          <w:rFonts w:ascii="Times New Roman" w:hAnsi="Times New Roman" w:cs="Times New Roman" w:hint="eastAsia"/>
          <w:color w:val="000000" w:themeColor="text1"/>
          <w:sz w:val="21"/>
          <w:szCs w:val="21"/>
        </w:rPr>
        <w:t>典型</w:t>
      </w:r>
      <w:r w:rsidRPr="00CF571C">
        <w:rPr>
          <w:rFonts w:ascii="Times New Roman" w:hAnsi="Times New Roman" w:cs="Times New Roman" w:hint="eastAsia"/>
          <w:color w:val="000000" w:themeColor="text1"/>
          <w:sz w:val="21"/>
          <w:szCs w:val="21"/>
        </w:rPr>
        <w:t>事实和</w:t>
      </w:r>
      <w:r w:rsidR="000B2DC5" w:rsidRPr="00CF571C">
        <w:rPr>
          <w:rFonts w:ascii="Times New Roman" w:hAnsi="Times New Roman" w:cs="Times New Roman" w:hint="eastAsia"/>
          <w:color w:val="000000" w:themeColor="text1"/>
          <w:sz w:val="21"/>
          <w:szCs w:val="21"/>
        </w:rPr>
        <w:t>现实</w:t>
      </w:r>
      <w:r w:rsidRPr="00CF571C">
        <w:rPr>
          <w:rFonts w:ascii="Times New Roman" w:hAnsi="Times New Roman" w:cs="Times New Roman" w:hint="eastAsia"/>
          <w:color w:val="000000" w:themeColor="text1"/>
          <w:sz w:val="21"/>
          <w:szCs w:val="21"/>
        </w:rPr>
        <w:t>制度背景，</w:t>
      </w:r>
      <w:r w:rsidR="007723BD" w:rsidRPr="00CF571C">
        <w:rPr>
          <w:rFonts w:ascii="Times New Roman" w:hAnsi="Times New Roman" w:cs="Times New Roman" w:hint="eastAsia"/>
          <w:color w:val="000000" w:themeColor="text1"/>
          <w:sz w:val="21"/>
          <w:szCs w:val="21"/>
        </w:rPr>
        <w:t>本文</w:t>
      </w:r>
      <w:r w:rsidRPr="00CF571C">
        <w:rPr>
          <w:rFonts w:ascii="Times New Roman" w:hAnsi="Times New Roman" w:cs="Times New Roman" w:hint="eastAsia"/>
          <w:color w:val="000000" w:themeColor="text1"/>
          <w:sz w:val="21"/>
          <w:szCs w:val="21"/>
        </w:rPr>
        <w:t>分析认为，存在纵向和横向两种因素影响城市间的预算差异：</w:t>
      </w:r>
      <w:r w:rsidRPr="00CF571C">
        <w:rPr>
          <w:rFonts w:ascii="Times New Roman" w:hAnsi="Times New Roman" w:cs="Times New Roman"/>
          <w:color w:val="000000" w:themeColor="text1"/>
          <w:sz w:val="21"/>
          <w:szCs w:val="21"/>
        </w:rPr>
        <w:t>一方面，纵向来看，</w:t>
      </w:r>
      <w:r w:rsidRPr="00CF571C">
        <w:rPr>
          <w:rFonts w:ascii="Times New Roman" w:hAnsi="Times New Roman" w:cs="Times New Roman" w:hint="eastAsia"/>
          <w:color w:val="000000" w:themeColor="text1"/>
          <w:sz w:val="21"/>
          <w:szCs w:val="21"/>
        </w:rPr>
        <w:t>省级政府</w:t>
      </w:r>
      <w:r w:rsidR="000B2DC5" w:rsidRPr="00CF571C">
        <w:rPr>
          <w:rFonts w:ascii="Times New Roman" w:hAnsi="Times New Roman" w:cs="Times New Roman" w:hint="eastAsia"/>
          <w:color w:val="000000" w:themeColor="text1"/>
          <w:sz w:val="21"/>
          <w:szCs w:val="21"/>
        </w:rPr>
        <w:t>会</w:t>
      </w:r>
      <w:r w:rsidRPr="00CF571C">
        <w:rPr>
          <w:rFonts w:ascii="Times New Roman" w:hAnsi="Times New Roman" w:cs="Times New Roman" w:hint="eastAsia"/>
          <w:color w:val="000000" w:themeColor="text1"/>
          <w:sz w:val="21"/>
          <w:szCs w:val="21"/>
        </w:rPr>
        <w:t>对地级市预算</w:t>
      </w:r>
      <w:r w:rsidR="000B2DC5" w:rsidRPr="00CF571C">
        <w:rPr>
          <w:rFonts w:ascii="Times New Roman" w:hAnsi="Times New Roman" w:cs="Times New Roman" w:hint="eastAsia"/>
          <w:color w:val="000000" w:themeColor="text1"/>
          <w:sz w:val="21"/>
          <w:szCs w:val="21"/>
        </w:rPr>
        <w:t>进行</w:t>
      </w:r>
      <w:r w:rsidRPr="00CF571C">
        <w:rPr>
          <w:rFonts w:ascii="Times New Roman" w:hAnsi="Times New Roman" w:cs="Times New Roman" w:hint="eastAsia"/>
          <w:color w:val="000000" w:themeColor="text1"/>
          <w:sz w:val="21"/>
          <w:szCs w:val="21"/>
        </w:rPr>
        <w:t>引导。我国省级以下地方政府财政自主权有限，在实际预算编制程序中，省级政府会对下级政府的预算编制进行指导和监督。同时，省级政府也通过转移支付等途径影响下级预算支出。</w:t>
      </w:r>
      <w:r w:rsidRPr="00CF571C">
        <w:rPr>
          <w:rFonts w:ascii="Times New Roman" w:hAnsi="Times New Roman" w:cs="Times New Roman"/>
          <w:color w:val="000000" w:themeColor="text1"/>
          <w:sz w:val="21"/>
          <w:szCs w:val="21"/>
        </w:rPr>
        <w:t>另一方面，横向来看，</w:t>
      </w:r>
      <w:r w:rsidRPr="00CF571C">
        <w:rPr>
          <w:rFonts w:ascii="Times New Roman" w:hAnsi="Times New Roman" w:cs="Times New Roman" w:hint="eastAsia"/>
          <w:color w:val="000000" w:themeColor="text1"/>
          <w:sz w:val="21"/>
          <w:szCs w:val="21"/>
        </w:rPr>
        <w:t>地级市预算也受毗邻市的影响。</w:t>
      </w:r>
      <w:r w:rsidR="00402754" w:rsidRPr="00CF571C">
        <w:rPr>
          <w:rFonts w:ascii="Times New Roman" w:hAnsi="Times New Roman" w:cs="Times New Roman" w:hint="eastAsia"/>
          <w:color w:val="000000" w:themeColor="text1"/>
          <w:sz w:val="21"/>
          <w:szCs w:val="21"/>
        </w:rPr>
        <w:t>在</w:t>
      </w:r>
      <w:r w:rsidRPr="00CF571C">
        <w:rPr>
          <w:rFonts w:ascii="Times New Roman" w:hAnsi="Times New Roman" w:cs="Times New Roman"/>
          <w:color w:val="000000" w:themeColor="text1"/>
          <w:sz w:val="21"/>
          <w:szCs w:val="21"/>
        </w:rPr>
        <w:t>我国户籍制度改革</w:t>
      </w:r>
      <w:r w:rsidR="002676A8" w:rsidRPr="00CF571C">
        <w:rPr>
          <w:rFonts w:ascii="Times New Roman" w:hAnsi="Times New Roman" w:cs="Times New Roman" w:hint="eastAsia"/>
          <w:color w:val="000000" w:themeColor="text1"/>
          <w:sz w:val="21"/>
          <w:szCs w:val="21"/>
        </w:rPr>
        <w:t>逐步</w:t>
      </w:r>
      <w:r w:rsidRPr="00CF571C">
        <w:rPr>
          <w:rFonts w:ascii="Times New Roman" w:hAnsi="Times New Roman" w:cs="Times New Roman"/>
          <w:color w:val="000000" w:themeColor="text1"/>
          <w:sz w:val="21"/>
          <w:szCs w:val="21"/>
        </w:rPr>
        <w:t>深化</w:t>
      </w:r>
      <w:r w:rsidR="002676A8"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人口流动更加便利</w:t>
      </w:r>
      <w:r w:rsidR="008B784E" w:rsidRPr="00CF571C">
        <w:rPr>
          <w:rFonts w:ascii="Times New Roman" w:hAnsi="Times New Roman" w:cs="Times New Roman" w:hint="eastAsia"/>
          <w:color w:val="000000" w:themeColor="text1"/>
          <w:sz w:val="21"/>
          <w:szCs w:val="21"/>
        </w:rPr>
        <w:t>的条件下</w:t>
      </w:r>
      <w:r w:rsidRPr="00CF571C">
        <w:rPr>
          <w:rFonts w:ascii="Times New Roman" w:hAnsi="Times New Roman" w:cs="Times New Roman" w:hint="eastAsia"/>
          <w:color w:val="000000" w:themeColor="text1"/>
          <w:sz w:val="21"/>
          <w:szCs w:val="21"/>
        </w:rPr>
        <w:t>，</w:t>
      </w:r>
      <w:r w:rsidR="008B784E" w:rsidRPr="00CF571C">
        <w:rPr>
          <w:rFonts w:ascii="Times New Roman" w:hAnsi="Times New Roman" w:cs="Times New Roman" w:hint="eastAsia"/>
          <w:color w:val="000000" w:themeColor="text1"/>
          <w:sz w:val="21"/>
          <w:szCs w:val="21"/>
        </w:rPr>
        <w:t>地级市之间存在基于上级政府评价的“标尺竞争”（</w:t>
      </w:r>
      <w:r w:rsidR="008B784E" w:rsidRPr="00CF571C">
        <w:rPr>
          <w:rFonts w:ascii="Times New Roman" w:hAnsi="Times New Roman" w:cs="Times New Roman"/>
          <w:color w:val="000000" w:themeColor="text1"/>
          <w:sz w:val="21"/>
          <w:szCs w:val="21"/>
        </w:rPr>
        <w:t>王永钦等，</w:t>
      </w:r>
      <w:r w:rsidR="008B784E" w:rsidRPr="00CF571C">
        <w:rPr>
          <w:rFonts w:ascii="Times New Roman" w:hAnsi="Times New Roman" w:cs="Times New Roman"/>
          <w:color w:val="000000" w:themeColor="text1"/>
          <w:sz w:val="21"/>
          <w:szCs w:val="21"/>
        </w:rPr>
        <w:t>2006</w:t>
      </w:r>
      <w:r w:rsidR="008B784E"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邻近的地方政府预算支出结构存在</w:t>
      </w:r>
      <w:r w:rsidR="00547D07" w:rsidRPr="00CF571C">
        <w:rPr>
          <w:rFonts w:ascii="Times New Roman" w:hAnsi="Times New Roman" w:cs="Times New Roman" w:hint="eastAsia"/>
          <w:color w:val="000000" w:themeColor="text1"/>
          <w:sz w:val="21"/>
          <w:szCs w:val="21"/>
        </w:rPr>
        <w:t>策略</w:t>
      </w:r>
      <w:r w:rsidRPr="00CF571C">
        <w:rPr>
          <w:rFonts w:ascii="Times New Roman" w:hAnsi="Times New Roman" w:cs="Times New Roman"/>
          <w:color w:val="000000" w:themeColor="text1"/>
          <w:sz w:val="21"/>
          <w:szCs w:val="21"/>
        </w:rPr>
        <w:t>互动。</w:t>
      </w:r>
      <w:r w:rsidR="00C5287D" w:rsidRPr="00CF571C">
        <w:rPr>
          <w:rFonts w:ascii="Times New Roman" w:hAnsi="Times New Roman" w:cs="Times New Roman"/>
          <w:color w:val="000000" w:themeColor="text1"/>
          <w:sz w:val="21"/>
          <w:szCs w:val="21"/>
        </w:rPr>
        <w:t>纵向和横向两种影响，体现了我国财政体制建立的基本原则和底色</w:t>
      </w:r>
      <w:r w:rsidR="00C5287D" w:rsidRPr="00CF571C">
        <w:rPr>
          <w:rFonts w:ascii="Times New Roman" w:hAnsi="Times New Roman" w:cs="Times New Roman"/>
          <w:color w:val="000000" w:themeColor="text1"/>
          <w:sz w:val="21"/>
          <w:szCs w:val="21"/>
        </w:rPr>
        <w:t>——</w:t>
      </w:r>
      <w:r w:rsidR="00C5287D" w:rsidRPr="00CF571C">
        <w:rPr>
          <w:rFonts w:ascii="Times New Roman" w:hAnsi="Times New Roman" w:cs="Times New Roman"/>
          <w:color w:val="000000" w:themeColor="text1"/>
          <w:sz w:val="21"/>
          <w:szCs w:val="21"/>
        </w:rPr>
        <w:t>统一领导、分级管理（吕冰洋</w:t>
      </w:r>
      <w:r w:rsidR="00483DA6" w:rsidRPr="00CF571C">
        <w:rPr>
          <w:rFonts w:ascii="Times New Roman" w:hAnsi="Times New Roman" w:cs="Times New Roman" w:hint="eastAsia"/>
          <w:color w:val="000000" w:themeColor="text1"/>
          <w:sz w:val="21"/>
          <w:szCs w:val="21"/>
        </w:rPr>
        <w:t>、</w:t>
      </w:r>
      <w:r w:rsidR="00C5287D" w:rsidRPr="00CF571C">
        <w:rPr>
          <w:rFonts w:ascii="Times New Roman" w:hAnsi="Times New Roman" w:cs="Times New Roman"/>
          <w:color w:val="000000" w:themeColor="text1"/>
          <w:sz w:val="21"/>
          <w:szCs w:val="21"/>
        </w:rPr>
        <w:t>贺颖，</w:t>
      </w:r>
      <w:r w:rsidR="00C5287D" w:rsidRPr="00CF571C">
        <w:rPr>
          <w:rFonts w:ascii="Times New Roman" w:hAnsi="Times New Roman" w:cs="Times New Roman"/>
          <w:color w:val="000000" w:themeColor="text1"/>
          <w:sz w:val="21"/>
          <w:szCs w:val="21"/>
        </w:rPr>
        <w:lastRenderedPageBreak/>
        <w:t>2022</w:t>
      </w:r>
      <w:r w:rsidR="00C5287D" w:rsidRPr="00CF571C">
        <w:rPr>
          <w:rFonts w:ascii="Times New Roman" w:hAnsi="Times New Roman" w:cs="Times New Roman"/>
          <w:color w:val="000000" w:themeColor="text1"/>
          <w:sz w:val="21"/>
          <w:szCs w:val="21"/>
        </w:rPr>
        <w:t>）</w:t>
      </w:r>
      <w:r w:rsidR="00C5287D" w:rsidRPr="00CF571C">
        <w:rPr>
          <w:rFonts w:ascii="Times New Roman" w:hAnsi="Times New Roman" w:cs="Times New Roman" w:hint="eastAsia"/>
          <w:color w:val="000000" w:themeColor="text1"/>
          <w:sz w:val="21"/>
          <w:szCs w:val="21"/>
        </w:rPr>
        <w:t>。</w:t>
      </w:r>
      <w:r w:rsidR="000B2DC5" w:rsidRPr="00CF571C">
        <w:rPr>
          <w:rFonts w:ascii="Times New Roman" w:hAnsi="Times New Roman" w:cs="Times New Roman" w:hint="eastAsia"/>
          <w:color w:val="000000" w:themeColor="text1"/>
          <w:sz w:val="21"/>
          <w:szCs w:val="21"/>
        </w:rPr>
        <w:t>“</w:t>
      </w:r>
      <w:r w:rsidR="00C5287D" w:rsidRPr="00CF571C">
        <w:rPr>
          <w:rFonts w:ascii="Times New Roman" w:hAnsi="Times New Roman" w:cs="Times New Roman"/>
          <w:color w:val="000000" w:themeColor="text1"/>
          <w:sz w:val="21"/>
          <w:szCs w:val="21"/>
        </w:rPr>
        <w:t>统一领导</w:t>
      </w:r>
      <w:r w:rsidR="000B2DC5" w:rsidRPr="00CF571C">
        <w:rPr>
          <w:rFonts w:ascii="Times New Roman" w:hAnsi="Times New Roman" w:cs="Times New Roman" w:hint="eastAsia"/>
          <w:color w:val="000000" w:themeColor="text1"/>
          <w:sz w:val="21"/>
          <w:szCs w:val="21"/>
        </w:rPr>
        <w:t>”</w:t>
      </w:r>
      <w:r w:rsidR="00C5287D" w:rsidRPr="00CF571C">
        <w:rPr>
          <w:rFonts w:ascii="Times New Roman" w:hAnsi="Times New Roman" w:cs="Times New Roman"/>
          <w:color w:val="000000" w:themeColor="text1"/>
          <w:sz w:val="21"/>
          <w:szCs w:val="21"/>
        </w:rPr>
        <w:t>是指在全国范围内有统一的财政方针、政策、计划和制度，这对应我国上级政府对重点支出方向的纵向统筹引导；</w:t>
      </w:r>
      <w:r w:rsidR="000B2DC5" w:rsidRPr="00CF571C">
        <w:rPr>
          <w:rFonts w:ascii="Times New Roman" w:hAnsi="Times New Roman" w:cs="Times New Roman" w:hint="eastAsia"/>
          <w:color w:val="000000" w:themeColor="text1"/>
          <w:sz w:val="21"/>
          <w:szCs w:val="21"/>
        </w:rPr>
        <w:t>“</w:t>
      </w:r>
      <w:r w:rsidR="00C5287D" w:rsidRPr="00CF571C">
        <w:rPr>
          <w:rFonts w:ascii="Times New Roman" w:hAnsi="Times New Roman" w:cs="Times New Roman"/>
          <w:color w:val="000000" w:themeColor="text1"/>
          <w:sz w:val="21"/>
          <w:szCs w:val="21"/>
        </w:rPr>
        <w:t>分级管理</w:t>
      </w:r>
      <w:r w:rsidR="000B2DC5" w:rsidRPr="00CF571C">
        <w:rPr>
          <w:rFonts w:ascii="Times New Roman" w:hAnsi="Times New Roman" w:cs="Times New Roman" w:hint="eastAsia"/>
          <w:color w:val="000000" w:themeColor="text1"/>
          <w:sz w:val="21"/>
          <w:szCs w:val="21"/>
        </w:rPr>
        <w:t>”</w:t>
      </w:r>
      <w:r w:rsidR="00C5287D" w:rsidRPr="00CF571C">
        <w:rPr>
          <w:rFonts w:ascii="Times New Roman" w:hAnsi="Times New Roman" w:cs="Times New Roman"/>
          <w:color w:val="000000" w:themeColor="text1"/>
          <w:sz w:val="21"/>
          <w:szCs w:val="21"/>
        </w:rPr>
        <w:t>则是赋予地方财政相应的自主权，使它们在不违背中央统一领导的前提下，能够因地制宜制定相应政策和管理财政收支，这对应我国地级市政府间财政支出的横向互动。</w:t>
      </w:r>
      <w:r w:rsidRPr="00CF571C">
        <w:rPr>
          <w:rFonts w:ascii="Times New Roman" w:hAnsi="Times New Roman" w:cs="Times New Roman"/>
          <w:color w:val="000000" w:themeColor="text1"/>
          <w:sz w:val="21"/>
          <w:szCs w:val="21"/>
        </w:rPr>
        <w:t>那么，如何确认和</w:t>
      </w:r>
      <w:r w:rsidR="008B784E" w:rsidRPr="00CF571C">
        <w:rPr>
          <w:rFonts w:ascii="Times New Roman" w:hAnsi="Times New Roman" w:cs="Times New Roman" w:hint="eastAsia"/>
          <w:color w:val="000000" w:themeColor="text1"/>
          <w:sz w:val="21"/>
          <w:szCs w:val="21"/>
        </w:rPr>
        <w:t>识别</w:t>
      </w:r>
      <w:r w:rsidRPr="00CF571C">
        <w:rPr>
          <w:rFonts w:ascii="Times New Roman" w:hAnsi="Times New Roman" w:cs="Times New Roman"/>
          <w:color w:val="000000" w:themeColor="text1"/>
          <w:sz w:val="21"/>
          <w:szCs w:val="21"/>
        </w:rPr>
        <w:t>纵向和横向两种影响？这种影响是否因支出类型不同存在差异？</w:t>
      </w:r>
    </w:p>
    <w:p w14:paraId="5898A978" w14:textId="77777777" w:rsidR="00AB2412" w:rsidRPr="00CF571C" w:rsidRDefault="00AB2412" w:rsidP="00C75E29">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本文利用</w:t>
      </w:r>
      <w:r w:rsidRPr="00CF571C">
        <w:rPr>
          <w:rFonts w:ascii="Times New Roman" w:hAnsi="Times New Roman" w:cs="Times New Roman"/>
          <w:color w:val="000000" w:themeColor="text1"/>
          <w:sz w:val="21"/>
          <w:szCs w:val="21"/>
        </w:rPr>
        <w:t>2010</w:t>
      </w:r>
      <w:r w:rsidR="00070F37"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2018</w:t>
      </w:r>
      <w:r w:rsidRPr="00CF571C">
        <w:rPr>
          <w:rFonts w:ascii="Times New Roman" w:hAnsi="Times New Roman" w:cs="Times New Roman" w:hint="eastAsia"/>
          <w:color w:val="000000" w:themeColor="text1"/>
          <w:sz w:val="21"/>
          <w:szCs w:val="21"/>
        </w:rPr>
        <w:t>年</w:t>
      </w:r>
      <w:r w:rsidRPr="00CF571C">
        <w:rPr>
          <w:rFonts w:ascii="Times New Roman" w:hAnsi="Times New Roman" w:cs="Times New Roman"/>
          <w:color w:val="000000" w:themeColor="text1"/>
          <w:sz w:val="21"/>
          <w:szCs w:val="21"/>
        </w:rPr>
        <w:t>地级市数据，将</w:t>
      </w:r>
      <w:r w:rsidRPr="00CF571C">
        <w:rPr>
          <w:rFonts w:ascii="Times New Roman" w:hAnsi="Times New Roman" w:cs="Times New Roman"/>
          <w:color w:val="000000" w:themeColor="text1"/>
          <w:sz w:val="21"/>
          <w:szCs w:val="21"/>
        </w:rPr>
        <w:t>262</w:t>
      </w:r>
      <w:r w:rsidRPr="00CF571C">
        <w:rPr>
          <w:rFonts w:ascii="Times New Roman" w:hAnsi="Times New Roman" w:cs="Times New Roman"/>
          <w:color w:val="000000" w:themeColor="text1"/>
          <w:sz w:val="21"/>
          <w:szCs w:val="21"/>
        </w:rPr>
        <w:t>个城市依次两两组合，对指标作差，创造性地构造</w:t>
      </w:r>
      <w:r w:rsidR="00402754" w:rsidRPr="00CF571C">
        <w:rPr>
          <w:rFonts w:ascii="Times New Roman" w:hAnsi="Times New Roman" w:cs="Times New Roman" w:hint="eastAsia"/>
          <w:color w:val="000000" w:themeColor="text1"/>
          <w:sz w:val="21"/>
          <w:szCs w:val="21"/>
        </w:rPr>
        <w:t>“</w:t>
      </w:r>
      <w:r w:rsidR="00402754" w:rsidRPr="00CF571C">
        <w:rPr>
          <w:rFonts w:ascii="Times New Roman" w:hAnsi="Times New Roman" w:cs="Times New Roman"/>
          <w:color w:val="000000" w:themeColor="text1"/>
          <w:sz w:val="21"/>
          <w:szCs w:val="21"/>
        </w:rPr>
        <w:t>城市对</w:t>
      </w:r>
      <w:r w:rsidR="00402754" w:rsidRPr="00CF571C">
        <w:rPr>
          <w:rFonts w:ascii="Times New Roman" w:hAnsi="Times New Roman" w:cs="Times New Roman" w:hint="eastAsia"/>
          <w:color w:val="000000" w:themeColor="text1"/>
          <w:sz w:val="21"/>
          <w:szCs w:val="21"/>
        </w:rPr>
        <w:t>”</w:t>
      </w:r>
      <w:r w:rsidR="00402754" w:rsidRPr="00CF571C">
        <w:rPr>
          <w:rFonts w:ascii="Times New Roman" w:hAnsi="Times New Roman" w:cs="Times New Roman"/>
          <w:color w:val="000000" w:themeColor="text1"/>
          <w:sz w:val="21"/>
          <w:szCs w:val="21"/>
        </w:rPr>
        <w:t>数据回答以上问题。</w:t>
      </w:r>
      <w:r w:rsidR="00402754" w:rsidRPr="00CF571C">
        <w:rPr>
          <w:rFonts w:ascii="Times New Roman" w:hAnsi="Times New Roman" w:cs="Times New Roman" w:hint="eastAsia"/>
          <w:color w:val="000000" w:themeColor="text1"/>
          <w:sz w:val="21"/>
          <w:szCs w:val="21"/>
        </w:rPr>
        <w:t>“</w:t>
      </w:r>
      <w:r w:rsidR="00402754" w:rsidRPr="00CF571C">
        <w:rPr>
          <w:rFonts w:ascii="Times New Roman" w:hAnsi="Times New Roman" w:cs="Times New Roman"/>
          <w:color w:val="000000" w:themeColor="text1"/>
          <w:sz w:val="21"/>
          <w:szCs w:val="21"/>
        </w:rPr>
        <w:t>城市对</w:t>
      </w:r>
      <w:r w:rsidR="00402754" w:rsidRPr="00CF571C">
        <w:rPr>
          <w:rFonts w:ascii="Times New Roman" w:hAnsi="Times New Roman" w:cs="Times New Roman" w:hint="eastAsia"/>
          <w:color w:val="000000" w:themeColor="text1"/>
          <w:sz w:val="21"/>
          <w:szCs w:val="21"/>
        </w:rPr>
        <w:t>”数</w:t>
      </w:r>
      <w:r w:rsidRPr="00CF571C">
        <w:rPr>
          <w:rFonts w:ascii="Times New Roman" w:hAnsi="Times New Roman" w:cs="Times New Roman"/>
          <w:color w:val="000000" w:themeColor="text1"/>
          <w:sz w:val="21"/>
          <w:szCs w:val="21"/>
        </w:rPr>
        <w:t>据使得城市间各项预算支出比重差异可以被直接度量，任意两城市之间的空间关系可以通过是否跨省、是否毗邻予以描述。基于此，本文在刻画城市间预算支出差异事实的基础上，</w:t>
      </w:r>
      <w:r w:rsidR="00D25F8D" w:rsidRPr="00CF571C">
        <w:rPr>
          <w:rFonts w:ascii="Times New Roman" w:hAnsi="Times New Roman" w:cs="Times New Roman" w:hint="eastAsia"/>
          <w:color w:val="000000" w:themeColor="text1"/>
          <w:sz w:val="21"/>
          <w:szCs w:val="21"/>
        </w:rPr>
        <w:t>首先</w:t>
      </w:r>
      <w:r w:rsidRPr="00CF571C">
        <w:rPr>
          <w:rFonts w:ascii="Times New Roman" w:hAnsi="Times New Roman" w:cs="Times New Roman"/>
          <w:color w:val="000000" w:themeColor="text1"/>
          <w:sz w:val="21"/>
          <w:szCs w:val="21"/>
        </w:rPr>
        <w:t>使用夏普利值分解法，验证地方预算支出结构差异的纵向和横向来源。</w:t>
      </w:r>
      <w:r w:rsidR="00D25F8D" w:rsidRPr="00CF571C">
        <w:rPr>
          <w:rFonts w:ascii="Times New Roman" w:hAnsi="Times New Roman" w:cs="Times New Roman" w:hint="eastAsia"/>
          <w:color w:val="000000" w:themeColor="text1"/>
          <w:sz w:val="21"/>
          <w:szCs w:val="21"/>
        </w:rPr>
        <w:t>然后</w:t>
      </w:r>
      <w:r w:rsidRPr="00CF571C">
        <w:rPr>
          <w:rFonts w:ascii="Times New Roman" w:hAnsi="Times New Roman" w:cs="Times New Roman"/>
          <w:color w:val="000000" w:themeColor="text1"/>
          <w:sz w:val="21"/>
          <w:szCs w:val="21"/>
        </w:rPr>
        <w:t>聚焦异省毗邻</w:t>
      </w:r>
      <w:r w:rsidR="000B2DC5"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0B2DC5"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这类特殊样本，使用倾向得分匹配法分解识别纵向与横向对预算支出结构差异影响的大小，同时对比分析教育、科技、医疗卫生以及社会保障</w:t>
      </w:r>
      <w:r w:rsidR="004A0581" w:rsidRPr="00CF571C">
        <w:rPr>
          <w:rFonts w:ascii="Times New Roman" w:hAnsi="Times New Roman" w:cs="Times New Roman" w:hint="eastAsia"/>
          <w:color w:val="000000" w:themeColor="text1"/>
          <w:sz w:val="21"/>
          <w:szCs w:val="21"/>
        </w:rPr>
        <w:t>等</w:t>
      </w:r>
      <w:r w:rsidRPr="00CF571C">
        <w:rPr>
          <w:rFonts w:ascii="Times New Roman" w:hAnsi="Times New Roman" w:cs="Times New Roman"/>
          <w:color w:val="000000" w:themeColor="text1"/>
          <w:sz w:val="21"/>
          <w:szCs w:val="21"/>
        </w:rPr>
        <w:t>不同预算支出类型所受影响大小的区别。</w:t>
      </w:r>
      <w:r w:rsidR="006B059A" w:rsidRPr="00CF571C">
        <w:rPr>
          <w:rFonts w:ascii="Times New Roman" w:hAnsi="Times New Roman" w:cs="Times New Roman" w:hint="eastAsia"/>
          <w:color w:val="000000" w:themeColor="text1"/>
          <w:sz w:val="21"/>
          <w:szCs w:val="21"/>
        </w:rPr>
        <w:t>值得注意的是，在本文所划分的四类“城市对”（同省毗邻、同省不毗邻、异省毗邻、异省不毗邻）中，本文</w:t>
      </w:r>
      <w:r w:rsidR="00D25F8D" w:rsidRPr="00CF571C">
        <w:rPr>
          <w:rFonts w:ascii="Times New Roman" w:hAnsi="Times New Roman" w:cs="Times New Roman" w:hint="eastAsia"/>
          <w:color w:val="000000" w:themeColor="text1"/>
          <w:sz w:val="21"/>
          <w:szCs w:val="21"/>
        </w:rPr>
        <w:t>着重</w:t>
      </w:r>
      <w:r w:rsidR="006B059A" w:rsidRPr="00CF571C">
        <w:rPr>
          <w:rFonts w:ascii="Times New Roman" w:hAnsi="Times New Roman" w:cs="Times New Roman" w:hint="eastAsia"/>
          <w:color w:val="000000" w:themeColor="text1"/>
          <w:sz w:val="21"/>
          <w:szCs w:val="21"/>
        </w:rPr>
        <w:t>研究</w:t>
      </w:r>
      <w:r w:rsidRPr="00CF571C">
        <w:rPr>
          <w:rFonts w:ascii="Times New Roman" w:hAnsi="Times New Roman" w:cs="Times New Roman"/>
          <w:color w:val="000000" w:themeColor="text1"/>
          <w:sz w:val="21"/>
          <w:szCs w:val="21"/>
        </w:rPr>
        <w:t>异省毗邻</w:t>
      </w:r>
      <w:r w:rsidR="000B2DC5"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0B2DC5"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样本，</w:t>
      </w:r>
      <w:r w:rsidR="006B059A" w:rsidRPr="00CF571C">
        <w:rPr>
          <w:rFonts w:ascii="Times New Roman" w:hAnsi="Times New Roman" w:cs="Times New Roman" w:hint="eastAsia"/>
          <w:color w:val="000000" w:themeColor="text1"/>
          <w:sz w:val="21"/>
          <w:szCs w:val="21"/>
        </w:rPr>
        <w:t>这</w:t>
      </w:r>
      <w:r w:rsidR="009C769A" w:rsidRPr="00CF571C">
        <w:rPr>
          <w:rFonts w:ascii="Times New Roman" w:hAnsi="Times New Roman" w:cs="Times New Roman" w:hint="eastAsia"/>
          <w:color w:val="000000" w:themeColor="text1"/>
          <w:sz w:val="21"/>
          <w:szCs w:val="21"/>
        </w:rPr>
        <w:t>类</w:t>
      </w:r>
      <w:r w:rsidR="006B059A" w:rsidRPr="00CF571C">
        <w:rPr>
          <w:rFonts w:ascii="Times New Roman" w:hAnsi="Times New Roman" w:cs="Times New Roman" w:hint="eastAsia"/>
          <w:color w:val="000000" w:themeColor="text1"/>
          <w:sz w:val="21"/>
          <w:szCs w:val="21"/>
        </w:rPr>
        <w:t>样本</w:t>
      </w:r>
      <w:r w:rsidRPr="00CF571C">
        <w:rPr>
          <w:rFonts w:ascii="Times New Roman" w:hAnsi="Times New Roman" w:cs="Times New Roman"/>
          <w:color w:val="000000" w:themeColor="text1"/>
          <w:sz w:val="21"/>
          <w:szCs w:val="21"/>
        </w:rPr>
        <w:t>一方面两城市毗邻交界，政府间预算支出结构可能存在横向互动；另一方面两城市所属不同省份，各自所在省级政府对其预算支出结构有不同的纵向影响。因此，</w:t>
      </w:r>
      <w:r w:rsidR="006B059A" w:rsidRPr="00CF571C">
        <w:rPr>
          <w:rFonts w:ascii="Times New Roman" w:hAnsi="Times New Roman" w:cs="Times New Roman" w:hint="eastAsia"/>
          <w:color w:val="000000" w:themeColor="text1"/>
          <w:sz w:val="21"/>
          <w:szCs w:val="21"/>
        </w:rPr>
        <w:t>异省毗邻</w:t>
      </w:r>
      <w:r w:rsidR="009C769A"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9C769A"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同时受到纵向和横向两种力量的影响，是我们重要的研究对象。</w:t>
      </w:r>
    </w:p>
    <w:p w14:paraId="73AA45AB" w14:textId="77777777" w:rsidR="00070F37" w:rsidRPr="00CF571C" w:rsidRDefault="00AB2412" w:rsidP="00070F37">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本文可能的边际贡献在于：第一，正式地检验了地方民生性预算支出结构差异的纵向和横向因素，为地方预算支出结构的调整和变动提供一种内在机理，丰富了财政支出、</w:t>
      </w:r>
      <w:r w:rsidR="007A534D" w:rsidRPr="00CF571C">
        <w:rPr>
          <w:rFonts w:ascii="Times New Roman" w:hAnsi="Times New Roman" w:cs="Times New Roman" w:hint="eastAsia"/>
          <w:color w:val="000000" w:themeColor="text1"/>
          <w:sz w:val="21"/>
          <w:szCs w:val="21"/>
        </w:rPr>
        <w:t>政府预算行为</w:t>
      </w:r>
      <w:r w:rsidRPr="00CF571C">
        <w:rPr>
          <w:rFonts w:ascii="Times New Roman" w:hAnsi="Times New Roman" w:cs="Times New Roman"/>
          <w:color w:val="000000" w:themeColor="text1"/>
          <w:sz w:val="21"/>
          <w:szCs w:val="21"/>
        </w:rPr>
        <w:t>的相关理论。</w:t>
      </w:r>
      <w:r w:rsidR="00840452" w:rsidRPr="00CF571C">
        <w:rPr>
          <w:rFonts w:ascii="Times New Roman" w:hAnsi="Times New Roman" w:cs="Times New Roman" w:hint="eastAsia"/>
          <w:color w:val="000000" w:themeColor="text1"/>
          <w:sz w:val="21"/>
          <w:szCs w:val="21"/>
        </w:rPr>
        <w:t>第二，对教育、科技、医疗卫生和社会保障支出等民生性支出做分类研究</w:t>
      </w:r>
      <w:r w:rsidR="00EC115C" w:rsidRPr="00CF571C">
        <w:rPr>
          <w:rFonts w:ascii="Times New Roman" w:hAnsi="Times New Roman" w:cs="Times New Roman" w:hint="eastAsia"/>
          <w:color w:val="000000" w:themeColor="text1"/>
          <w:sz w:val="21"/>
          <w:szCs w:val="21"/>
        </w:rPr>
        <w:t>。</w:t>
      </w:r>
      <w:r w:rsidR="00840452" w:rsidRPr="00CF571C">
        <w:rPr>
          <w:rFonts w:ascii="Times New Roman" w:hAnsi="Times New Roman" w:cs="Times New Roman"/>
          <w:color w:val="000000" w:themeColor="text1"/>
          <w:sz w:val="21"/>
          <w:szCs w:val="21"/>
        </w:rPr>
        <w:t>各类支出所提供的公共品性质存在较大差异，</w:t>
      </w:r>
      <w:r w:rsidR="00840452" w:rsidRPr="00CF571C">
        <w:rPr>
          <w:rFonts w:ascii="Times New Roman" w:hAnsi="Times New Roman" w:cs="Times New Roman" w:hint="eastAsia"/>
          <w:color w:val="000000" w:themeColor="text1"/>
          <w:sz w:val="21"/>
          <w:szCs w:val="21"/>
        </w:rPr>
        <w:t>细</w:t>
      </w:r>
      <w:r w:rsidR="00840452" w:rsidRPr="00CF571C">
        <w:rPr>
          <w:rFonts w:ascii="Times New Roman" w:hAnsi="Times New Roman" w:cs="Times New Roman"/>
          <w:color w:val="000000" w:themeColor="text1"/>
          <w:sz w:val="21"/>
          <w:szCs w:val="21"/>
        </w:rPr>
        <w:t>分</w:t>
      </w:r>
      <w:r w:rsidR="00EC115C" w:rsidRPr="00CF571C">
        <w:rPr>
          <w:rFonts w:ascii="Times New Roman" w:hAnsi="Times New Roman" w:cs="Times New Roman" w:hint="eastAsia"/>
          <w:color w:val="000000" w:themeColor="text1"/>
          <w:sz w:val="21"/>
          <w:szCs w:val="21"/>
        </w:rPr>
        <w:t>讨论可以增强</w:t>
      </w:r>
      <w:r w:rsidR="00840452" w:rsidRPr="00CF571C">
        <w:rPr>
          <w:rFonts w:ascii="Times New Roman" w:hAnsi="Times New Roman" w:cs="Times New Roman"/>
          <w:color w:val="000000" w:themeColor="text1"/>
          <w:sz w:val="21"/>
          <w:szCs w:val="21"/>
        </w:rPr>
        <w:t>结果的现实意义（李涛</w:t>
      </w:r>
      <w:r w:rsidR="00D25F8D" w:rsidRPr="00CF571C">
        <w:rPr>
          <w:rFonts w:ascii="Times New Roman" w:hAnsi="Times New Roman" w:cs="Times New Roman" w:hint="eastAsia"/>
          <w:color w:val="000000" w:themeColor="text1"/>
          <w:sz w:val="21"/>
          <w:szCs w:val="21"/>
        </w:rPr>
        <w:t>、</w:t>
      </w:r>
      <w:r w:rsidR="00840452" w:rsidRPr="00CF571C">
        <w:rPr>
          <w:rFonts w:ascii="Times New Roman" w:hAnsi="Times New Roman" w:cs="Times New Roman"/>
          <w:color w:val="000000" w:themeColor="text1"/>
          <w:sz w:val="21"/>
          <w:szCs w:val="21"/>
        </w:rPr>
        <w:t>周业安，</w:t>
      </w:r>
      <w:r w:rsidR="00840452" w:rsidRPr="00CF571C">
        <w:rPr>
          <w:rFonts w:ascii="Times New Roman" w:hAnsi="Times New Roman" w:cs="Times New Roman"/>
          <w:color w:val="000000" w:themeColor="text1"/>
          <w:sz w:val="21"/>
          <w:szCs w:val="21"/>
        </w:rPr>
        <w:t>2009</w:t>
      </w:r>
      <w:r w:rsidR="00840452"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第</w:t>
      </w:r>
      <w:r w:rsidR="00EC115C" w:rsidRPr="00CF571C">
        <w:rPr>
          <w:rFonts w:ascii="Times New Roman" w:hAnsi="Times New Roman" w:cs="Times New Roman" w:hint="eastAsia"/>
          <w:color w:val="000000" w:themeColor="text1"/>
          <w:sz w:val="21"/>
          <w:szCs w:val="21"/>
        </w:rPr>
        <w:t>三</w:t>
      </w:r>
      <w:r w:rsidRPr="00CF571C">
        <w:rPr>
          <w:rFonts w:ascii="Times New Roman" w:hAnsi="Times New Roman" w:cs="Times New Roman"/>
          <w:color w:val="000000" w:themeColor="text1"/>
          <w:sz w:val="21"/>
          <w:szCs w:val="21"/>
        </w:rPr>
        <w:t>，</w:t>
      </w:r>
      <w:r w:rsidR="009C769A" w:rsidRPr="00CF571C">
        <w:rPr>
          <w:rFonts w:ascii="Times New Roman" w:hAnsi="Times New Roman" w:cs="Times New Roman" w:hint="eastAsia"/>
          <w:color w:val="000000" w:themeColor="text1"/>
          <w:sz w:val="21"/>
          <w:szCs w:val="21"/>
        </w:rPr>
        <w:t>构造</w:t>
      </w:r>
      <w:r w:rsidR="000B2DC5"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0B2DC5"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数据，通过行政区划的准自然</w:t>
      </w:r>
      <w:r w:rsidR="005269C6" w:rsidRPr="00CF571C">
        <w:rPr>
          <w:rFonts w:ascii="Times New Roman" w:hAnsi="Times New Roman" w:cs="Times New Roman" w:hint="eastAsia"/>
          <w:color w:val="000000" w:themeColor="text1"/>
          <w:sz w:val="21"/>
          <w:szCs w:val="21"/>
        </w:rPr>
        <w:t>实验</w:t>
      </w:r>
      <w:r w:rsidRPr="00CF571C">
        <w:rPr>
          <w:rFonts w:ascii="Times New Roman" w:hAnsi="Times New Roman" w:cs="Times New Roman"/>
          <w:color w:val="000000" w:themeColor="text1"/>
          <w:sz w:val="21"/>
          <w:szCs w:val="21"/>
        </w:rPr>
        <w:t>，研究不同层级政府对于预算支出结构的制度影响及其特征，是空间计量之外的一次研究方法的创新。</w:t>
      </w:r>
    </w:p>
    <w:p w14:paraId="663FB298" w14:textId="77777777" w:rsidR="00070F37" w:rsidRPr="00CF571C" w:rsidRDefault="00070F37" w:rsidP="00070F37">
      <w:pPr>
        <w:adjustRightInd w:val="0"/>
        <w:snapToGrid w:val="0"/>
        <w:ind w:firstLineChars="200" w:firstLine="420"/>
        <w:jc w:val="both"/>
        <w:rPr>
          <w:rFonts w:ascii="Times New Roman" w:hAnsi="Times New Roman" w:cs="Times New Roman"/>
          <w:color w:val="000000" w:themeColor="text1"/>
          <w:sz w:val="21"/>
          <w:szCs w:val="21"/>
        </w:rPr>
      </w:pPr>
    </w:p>
    <w:p w14:paraId="34B36CA0" w14:textId="77777777" w:rsidR="00713C0E" w:rsidRPr="00CF571C" w:rsidRDefault="004E46D7" w:rsidP="00070F37">
      <w:pPr>
        <w:adjustRightInd w:val="0"/>
        <w:snapToGrid w:val="0"/>
        <w:ind w:firstLineChars="200" w:firstLine="480"/>
        <w:jc w:val="center"/>
        <w:rPr>
          <w:rFonts w:ascii="黑体" w:hAnsi="黑体" w:cs="Times New Roman"/>
          <w:color w:val="000000" w:themeColor="text1"/>
          <w:szCs w:val="28"/>
        </w:rPr>
      </w:pPr>
      <w:r w:rsidRPr="00CF571C">
        <w:rPr>
          <w:rFonts w:ascii="黑体" w:hAnsi="黑体" w:cs="Times New Roman" w:hint="eastAsia"/>
          <w:color w:val="000000" w:themeColor="text1"/>
          <w:szCs w:val="28"/>
        </w:rPr>
        <w:t>二、</w:t>
      </w:r>
      <w:r w:rsidR="00713C0E" w:rsidRPr="00CF571C">
        <w:rPr>
          <w:rFonts w:ascii="黑体" w:hAnsi="黑体" w:cs="Times New Roman" w:hint="eastAsia"/>
          <w:color w:val="000000" w:themeColor="text1"/>
          <w:szCs w:val="28"/>
        </w:rPr>
        <w:t>城市间预算支出结构差异的典型事实</w:t>
      </w:r>
    </w:p>
    <w:p w14:paraId="625B162E" w14:textId="77777777" w:rsidR="00CB0932" w:rsidRPr="00CF571C" w:rsidRDefault="00782749" w:rsidP="00782749">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本文的重要实证基础是城市间预算支出比重存在差异</w:t>
      </w:r>
      <w:r w:rsidR="00324195" w:rsidRPr="00CF571C">
        <w:rPr>
          <w:rFonts w:ascii="Times New Roman" w:hAnsi="Times New Roman" w:cs="Times New Roman" w:hint="eastAsia"/>
          <w:color w:val="000000" w:themeColor="text1"/>
          <w:sz w:val="21"/>
          <w:szCs w:val="21"/>
        </w:rPr>
        <w:t>。本文研究对象是</w:t>
      </w:r>
      <w:r w:rsidR="0080001A" w:rsidRPr="00CF571C">
        <w:rPr>
          <w:rFonts w:ascii="Times New Roman" w:hAnsi="Times New Roman" w:cs="Times New Roman" w:hint="eastAsia"/>
          <w:color w:val="000000" w:themeColor="text1"/>
          <w:sz w:val="21"/>
          <w:szCs w:val="21"/>
        </w:rPr>
        <w:t>地级市的</w:t>
      </w:r>
      <w:r w:rsidR="00324195" w:rsidRPr="00CF571C">
        <w:rPr>
          <w:rFonts w:ascii="Times New Roman" w:hAnsi="Times New Roman" w:cs="Times New Roman" w:hint="eastAsia"/>
          <w:color w:val="000000" w:themeColor="text1"/>
          <w:sz w:val="21"/>
          <w:szCs w:val="21"/>
        </w:rPr>
        <w:t>教育、科学技术、医疗卫生、社会保障与就业四</w:t>
      </w:r>
      <w:r w:rsidR="0080001A" w:rsidRPr="00CF571C">
        <w:rPr>
          <w:rFonts w:ascii="Times New Roman" w:hAnsi="Times New Roman" w:cs="Times New Roman" w:hint="eastAsia"/>
          <w:color w:val="000000" w:themeColor="text1"/>
          <w:sz w:val="21"/>
          <w:szCs w:val="21"/>
        </w:rPr>
        <w:t>类支出</w:t>
      </w:r>
      <w:r w:rsidR="00CB0932" w:rsidRPr="00CF571C">
        <w:rPr>
          <w:rFonts w:ascii="Times New Roman" w:hAnsi="Times New Roman" w:cs="Times New Roman" w:hint="eastAsia"/>
          <w:color w:val="000000" w:themeColor="text1"/>
          <w:sz w:val="21"/>
          <w:szCs w:val="21"/>
        </w:rPr>
        <w:t>。选择四类民生性支出的原因是</w:t>
      </w:r>
      <w:r w:rsidR="00CB0932" w:rsidRPr="00CF571C">
        <w:rPr>
          <w:rFonts w:ascii="Times New Roman" w:hAnsi="Times New Roman" w:cs="Times New Roman"/>
          <w:color w:val="000000" w:themeColor="text1"/>
          <w:sz w:val="21"/>
          <w:szCs w:val="21"/>
        </w:rPr>
        <w:t>目前有丰富的理论和证据</w:t>
      </w:r>
      <w:r w:rsidR="006E4720" w:rsidRPr="00CF571C">
        <w:rPr>
          <w:rFonts w:ascii="Times New Roman" w:hAnsi="Times New Roman" w:cs="Times New Roman" w:hint="eastAsia"/>
          <w:color w:val="000000" w:themeColor="text1"/>
          <w:sz w:val="21"/>
          <w:szCs w:val="21"/>
        </w:rPr>
        <w:t>对</w:t>
      </w:r>
      <w:r w:rsidR="00CB0932" w:rsidRPr="00CF571C">
        <w:rPr>
          <w:rFonts w:ascii="Times New Roman" w:hAnsi="Times New Roman" w:cs="Times New Roman"/>
          <w:color w:val="000000" w:themeColor="text1"/>
          <w:sz w:val="21"/>
          <w:szCs w:val="21"/>
        </w:rPr>
        <w:t>政府间因追求政绩，</w:t>
      </w:r>
      <w:r w:rsidR="00CB0932" w:rsidRPr="00CF571C">
        <w:rPr>
          <w:rFonts w:ascii="Times New Roman" w:hAnsi="Times New Roman" w:cs="Times New Roman" w:hint="eastAsia"/>
          <w:color w:val="000000" w:themeColor="text1"/>
          <w:sz w:val="21"/>
          <w:szCs w:val="21"/>
        </w:rPr>
        <w:t>存在生产性支出的</w:t>
      </w:r>
      <w:r w:rsidR="00CB0932" w:rsidRPr="00CF571C">
        <w:rPr>
          <w:rFonts w:ascii="Times New Roman" w:hAnsi="Times New Roman" w:cs="Times New Roman"/>
          <w:color w:val="000000" w:themeColor="text1"/>
          <w:sz w:val="21"/>
          <w:szCs w:val="21"/>
        </w:rPr>
        <w:t>横向竞争，</w:t>
      </w:r>
      <w:r w:rsidR="006E4720" w:rsidRPr="00CF571C">
        <w:rPr>
          <w:rFonts w:ascii="Times New Roman" w:hAnsi="Times New Roman" w:cs="Times New Roman" w:hint="eastAsia"/>
          <w:color w:val="000000" w:themeColor="text1"/>
          <w:sz w:val="21"/>
          <w:szCs w:val="21"/>
        </w:rPr>
        <w:t>最终</w:t>
      </w:r>
      <w:r w:rsidR="00CB0932" w:rsidRPr="00CF571C">
        <w:rPr>
          <w:rFonts w:ascii="Times New Roman" w:hAnsi="Times New Roman" w:cs="Times New Roman"/>
          <w:color w:val="000000" w:themeColor="text1"/>
          <w:sz w:val="21"/>
          <w:szCs w:val="21"/>
        </w:rPr>
        <w:t>引致财政支出结构偏向生产性支出</w:t>
      </w:r>
      <w:r w:rsidR="006E4720" w:rsidRPr="00CF571C">
        <w:rPr>
          <w:rFonts w:ascii="Times New Roman" w:hAnsi="Times New Roman" w:cs="Times New Roman" w:hint="eastAsia"/>
          <w:color w:val="000000" w:themeColor="text1"/>
          <w:sz w:val="21"/>
          <w:szCs w:val="21"/>
        </w:rPr>
        <w:t>的观点</w:t>
      </w:r>
      <w:r w:rsidR="00CB0932" w:rsidRPr="00CF571C">
        <w:rPr>
          <w:rFonts w:ascii="Times New Roman" w:hAnsi="Times New Roman" w:cs="Times New Roman"/>
          <w:color w:val="000000" w:themeColor="text1"/>
          <w:sz w:val="21"/>
          <w:szCs w:val="21"/>
        </w:rPr>
        <w:t>达成了较为一致的共识（张恒龙</w:t>
      </w:r>
      <w:r w:rsidR="00D25F8D" w:rsidRPr="00CF571C">
        <w:rPr>
          <w:rFonts w:ascii="Times New Roman" w:hAnsi="Times New Roman" w:cs="Times New Roman" w:hint="eastAsia"/>
          <w:color w:val="000000" w:themeColor="text1"/>
          <w:sz w:val="21"/>
          <w:szCs w:val="21"/>
        </w:rPr>
        <w:t>、</w:t>
      </w:r>
      <w:r w:rsidR="00CB0932" w:rsidRPr="00CF571C">
        <w:rPr>
          <w:rFonts w:ascii="Times New Roman" w:hAnsi="Times New Roman" w:cs="Times New Roman"/>
          <w:color w:val="000000" w:themeColor="text1"/>
          <w:sz w:val="21"/>
          <w:szCs w:val="21"/>
        </w:rPr>
        <w:t>陈宪，</w:t>
      </w:r>
      <w:r w:rsidR="00CB0932" w:rsidRPr="00CF571C">
        <w:rPr>
          <w:rFonts w:ascii="Times New Roman" w:hAnsi="Times New Roman" w:cs="Times New Roman"/>
          <w:color w:val="000000" w:themeColor="text1"/>
          <w:sz w:val="21"/>
          <w:szCs w:val="21"/>
        </w:rPr>
        <w:t>2006</w:t>
      </w:r>
      <w:r w:rsidR="00CB0932" w:rsidRPr="00CF571C">
        <w:rPr>
          <w:rFonts w:ascii="Times New Roman" w:hAnsi="Times New Roman" w:cs="Times New Roman"/>
          <w:color w:val="000000" w:themeColor="text1"/>
          <w:sz w:val="21"/>
          <w:szCs w:val="21"/>
        </w:rPr>
        <w:t>；傅勇</w:t>
      </w:r>
      <w:r w:rsidR="00D25F8D" w:rsidRPr="00CF571C">
        <w:rPr>
          <w:rFonts w:ascii="Times New Roman" w:hAnsi="Times New Roman" w:cs="Times New Roman" w:hint="eastAsia"/>
          <w:color w:val="000000" w:themeColor="text1"/>
          <w:sz w:val="21"/>
          <w:szCs w:val="21"/>
        </w:rPr>
        <w:t>、</w:t>
      </w:r>
      <w:r w:rsidR="00CB0932" w:rsidRPr="00CF571C">
        <w:rPr>
          <w:rFonts w:ascii="Times New Roman" w:hAnsi="Times New Roman" w:cs="Times New Roman"/>
          <w:color w:val="000000" w:themeColor="text1"/>
          <w:sz w:val="21"/>
          <w:szCs w:val="21"/>
        </w:rPr>
        <w:t>张晏，</w:t>
      </w:r>
      <w:r w:rsidR="00CB0932" w:rsidRPr="00CF571C">
        <w:rPr>
          <w:rFonts w:ascii="Times New Roman" w:hAnsi="Times New Roman" w:cs="Times New Roman"/>
          <w:color w:val="000000" w:themeColor="text1"/>
          <w:sz w:val="21"/>
          <w:szCs w:val="21"/>
        </w:rPr>
        <w:t>2007</w:t>
      </w:r>
      <w:r w:rsidR="00CB0932" w:rsidRPr="00CF571C">
        <w:rPr>
          <w:rFonts w:ascii="Times New Roman" w:hAnsi="Times New Roman" w:cs="Times New Roman"/>
          <w:color w:val="000000" w:themeColor="text1"/>
          <w:sz w:val="21"/>
          <w:szCs w:val="21"/>
        </w:rPr>
        <w:t>；李涛</w:t>
      </w:r>
      <w:r w:rsidR="00D25F8D" w:rsidRPr="00CF571C">
        <w:rPr>
          <w:rFonts w:ascii="Times New Roman" w:hAnsi="Times New Roman" w:cs="Times New Roman" w:hint="eastAsia"/>
          <w:color w:val="000000" w:themeColor="text1"/>
          <w:sz w:val="21"/>
          <w:szCs w:val="21"/>
        </w:rPr>
        <w:t>、</w:t>
      </w:r>
      <w:r w:rsidR="00CB0932" w:rsidRPr="00CF571C">
        <w:rPr>
          <w:rFonts w:ascii="Times New Roman" w:hAnsi="Times New Roman" w:cs="Times New Roman"/>
          <w:color w:val="000000" w:themeColor="text1"/>
          <w:sz w:val="21"/>
          <w:szCs w:val="21"/>
        </w:rPr>
        <w:t>周业安，</w:t>
      </w:r>
      <w:r w:rsidR="00CB0932" w:rsidRPr="00CF571C">
        <w:rPr>
          <w:rFonts w:ascii="Times New Roman" w:hAnsi="Times New Roman" w:cs="Times New Roman"/>
          <w:color w:val="000000" w:themeColor="text1"/>
          <w:sz w:val="21"/>
          <w:szCs w:val="21"/>
        </w:rPr>
        <w:t>2009</w:t>
      </w:r>
      <w:r w:rsidR="00CB0932" w:rsidRPr="00CF571C">
        <w:rPr>
          <w:rFonts w:ascii="Times New Roman" w:hAnsi="Times New Roman" w:cs="Times New Roman"/>
          <w:color w:val="000000" w:themeColor="text1"/>
          <w:sz w:val="21"/>
          <w:szCs w:val="21"/>
        </w:rPr>
        <w:t>；尹恒</w:t>
      </w:r>
      <w:r w:rsidR="00D25F8D" w:rsidRPr="00CF571C">
        <w:rPr>
          <w:rFonts w:ascii="Times New Roman" w:hAnsi="Times New Roman" w:cs="Times New Roman" w:hint="eastAsia"/>
          <w:color w:val="000000" w:themeColor="text1"/>
          <w:sz w:val="21"/>
          <w:szCs w:val="21"/>
        </w:rPr>
        <w:t>、</w:t>
      </w:r>
      <w:r w:rsidR="00CB0932" w:rsidRPr="00CF571C">
        <w:rPr>
          <w:rFonts w:ascii="Times New Roman" w:hAnsi="Times New Roman" w:cs="Times New Roman"/>
          <w:color w:val="000000" w:themeColor="text1"/>
          <w:sz w:val="21"/>
          <w:szCs w:val="21"/>
        </w:rPr>
        <w:t>徐琰超，</w:t>
      </w:r>
      <w:r w:rsidR="00CB0932" w:rsidRPr="00CF571C">
        <w:rPr>
          <w:rFonts w:ascii="Times New Roman" w:hAnsi="Times New Roman" w:cs="Times New Roman"/>
          <w:color w:val="000000" w:themeColor="text1"/>
          <w:sz w:val="21"/>
          <w:szCs w:val="21"/>
        </w:rPr>
        <w:t>2011</w:t>
      </w:r>
      <w:r w:rsidR="00CB0932" w:rsidRPr="00CF571C">
        <w:rPr>
          <w:rFonts w:ascii="Times New Roman" w:hAnsi="Times New Roman" w:cs="Times New Roman"/>
          <w:color w:val="000000" w:themeColor="text1"/>
          <w:sz w:val="21"/>
          <w:szCs w:val="21"/>
        </w:rPr>
        <w:t>；尹恒</w:t>
      </w:r>
      <w:r w:rsidR="00D25F8D" w:rsidRPr="00CF571C">
        <w:rPr>
          <w:rFonts w:ascii="Times New Roman" w:hAnsi="Times New Roman" w:cs="Times New Roman" w:hint="eastAsia"/>
          <w:color w:val="000000" w:themeColor="text1"/>
          <w:sz w:val="21"/>
          <w:szCs w:val="21"/>
        </w:rPr>
        <w:t>、</w:t>
      </w:r>
      <w:r w:rsidR="00CB0932" w:rsidRPr="00CF571C">
        <w:rPr>
          <w:rFonts w:ascii="Times New Roman" w:hAnsi="Times New Roman" w:cs="Times New Roman"/>
          <w:color w:val="000000" w:themeColor="text1"/>
          <w:sz w:val="21"/>
          <w:szCs w:val="21"/>
        </w:rPr>
        <w:t>朱虹，</w:t>
      </w:r>
      <w:r w:rsidR="00CB0932" w:rsidRPr="00CF571C">
        <w:rPr>
          <w:rFonts w:ascii="Times New Roman" w:hAnsi="Times New Roman" w:cs="Times New Roman"/>
          <w:color w:val="000000" w:themeColor="text1"/>
          <w:sz w:val="21"/>
          <w:szCs w:val="21"/>
        </w:rPr>
        <w:t>2011</w:t>
      </w:r>
      <w:r w:rsidR="00CB0932" w:rsidRPr="00CF571C">
        <w:rPr>
          <w:rFonts w:ascii="Times New Roman" w:hAnsi="Times New Roman" w:cs="Times New Roman"/>
          <w:color w:val="000000" w:themeColor="text1"/>
          <w:sz w:val="21"/>
          <w:szCs w:val="21"/>
        </w:rPr>
        <w:t>），然而，对于科教文卫支出以及社会保障支出等民生性支出还缺乏细致的讨论，尚未达成较为一致的结论。</w:t>
      </w:r>
    </w:p>
    <w:p w14:paraId="5B6EDDAB" w14:textId="77777777" w:rsidR="00BA597D" w:rsidRPr="00CF571C" w:rsidRDefault="0080001A" w:rsidP="00782749">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图</w:t>
      </w:r>
      <w:r w:rsidRPr="00CF571C">
        <w:rPr>
          <w:rFonts w:ascii="Times New Roman" w:hAnsi="Times New Roman" w:cs="Times New Roman" w:hint="eastAsia"/>
          <w:color w:val="000000" w:themeColor="text1"/>
          <w:sz w:val="21"/>
          <w:szCs w:val="21"/>
        </w:rPr>
        <w:t>1</w:t>
      </w:r>
      <w:r w:rsidRPr="00CF571C">
        <w:rPr>
          <w:rFonts w:ascii="Times New Roman" w:hAnsi="Times New Roman" w:cs="Times New Roman" w:hint="eastAsia"/>
          <w:color w:val="000000" w:themeColor="text1"/>
          <w:sz w:val="21"/>
          <w:szCs w:val="21"/>
        </w:rPr>
        <w:t>展示了</w:t>
      </w:r>
      <w:r w:rsidR="00735479" w:rsidRPr="00CF571C">
        <w:rPr>
          <w:rFonts w:ascii="Times New Roman" w:hAnsi="Times New Roman" w:cs="Times New Roman" w:hint="eastAsia"/>
          <w:color w:val="000000" w:themeColor="text1"/>
          <w:sz w:val="21"/>
          <w:szCs w:val="21"/>
        </w:rPr>
        <w:t>地级市四种支出分别占一般公共预算支出比重的分布</w:t>
      </w:r>
      <w:r w:rsidR="008C1209" w:rsidRPr="00CF571C">
        <w:rPr>
          <w:rFonts w:ascii="Times New Roman" w:hAnsi="Times New Roman" w:cs="Times New Roman" w:hint="eastAsia"/>
          <w:color w:val="000000" w:themeColor="text1"/>
          <w:sz w:val="21"/>
          <w:szCs w:val="21"/>
        </w:rPr>
        <w:t>密度</w:t>
      </w:r>
      <w:r w:rsidR="00735479" w:rsidRPr="00CF571C">
        <w:rPr>
          <w:rFonts w:ascii="Times New Roman" w:hAnsi="Times New Roman" w:cs="Times New Roman" w:hint="eastAsia"/>
          <w:color w:val="000000" w:themeColor="text1"/>
          <w:sz w:val="21"/>
          <w:szCs w:val="21"/>
        </w:rPr>
        <w:t>。可以看到，</w:t>
      </w:r>
      <w:r w:rsidR="004A4AD1" w:rsidRPr="00CF571C">
        <w:rPr>
          <w:rFonts w:ascii="Times New Roman" w:hAnsi="Times New Roman" w:cs="Times New Roman" w:hint="eastAsia"/>
          <w:color w:val="000000" w:themeColor="text1"/>
          <w:sz w:val="21"/>
          <w:szCs w:val="21"/>
        </w:rPr>
        <w:t>首先，</w:t>
      </w:r>
      <w:r w:rsidR="00735479" w:rsidRPr="00CF571C">
        <w:rPr>
          <w:rFonts w:ascii="Times New Roman" w:hAnsi="Times New Roman" w:cs="Times New Roman" w:hint="eastAsia"/>
          <w:color w:val="000000" w:themeColor="text1"/>
          <w:sz w:val="21"/>
          <w:szCs w:val="21"/>
        </w:rPr>
        <w:t>对于同类型预算支出比重，地级市间分布较为离散，尤其</w:t>
      </w:r>
      <w:r w:rsidR="00E91816" w:rsidRPr="00CF571C">
        <w:rPr>
          <w:rFonts w:ascii="Times New Roman" w:hAnsi="Times New Roman" w:cs="Times New Roman" w:hint="eastAsia"/>
          <w:color w:val="000000" w:themeColor="text1"/>
          <w:sz w:val="21"/>
          <w:szCs w:val="21"/>
        </w:rPr>
        <w:t>是</w:t>
      </w:r>
      <w:r w:rsidR="00735479" w:rsidRPr="00CF571C">
        <w:rPr>
          <w:rFonts w:ascii="Times New Roman" w:hAnsi="Times New Roman" w:cs="Times New Roman" w:hint="eastAsia"/>
          <w:color w:val="000000" w:themeColor="text1"/>
          <w:sz w:val="21"/>
          <w:szCs w:val="21"/>
        </w:rPr>
        <w:t>教育支出比重的分布最为离散，其次为社会保障与就业支出、医疗卫生支出，</w:t>
      </w:r>
      <w:r w:rsidR="009C769A" w:rsidRPr="00CF571C">
        <w:rPr>
          <w:rFonts w:ascii="Times New Roman" w:hAnsi="Times New Roman" w:cs="Times New Roman" w:hint="eastAsia"/>
          <w:color w:val="000000" w:themeColor="text1"/>
          <w:sz w:val="21"/>
          <w:szCs w:val="21"/>
        </w:rPr>
        <w:t>而</w:t>
      </w:r>
      <w:r w:rsidR="00735479" w:rsidRPr="00CF571C">
        <w:rPr>
          <w:rFonts w:ascii="Times New Roman" w:hAnsi="Times New Roman" w:cs="Times New Roman" w:hint="eastAsia"/>
          <w:color w:val="000000" w:themeColor="text1"/>
          <w:sz w:val="21"/>
          <w:szCs w:val="21"/>
        </w:rPr>
        <w:t>科学技术支出比重分布相对集中。</w:t>
      </w:r>
      <w:r w:rsidR="004A4AD1" w:rsidRPr="00CF571C">
        <w:rPr>
          <w:rFonts w:ascii="Times New Roman" w:hAnsi="Times New Roman" w:cs="Times New Roman" w:hint="eastAsia"/>
          <w:color w:val="000000" w:themeColor="text1"/>
          <w:sz w:val="21"/>
          <w:szCs w:val="21"/>
        </w:rPr>
        <w:t>其次，不同类型支出之间存在较大差异，四种类型支出比重呈现不同分布特征。根据图</w:t>
      </w:r>
      <w:r w:rsidR="004A4AD1" w:rsidRPr="00CF571C">
        <w:rPr>
          <w:rFonts w:ascii="Times New Roman" w:hAnsi="Times New Roman" w:cs="Times New Roman" w:hint="eastAsia"/>
          <w:color w:val="000000" w:themeColor="text1"/>
          <w:sz w:val="21"/>
          <w:szCs w:val="21"/>
        </w:rPr>
        <w:t>1</w:t>
      </w:r>
      <w:r w:rsidR="004A4AD1" w:rsidRPr="00CF571C">
        <w:rPr>
          <w:rFonts w:ascii="Times New Roman" w:hAnsi="Times New Roman" w:cs="Times New Roman" w:hint="eastAsia"/>
          <w:color w:val="000000" w:themeColor="text1"/>
          <w:sz w:val="21"/>
          <w:szCs w:val="21"/>
        </w:rPr>
        <w:t>的分布结果可知：城市间存在普遍的预算支出差异，不同类型支出的分布离散程度存在差异，教育支出与社会保障支出比重离散程度较高。</w:t>
      </w:r>
    </w:p>
    <w:p w14:paraId="473AC5BB" w14:textId="77777777" w:rsidR="00B006ED" w:rsidRPr="00CF571C" w:rsidRDefault="00356DEC" w:rsidP="00356DEC">
      <w:pPr>
        <w:jc w:val="center"/>
        <w:rPr>
          <w:b/>
          <w:bCs/>
          <w:color w:val="000000" w:themeColor="text1"/>
        </w:rPr>
      </w:pPr>
      <w:r w:rsidRPr="00CF571C">
        <w:rPr>
          <w:rFonts w:ascii="Times New Roman" w:hAnsi="Times New Roman" w:cs="Times New Roman" w:hint="eastAsia"/>
          <w:bCs/>
          <w:noProof/>
          <w:color w:val="000000" w:themeColor="text1"/>
          <w:kern w:val="2"/>
          <w:sz w:val="21"/>
          <w:szCs w:val="18"/>
        </w:rPr>
        <w:lastRenderedPageBreak/>
        <w:drawing>
          <wp:inline distT="0" distB="0" distL="0" distR="0" wp14:anchorId="3D415184" wp14:editId="0DE11A7C">
            <wp:extent cx="3543300" cy="2550409"/>
            <wp:effectExtent l="0" t="0" r="0" b="2540"/>
            <wp:docPr id="8" name="图片 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直方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8972" cy="2583283"/>
                    </a:xfrm>
                    <a:prstGeom prst="rect">
                      <a:avLst/>
                    </a:prstGeom>
                  </pic:spPr>
                </pic:pic>
              </a:graphicData>
            </a:graphic>
          </wp:inline>
        </w:drawing>
      </w:r>
    </w:p>
    <w:p w14:paraId="34C08441" w14:textId="77777777" w:rsidR="00A9454F" w:rsidRPr="00CF571C" w:rsidRDefault="00A9454F" w:rsidP="003F2671">
      <w:pPr>
        <w:adjustRightInd w:val="0"/>
        <w:snapToGrid w:val="0"/>
        <w:jc w:val="center"/>
        <w:rPr>
          <w:rFonts w:ascii="Times New Roman" w:eastAsia="楷体" w:hAnsi="Times New Roman" w:cs="Times New Roman"/>
          <w:bCs/>
          <w:color w:val="000000" w:themeColor="text1"/>
          <w:sz w:val="21"/>
          <w:szCs w:val="21"/>
        </w:rPr>
      </w:pPr>
      <w:r w:rsidRPr="00CF571C">
        <w:rPr>
          <w:rFonts w:ascii="Times New Roman" w:eastAsia="楷体" w:hAnsi="Times New Roman" w:cs="Times New Roman"/>
          <w:bCs/>
          <w:color w:val="000000" w:themeColor="text1"/>
          <w:sz w:val="21"/>
          <w:szCs w:val="21"/>
        </w:rPr>
        <w:t>图</w:t>
      </w:r>
      <w:r w:rsidRPr="00CF571C">
        <w:rPr>
          <w:rFonts w:ascii="Times New Roman" w:eastAsia="楷体" w:hAnsi="Times New Roman" w:cs="Times New Roman"/>
          <w:bCs/>
          <w:color w:val="000000" w:themeColor="text1"/>
          <w:sz w:val="21"/>
          <w:szCs w:val="21"/>
        </w:rPr>
        <w:t xml:space="preserve">1 </w:t>
      </w:r>
      <w:r w:rsidR="007529E0" w:rsidRPr="00CF571C">
        <w:rPr>
          <w:rFonts w:ascii="Times New Roman" w:eastAsia="楷体" w:hAnsi="Times New Roman" w:cs="Times New Roman"/>
          <w:bCs/>
          <w:color w:val="000000" w:themeColor="text1"/>
          <w:sz w:val="21"/>
          <w:szCs w:val="21"/>
        </w:rPr>
        <w:t xml:space="preserve">   </w:t>
      </w:r>
      <w:r w:rsidRPr="00CF571C">
        <w:rPr>
          <w:rFonts w:ascii="Times New Roman" w:eastAsia="楷体" w:hAnsi="Times New Roman" w:cs="Times New Roman"/>
          <w:bCs/>
          <w:color w:val="000000" w:themeColor="text1"/>
          <w:sz w:val="21"/>
          <w:szCs w:val="21"/>
        </w:rPr>
        <w:t>地级市预算支出差异分布</w:t>
      </w:r>
    </w:p>
    <w:p w14:paraId="589E8BFA" w14:textId="77777777" w:rsidR="004076B9" w:rsidRPr="00CF571C" w:rsidRDefault="004076B9" w:rsidP="006130E6">
      <w:pPr>
        <w:widowControl w:val="0"/>
        <w:adjustRightInd w:val="0"/>
        <w:snapToGrid w:val="0"/>
        <w:spacing w:beforeLines="50" w:before="156" w:afterLines="50" w:after="156"/>
        <w:ind w:firstLineChars="200" w:firstLine="420"/>
        <w:jc w:val="center"/>
        <w:rPr>
          <w:rFonts w:ascii="Times New Roman" w:hAnsi="Times New Roman" w:cs="Times New Roman"/>
          <w:bCs/>
          <w:color w:val="000000" w:themeColor="text1"/>
          <w:kern w:val="2"/>
          <w:sz w:val="21"/>
          <w:szCs w:val="18"/>
        </w:rPr>
      </w:pPr>
    </w:p>
    <w:p w14:paraId="556CD1E8" w14:textId="77777777" w:rsidR="00BA597D" w:rsidRPr="00CF571C" w:rsidRDefault="00AC10C8" w:rsidP="0008540B">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bCs/>
          <w:color w:val="000000" w:themeColor="text1"/>
          <w:kern w:val="2"/>
          <w:sz w:val="21"/>
          <w:szCs w:val="18"/>
        </w:rPr>
        <w:t>为进一步确认城市间</w:t>
      </w:r>
      <w:r w:rsidR="00BA597D" w:rsidRPr="00CF571C">
        <w:rPr>
          <w:rFonts w:ascii="Times New Roman" w:hAnsi="Times New Roman" w:cs="Times New Roman" w:hint="eastAsia"/>
          <w:bCs/>
          <w:color w:val="000000" w:themeColor="text1"/>
          <w:kern w:val="2"/>
          <w:sz w:val="21"/>
          <w:szCs w:val="18"/>
        </w:rPr>
        <w:t>预算支出比重差异</w:t>
      </w:r>
      <w:r w:rsidRPr="00CF571C">
        <w:rPr>
          <w:rFonts w:ascii="Times New Roman" w:hAnsi="Times New Roman" w:cs="Times New Roman" w:hint="eastAsia"/>
          <w:bCs/>
          <w:color w:val="000000" w:themeColor="text1"/>
          <w:kern w:val="2"/>
          <w:sz w:val="21"/>
          <w:szCs w:val="18"/>
        </w:rPr>
        <w:t>的典型事实</w:t>
      </w:r>
      <w:r w:rsidR="00BA597D" w:rsidRPr="00CF571C">
        <w:rPr>
          <w:rFonts w:ascii="Times New Roman" w:hAnsi="Times New Roman" w:cs="Times New Roman" w:hint="eastAsia"/>
          <w:bCs/>
          <w:color w:val="000000" w:themeColor="text1"/>
          <w:kern w:val="2"/>
          <w:sz w:val="21"/>
          <w:szCs w:val="18"/>
        </w:rPr>
        <w:t>，可以通过统计分布指标来验证和支持。首先，</w:t>
      </w:r>
      <w:r w:rsidR="00AF4CEA" w:rsidRPr="00CF571C">
        <w:rPr>
          <w:rFonts w:ascii="Times New Roman" w:hAnsi="Times New Roman" w:cs="Times New Roman" w:hint="eastAsia"/>
          <w:bCs/>
          <w:color w:val="000000" w:themeColor="text1"/>
          <w:kern w:val="2"/>
          <w:sz w:val="21"/>
          <w:szCs w:val="18"/>
        </w:rPr>
        <w:t>将城市两两组合，同项预算支出比重做差</w:t>
      </w:r>
      <w:r w:rsidR="00F6595C" w:rsidRPr="00CF571C">
        <w:rPr>
          <w:rFonts w:ascii="Times New Roman" w:hAnsi="Times New Roman" w:cs="Times New Roman" w:hint="eastAsia"/>
          <w:bCs/>
          <w:color w:val="000000" w:themeColor="text1"/>
          <w:kern w:val="2"/>
          <w:sz w:val="21"/>
          <w:szCs w:val="18"/>
        </w:rPr>
        <w:t>，得到任意两城市间的预算支出比重差异。其次，根据两城市所处省份，</w:t>
      </w:r>
      <w:r w:rsidR="00BA597D" w:rsidRPr="00CF571C">
        <w:rPr>
          <w:rFonts w:ascii="Times New Roman" w:hAnsi="Times New Roman" w:cs="Times New Roman" w:hint="eastAsia"/>
          <w:bCs/>
          <w:color w:val="000000" w:themeColor="text1"/>
          <w:kern w:val="2"/>
          <w:sz w:val="21"/>
          <w:szCs w:val="18"/>
        </w:rPr>
        <w:t>划分为异省、同省两组来分别比较。如图</w:t>
      </w:r>
      <w:r w:rsidR="008A2F88" w:rsidRPr="00CF571C">
        <w:rPr>
          <w:rFonts w:ascii="Times New Roman" w:hAnsi="Times New Roman" w:cs="Times New Roman"/>
          <w:bCs/>
          <w:color w:val="000000" w:themeColor="text1"/>
          <w:kern w:val="2"/>
          <w:sz w:val="21"/>
          <w:szCs w:val="18"/>
        </w:rPr>
        <w:t>2</w:t>
      </w:r>
      <w:r w:rsidR="00BA597D" w:rsidRPr="00CF571C">
        <w:rPr>
          <w:rFonts w:ascii="Times New Roman" w:hAnsi="Times New Roman" w:cs="Times New Roman" w:hint="eastAsia"/>
          <w:bCs/>
          <w:color w:val="000000" w:themeColor="text1"/>
          <w:kern w:val="2"/>
          <w:sz w:val="21"/>
          <w:szCs w:val="18"/>
        </w:rPr>
        <w:t>所示，</w:t>
      </w:r>
      <w:r w:rsidR="002C31B8" w:rsidRPr="00CF571C">
        <w:rPr>
          <w:rFonts w:ascii="Times New Roman" w:hAnsi="Times New Roman" w:cs="Times New Roman" w:hint="eastAsia"/>
          <w:bCs/>
          <w:color w:val="000000" w:themeColor="text1"/>
          <w:kern w:val="2"/>
          <w:sz w:val="21"/>
          <w:szCs w:val="18"/>
        </w:rPr>
        <w:t>上轴为标准差，下轴为均值，</w:t>
      </w:r>
      <w:r w:rsidR="00BA597D" w:rsidRPr="00CF571C">
        <w:rPr>
          <w:rFonts w:ascii="Times New Roman" w:hAnsi="Times New Roman" w:cs="Times New Roman" w:hint="eastAsia"/>
          <w:bCs/>
          <w:color w:val="000000" w:themeColor="text1"/>
          <w:kern w:val="2"/>
          <w:sz w:val="21"/>
          <w:szCs w:val="18"/>
        </w:rPr>
        <w:t>教育、科技、医疗卫生和社会保障支出比重差异的均值和标准差在异省组和同省组城市呈现出一定特征。</w:t>
      </w:r>
      <w:r w:rsidR="00BA597D" w:rsidRPr="00CF571C">
        <w:rPr>
          <w:rFonts w:ascii="Times New Roman" w:hAnsi="Times New Roman" w:cs="Times New Roman" w:hint="eastAsia"/>
          <w:b/>
          <w:color w:val="000000" w:themeColor="text1"/>
          <w:kern w:val="2"/>
          <w:sz w:val="21"/>
          <w:szCs w:val="18"/>
        </w:rPr>
        <w:t>整体来看，异省组预算支出比重差异的均值较大，标准差较大，说明相对于同省城市，跨省城市有更明显的预算支出结构差异和更离散的差异分布。</w:t>
      </w:r>
      <w:r w:rsidR="00BA597D" w:rsidRPr="00CF571C">
        <w:rPr>
          <w:rFonts w:ascii="Times New Roman" w:hAnsi="Times New Roman" w:cs="Times New Roman" w:hint="eastAsia"/>
          <w:bCs/>
          <w:color w:val="000000" w:themeColor="text1"/>
          <w:kern w:val="2"/>
          <w:sz w:val="21"/>
          <w:szCs w:val="18"/>
        </w:rPr>
        <w:t>具体来看，对于教育支出比重差异，不论在同省组还是异省组，其差异的均值和标准差均大于其他支出类型。科技支出比重差异的均值和标准差</w:t>
      </w:r>
      <w:r w:rsidR="004A0581" w:rsidRPr="00CF571C">
        <w:rPr>
          <w:rFonts w:ascii="Times New Roman" w:hAnsi="Times New Roman" w:cs="Times New Roman" w:hint="eastAsia"/>
          <w:bCs/>
          <w:color w:val="000000" w:themeColor="text1"/>
          <w:kern w:val="2"/>
          <w:sz w:val="21"/>
          <w:szCs w:val="18"/>
        </w:rPr>
        <w:t>在</w:t>
      </w:r>
      <w:r w:rsidR="00BA597D" w:rsidRPr="00CF571C">
        <w:rPr>
          <w:rFonts w:ascii="Times New Roman" w:hAnsi="Times New Roman" w:cs="Times New Roman" w:hint="eastAsia"/>
          <w:bCs/>
          <w:color w:val="000000" w:themeColor="text1"/>
          <w:kern w:val="2"/>
          <w:sz w:val="21"/>
          <w:szCs w:val="18"/>
        </w:rPr>
        <w:t>四类支出中的最低，且异省组和同省组区别较小。医疗卫生支出比重差异的均值和标准差相对科技支出比重差异增大，但</w:t>
      </w:r>
      <w:r w:rsidR="00BA597D" w:rsidRPr="00CF571C">
        <w:rPr>
          <w:rFonts w:ascii="Times New Roman" w:hAnsi="Times New Roman" w:cs="Times New Roman" w:hint="eastAsia"/>
          <w:color w:val="000000" w:themeColor="text1"/>
          <w:sz w:val="21"/>
          <w:szCs w:val="21"/>
        </w:rPr>
        <w:t>小于教育支出比重差异和社会保障支出比重差异。异省组和同省组的社会保障支出比重差异均值与标准差有最明显的对比，异省组均值和标准差远大于同省组。</w:t>
      </w:r>
    </w:p>
    <w:p w14:paraId="4ABD9430" w14:textId="77777777" w:rsidR="0008540B" w:rsidRPr="00CF571C" w:rsidRDefault="004A0581" w:rsidP="0008540B">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基于此，</w:t>
      </w:r>
      <w:r w:rsidR="0008540B" w:rsidRPr="00CF571C">
        <w:rPr>
          <w:rFonts w:ascii="Times New Roman" w:hAnsi="Times New Roman" w:cs="Times New Roman" w:hint="eastAsia"/>
          <w:color w:val="000000" w:themeColor="text1"/>
          <w:sz w:val="21"/>
          <w:szCs w:val="21"/>
        </w:rPr>
        <w:t>归纳出以下典型事实：</w:t>
      </w:r>
    </w:p>
    <w:p w14:paraId="65EAC648" w14:textId="77777777" w:rsidR="0008540B" w:rsidRPr="00CF571C" w:rsidRDefault="0008540B" w:rsidP="0008540B">
      <w:pPr>
        <w:adjustRightInd w:val="0"/>
        <w:snapToGrid w:val="0"/>
        <w:ind w:firstLineChars="200" w:firstLine="422"/>
        <w:jc w:val="both"/>
        <w:rPr>
          <w:rFonts w:ascii="Times New Roman" w:hAnsi="Times New Roman" w:cs="Times New Roman"/>
          <w:b/>
          <w:color w:val="000000" w:themeColor="text1"/>
          <w:kern w:val="2"/>
          <w:sz w:val="21"/>
          <w:szCs w:val="18"/>
        </w:rPr>
      </w:pPr>
      <w:r w:rsidRPr="00CF571C">
        <w:rPr>
          <w:rFonts w:ascii="楷体" w:eastAsia="楷体" w:hAnsi="楷体" w:cs="Times New Roman" w:hint="eastAsia"/>
          <w:b/>
          <w:color w:val="000000" w:themeColor="text1"/>
          <w:kern w:val="2"/>
          <w:sz w:val="21"/>
          <w:szCs w:val="18"/>
        </w:rPr>
        <w:t>典型事实1</w:t>
      </w:r>
      <w:r w:rsidR="00E91816" w:rsidRPr="00CF571C">
        <w:rPr>
          <w:rFonts w:ascii="楷体" w:eastAsia="楷体" w:hAnsi="楷体" w:cs="Times New Roman" w:hint="eastAsia"/>
          <w:b/>
          <w:color w:val="000000" w:themeColor="text1"/>
          <w:kern w:val="2"/>
          <w:sz w:val="21"/>
          <w:szCs w:val="18"/>
        </w:rPr>
        <w:t>：</w:t>
      </w:r>
      <w:r w:rsidRPr="00CF571C">
        <w:rPr>
          <w:rFonts w:ascii="楷体" w:eastAsia="楷体" w:hAnsi="楷体" w:cs="Times New Roman" w:hint="eastAsia"/>
          <w:b/>
          <w:color w:val="000000" w:themeColor="text1"/>
          <w:kern w:val="2"/>
          <w:sz w:val="21"/>
          <w:szCs w:val="18"/>
        </w:rPr>
        <w:t>省内城市预算支出差异较小，跨省城市预算支出差异较大</w:t>
      </w:r>
      <w:r w:rsidRPr="00CF571C">
        <w:rPr>
          <w:rFonts w:ascii="Times New Roman" w:hAnsi="Times New Roman" w:cs="Times New Roman" w:hint="eastAsia"/>
          <w:b/>
          <w:color w:val="000000" w:themeColor="text1"/>
          <w:kern w:val="2"/>
          <w:sz w:val="21"/>
          <w:szCs w:val="18"/>
        </w:rPr>
        <w:t>。</w:t>
      </w:r>
    </w:p>
    <w:p w14:paraId="7AC5B7FB" w14:textId="77777777" w:rsidR="007E25E8" w:rsidRPr="00CF571C" w:rsidRDefault="00F6595C" w:rsidP="007E25E8">
      <w:pPr>
        <w:rPr>
          <w:color w:val="000000" w:themeColor="text1"/>
        </w:rPr>
      </w:pPr>
      <w:r w:rsidRPr="00CF571C">
        <w:rPr>
          <w:noProof/>
          <w:color w:val="000000" w:themeColor="text1"/>
        </w:rPr>
        <w:drawing>
          <wp:anchor distT="0" distB="0" distL="114300" distR="114300" simplePos="0" relativeHeight="251652096" behindDoc="0" locked="0" layoutInCell="1" allowOverlap="1" wp14:anchorId="0FC1BF3F" wp14:editId="16D29035">
            <wp:simplePos x="0" y="0"/>
            <wp:positionH relativeFrom="column">
              <wp:posOffset>306705</wp:posOffset>
            </wp:positionH>
            <wp:positionV relativeFrom="paragraph">
              <wp:posOffset>215900</wp:posOffset>
            </wp:positionV>
            <wp:extent cx="4685665" cy="2583180"/>
            <wp:effectExtent l="0" t="0" r="63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5665" cy="2583180"/>
                    </a:xfrm>
                    <a:prstGeom prst="rect">
                      <a:avLst/>
                    </a:prstGeom>
                  </pic:spPr>
                </pic:pic>
              </a:graphicData>
            </a:graphic>
          </wp:anchor>
        </w:drawing>
      </w:r>
    </w:p>
    <w:p w14:paraId="0E3013BE" w14:textId="77777777" w:rsidR="00713C0E" w:rsidRPr="00CF571C" w:rsidRDefault="00713C0E" w:rsidP="00713C0E">
      <w:pPr>
        <w:adjustRightInd w:val="0"/>
        <w:snapToGrid w:val="0"/>
        <w:jc w:val="center"/>
        <w:rPr>
          <w:rFonts w:ascii="Times New Roman" w:eastAsia="楷体" w:hAnsi="Times New Roman" w:cs="Times New Roman"/>
          <w:bCs/>
          <w:color w:val="000000" w:themeColor="text1"/>
          <w:sz w:val="21"/>
          <w:szCs w:val="21"/>
        </w:rPr>
      </w:pPr>
      <w:r w:rsidRPr="00CF571C">
        <w:rPr>
          <w:rFonts w:ascii="Times New Roman" w:eastAsia="楷体" w:hAnsi="Times New Roman" w:cs="Times New Roman"/>
          <w:bCs/>
          <w:color w:val="000000" w:themeColor="text1"/>
          <w:sz w:val="21"/>
          <w:szCs w:val="21"/>
        </w:rPr>
        <w:t>图</w:t>
      </w:r>
      <w:r w:rsidR="008A2F88" w:rsidRPr="00CF571C">
        <w:rPr>
          <w:rFonts w:ascii="Times New Roman" w:eastAsia="楷体" w:hAnsi="Times New Roman" w:cs="Times New Roman"/>
          <w:bCs/>
          <w:color w:val="000000" w:themeColor="text1"/>
          <w:sz w:val="21"/>
          <w:szCs w:val="21"/>
        </w:rPr>
        <w:t>2</w:t>
      </w:r>
      <w:r w:rsidR="00070F37" w:rsidRPr="00CF571C">
        <w:rPr>
          <w:rFonts w:ascii="Times New Roman" w:eastAsia="楷体" w:hAnsi="Times New Roman" w:cs="Times New Roman" w:hint="eastAsia"/>
          <w:bCs/>
          <w:color w:val="000000" w:themeColor="text1"/>
          <w:sz w:val="21"/>
          <w:szCs w:val="21"/>
        </w:rPr>
        <w:t xml:space="preserve">  </w:t>
      </w:r>
      <w:r w:rsidRPr="00CF571C">
        <w:rPr>
          <w:rFonts w:ascii="Times New Roman" w:eastAsia="楷体" w:hAnsi="Times New Roman" w:cs="Times New Roman"/>
          <w:bCs/>
          <w:color w:val="000000" w:themeColor="text1"/>
          <w:sz w:val="21"/>
          <w:szCs w:val="21"/>
        </w:rPr>
        <w:t>异省与同省</w:t>
      </w:r>
      <w:r w:rsidRPr="00CF571C">
        <w:rPr>
          <w:rFonts w:ascii="Times New Roman" w:eastAsia="楷体" w:hAnsi="Times New Roman" w:cs="Times New Roman"/>
          <w:bCs/>
          <w:color w:val="000000" w:themeColor="text1"/>
          <w:sz w:val="21"/>
          <w:szCs w:val="21"/>
        </w:rPr>
        <w:t>“</w:t>
      </w:r>
      <w:r w:rsidRPr="00CF571C">
        <w:rPr>
          <w:rFonts w:ascii="Times New Roman" w:eastAsia="楷体" w:hAnsi="Times New Roman" w:cs="Times New Roman"/>
          <w:bCs/>
          <w:color w:val="000000" w:themeColor="text1"/>
          <w:sz w:val="21"/>
          <w:szCs w:val="21"/>
        </w:rPr>
        <w:t>城市对</w:t>
      </w:r>
      <w:r w:rsidRPr="00CF571C">
        <w:rPr>
          <w:rFonts w:ascii="Times New Roman" w:eastAsia="楷体" w:hAnsi="Times New Roman" w:cs="Times New Roman"/>
          <w:bCs/>
          <w:color w:val="000000" w:themeColor="text1"/>
          <w:sz w:val="21"/>
          <w:szCs w:val="21"/>
        </w:rPr>
        <w:t>”</w:t>
      </w:r>
      <w:r w:rsidRPr="00CF571C">
        <w:rPr>
          <w:rFonts w:ascii="Times New Roman" w:eastAsia="楷体" w:hAnsi="Times New Roman" w:cs="Times New Roman"/>
          <w:bCs/>
          <w:color w:val="000000" w:themeColor="text1"/>
          <w:sz w:val="21"/>
          <w:szCs w:val="21"/>
        </w:rPr>
        <w:t>预算支出结构差异分布</w:t>
      </w:r>
    </w:p>
    <w:p w14:paraId="657227BA" w14:textId="77777777" w:rsidR="00197BBB" w:rsidRPr="00CF571C" w:rsidRDefault="00197BBB" w:rsidP="0008540B">
      <w:pPr>
        <w:adjustRightInd w:val="0"/>
        <w:snapToGrid w:val="0"/>
        <w:ind w:firstLineChars="200" w:firstLine="420"/>
        <w:jc w:val="both"/>
        <w:rPr>
          <w:rFonts w:ascii="Times New Roman" w:hAnsi="Times New Roman" w:cs="Times New Roman"/>
          <w:color w:val="000000" w:themeColor="text1"/>
          <w:sz w:val="21"/>
          <w:szCs w:val="21"/>
        </w:rPr>
      </w:pPr>
    </w:p>
    <w:p w14:paraId="676B0440" w14:textId="77777777" w:rsidR="0008540B" w:rsidRPr="00CF571C" w:rsidRDefault="00C509E3" w:rsidP="0008540B">
      <w:pPr>
        <w:adjustRightInd w:val="0"/>
        <w:snapToGrid w:val="0"/>
        <w:ind w:firstLineChars="200" w:firstLine="420"/>
        <w:jc w:val="both"/>
        <w:rPr>
          <w:rFonts w:ascii="Times New Roman" w:hAnsi="Times New Roman" w:cs="Times New Roman"/>
          <w:bCs/>
          <w:color w:val="000000" w:themeColor="text1"/>
          <w:kern w:val="2"/>
          <w:sz w:val="21"/>
          <w:szCs w:val="18"/>
        </w:rPr>
      </w:pPr>
      <w:r w:rsidRPr="00CF571C">
        <w:rPr>
          <w:rFonts w:ascii="Times New Roman" w:hAnsi="Times New Roman" w:cs="Times New Roman" w:hint="eastAsia"/>
          <w:color w:val="000000" w:themeColor="text1"/>
          <w:sz w:val="21"/>
          <w:szCs w:val="21"/>
        </w:rPr>
        <w:t>类似</w:t>
      </w:r>
      <w:r w:rsidR="00722A52" w:rsidRPr="00CF571C">
        <w:rPr>
          <w:rFonts w:ascii="Times New Roman" w:hAnsi="Times New Roman" w:cs="Times New Roman" w:hint="eastAsia"/>
          <w:color w:val="000000" w:themeColor="text1"/>
          <w:sz w:val="21"/>
          <w:szCs w:val="21"/>
        </w:rPr>
        <w:t>地</w:t>
      </w:r>
      <w:r w:rsidRPr="00CF571C">
        <w:rPr>
          <w:rFonts w:ascii="Times New Roman" w:hAnsi="Times New Roman" w:cs="Times New Roman" w:hint="eastAsia"/>
          <w:color w:val="000000" w:themeColor="text1"/>
          <w:sz w:val="21"/>
          <w:szCs w:val="21"/>
        </w:rPr>
        <w:t>，将样本组</w:t>
      </w:r>
      <w:r w:rsidR="00BA597D" w:rsidRPr="00CF571C">
        <w:rPr>
          <w:rFonts w:ascii="Times New Roman" w:hAnsi="Times New Roman" w:cs="Times New Roman" w:hint="eastAsia"/>
          <w:color w:val="000000" w:themeColor="text1"/>
          <w:sz w:val="21"/>
          <w:szCs w:val="21"/>
        </w:rPr>
        <w:t>划分为毗邻、不毗邻两组来分别比较。如图</w:t>
      </w:r>
      <w:r w:rsidR="008A2F88" w:rsidRPr="00CF571C">
        <w:rPr>
          <w:rFonts w:ascii="Times New Roman" w:hAnsi="Times New Roman" w:cs="Times New Roman"/>
          <w:color w:val="000000" w:themeColor="text1"/>
          <w:sz w:val="21"/>
          <w:szCs w:val="21"/>
        </w:rPr>
        <w:t>3</w:t>
      </w:r>
      <w:r w:rsidR="00BA597D" w:rsidRPr="00CF571C">
        <w:rPr>
          <w:rFonts w:ascii="Times New Roman" w:hAnsi="Times New Roman" w:cs="Times New Roman" w:hint="eastAsia"/>
          <w:color w:val="000000" w:themeColor="text1"/>
          <w:sz w:val="21"/>
          <w:szCs w:val="21"/>
        </w:rPr>
        <w:t>所示，</w:t>
      </w:r>
      <w:r w:rsidR="002C31B8" w:rsidRPr="00CF571C">
        <w:rPr>
          <w:rFonts w:ascii="Times New Roman" w:hAnsi="Times New Roman" w:cs="Times New Roman" w:hint="eastAsia"/>
          <w:color w:val="000000" w:themeColor="text1"/>
          <w:sz w:val="21"/>
          <w:szCs w:val="21"/>
        </w:rPr>
        <w:t>上轴为标准差，下轴为均值，</w:t>
      </w:r>
      <w:r w:rsidR="00BA597D" w:rsidRPr="00CF571C">
        <w:rPr>
          <w:rFonts w:ascii="Times New Roman" w:hAnsi="Times New Roman" w:cs="Times New Roman" w:hint="eastAsia"/>
          <w:color w:val="000000" w:themeColor="text1"/>
          <w:sz w:val="21"/>
          <w:szCs w:val="21"/>
        </w:rPr>
        <w:t>教育、科技、医疗卫生和社会保障支出比重差异的均值和标准差在毗邻组和</w:t>
      </w:r>
      <w:r w:rsidR="00BA597D" w:rsidRPr="00CF571C">
        <w:rPr>
          <w:rFonts w:ascii="Times New Roman" w:hAnsi="Times New Roman" w:cs="Times New Roman" w:hint="eastAsia"/>
          <w:color w:val="000000" w:themeColor="text1"/>
          <w:sz w:val="21"/>
          <w:szCs w:val="21"/>
        </w:rPr>
        <w:lastRenderedPageBreak/>
        <w:t>不毗邻组中呈现不同特征。</w:t>
      </w:r>
      <w:r w:rsidR="00BA597D" w:rsidRPr="00CF571C">
        <w:rPr>
          <w:rFonts w:ascii="Times New Roman" w:hAnsi="Times New Roman" w:cs="Times New Roman" w:hint="eastAsia"/>
          <w:b/>
          <w:color w:val="000000" w:themeColor="text1"/>
          <w:kern w:val="2"/>
          <w:sz w:val="21"/>
          <w:szCs w:val="18"/>
        </w:rPr>
        <w:t>整体来看，毗邻的城市间预算支出比重差异的均值较小，标准差较小，说明相对于不毗邻城市，毗邻城市间的预算支出结构差异更小</w:t>
      </w:r>
      <w:r w:rsidR="00E91816" w:rsidRPr="00CF571C">
        <w:rPr>
          <w:rFonts w:ascii="Times New Roman" w:hAnsi="Times New Roman" w:cs="Times New Roman" w:hint="eastAsia"/>
          <w:b/>
          <w:color w:val="000000" w:themeColor="text1"/>
          <w:kern w:val="2"/>
          <w:sz w:val="21"/>
          <w:szCs w:val="18"/>
        </w:rPr>
        <w:t>且</w:t>
      </w:r>
      <w:r w:rsidR="00BA597D" w:rsidRPr="00CF571C">
        <w:rPr>
          <w:rFonts w:ascii="Times New Roman" w:hAnsi="Times New Roman" w:cs="Times New Roman" w:hint="eastAsia"/>
          <w:b/>
          <w:color w:val="000000" w:themeColor="text1"/>
          <w:kern w:val="2"/>
          <w:sz w:val="21"/>
          <w:szCs w:val="18"/>
        </w:rPr>
        <w:t>分布更紧密。</w:t>
      </w:r>
      <w:r w:rsidR="00BA597D" w:rsidRPr="00CF571C">
        <w:rPr>
          <w:rFonts w:ascii="Times New Roman" w:hAnsi="Times New Roman" w:cs="Times New Roman" w:hint="eastAsia"/>
          <w:bCs/>
          <w:color w:val="000000" w:themeColor="text1"/>
          <w:kern w:val="2"/>
          <w:sz w:val="21"/>
          <w:szCs w:val="18"/>
        </w:rPr>
        <w:t>具体来看，对于教育支出比重差异，不论在毗邻组还是不毗邻组，差异的均值和标准差均大于其他支出类型，差异均值在毗邻组和不毗邻</w:t>
      </w:r>
      <w:r w:rsidR="00E91816" w:rsidRPr="00CF571C">
        <w:rPr>
          <w:rFonts w:ascii="Times New Roman" w:hAnsi="Times New Roman" w:cs="Times New Roman" w:hint="eastAsia"/>
          <w:bCs/>
          <w:color w:val="000000" w:themeColor="text1"/>
          <w:kern w:val="2"/>
          <w:sz w:val="21"/>
          <w:szCs w:val="18"/>
        </w:rPr>
        <w:t>组</w:t>
      </w:r>
      <w:r w:rsidR="00BA597D" w:rsidRPr="00CF571C">
        <w:rPr>
          <w:rFonts w:ascii="Times New Roman" w:hAnsi="Times New Roman" w:cs="Times New Roman" w:hint="eastAsia"/>
          <w:bCs/>
          <w:color w:val="000000" w:themeColor="text1"/>
          <w:kern w:val="2"/>
          <w:sz w:val="21"/>
          <w:szCs w:val="18"/>
        </w:rPr>
        <w:t>间的对比明显，毗邻组远小于不毗邻组。对于科技支出比重差异，差异的均值和标准差同样是四类支出中的最低。医疗卫生支出比重差异的均值和标准差相对科技支出比重差异增大。社会保障支出比重差异的标准差在毗邻组和不毗邻组间有最为明显的对比，毗邻组标准差远小于不毗邻组。</w:t>
      </w:r>
    </w:p>
    <w:p w14:paraId="0F8F0ADB" w14:textId="77777777" w:rsidR="0008540B" w:rsidRPr="00CF571C" w:rsidRDefault="0008540B" w:rsidP="0008540B">
      <w:pPr>
        <w:adjustRightInd w:val="0"/>
        <w:snapToGrid w:val="0"/>
        <w:ind w:firstLineChars="200" w:firstLine="420"/>
        <w:jc w:val="both"/>
        <w:rPr>
          <w:rFonts w:ascii="Times New Roman" w:hAnsi="Times New Roman" w:cs="Times New Roman"/>
          <w:bCs/>
          <w:color w:val="000000" w:themeColor="text1"/>
          <w:kern w:val="2"/>
          <w:sz w:val="21"/>
          <w:szCs w:val="18"/>
        </w:rPr>
      </w:pPr>
      <w:r w:rsidRPr="00CF571C">
        <w:rPr>
          <w:rFonts w:ascii="Times New Roman" w:hAnsi="Times New Roman" w:cs="Times New Roman"/>
          <w:noProof/>
          <w:color w:val="000000" w:themeColor="text1"/>
          <w:sz w:val="21"/>
          <w:szCs w:val="21"/>
        </w:rPr>
        <w:drawing>
          <wp:anchor distT="0" distB="0" distL="114300" distR="114300" simplePos="0" relativeHeight="251654144" behindDoc="0" locked="0" layoutInCell="1" allowOverlap="1" wp14:anchorId="26F2FD33" wp14:editId="52E84CFE">
            <wp:simplePos x="0" y="0"/>
            <wp:positionH relativeFrom="column">
              <wp:posOffset>219710</wp:posOffset>
            </wp:positionH>
            <wp:positionV relativeFrom="paragraph">
              <wp:posOffset>207645</wp:posOffset>
            </wp:positionV>
            <wp:extent cx="4754880" cy="264668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4880" cy="2646680"/>
                    </a:xfrm>
                    <a:prstGeom prst="rect">
                      <a:avLst/>
                    </a:prstGeom>
                  </pic:spPr>
                </pic:pic>
              </a:graphicData>
            </a:graphic>
          </wp:anchor>
        </w:drawing>
      </w:r>
    </w:p>
    <w:p w14:paraId="7DA033D8" w14:textId="77777777" w:rsidR="00BA597D" w:rsidRPr="00CF571C" w:rsidRDefault="00BA597D" w:rsidP="00BA597D">
      <w:pPr>
        <w:jc w:val="center"/>
        <w:rPr>
          <w:rFonts w:ascii="Times New Roman" w:eastAsia="楷体" w:hAnsi="Times New Roman" w:cs="Times New Roman"/>
          <w:color w:val="000000" w:themeColor="text1"/>
        </w:rPr>
      </w:pPr>
      <w:r w:rsidRPr="00CF571C">
        <w:rPr>
          <w:rFonts w:ascii="Times New Roman" w:eastAsia="楷体" w:hAnsi="Times New Roman" w:cs="Times New Roman"/>
          <w:bCs/>
          <w:color w:val="000000" w:themeColor="text1"/>
          <w:sz w:val="21"/>
          <w:szCs w:val="21"/>
        </w:rPr>
        <w:t>图</w:t>
      </w:r>
      <w:r w:rsidR="008A2F88" w:rsidRPr="00CF571C">
        <w:rPr>
          <w:rFonts w:ascii="Times New Roman" w:eastAsia="楷体" w:hAnsi="Times New Roman" w:cs="Times New Roman"/>
          <w:bCs/>
          <w:color w:val="000000" w:themeColor="text1"/>
          <w:sz w:val="21"/>
          <w:szCs w:val="21"/>
        </w:rPr>
        <w:t>3</w:t>
      </w:r>
      <w:r w:rsidR="007529E0" w:rsidRPr="00CF571C">
        <w:rPr>
          <w:rFonts w:ascii="Times New Roman" w:eastAsia="楷体" w:hAnsi="Times New Roman" w:cs="Times New Roman"/>
          <w:bCs/>
          <w:color w:val="000000" w:themeColor="text1"/>
          <w:sz w:val="21"/>
          <w:szCs w:val="21"/>
        </w:rPr>
        <w:t xml:space="preserve">    </w:t>
      </w:r>
      <w:r w:rsidRPr="00CF571C">
        <w:rPr>
          <w:rFonts w:ascii="Times New Roman" w:eastAsia="楷体" w:hAnsi="Times New Roman" w:cs="Times New Roman"/>
          <w:bCs/>
          <w:color w:val="000000" w:themeColor="text1"/>
          <w:sz w:val="21"/>
          <w:szCs w:val="21"/>
        </w:rPr>
        <w:t>毗邻与不毗邻</w:t>
      </w:r>
      <w:r w:rsidR="002B2F17" w:rsidRPr="00CF571C">
        <w:rPr>
          <w:rFonts w:ascii="Times New Roman" w:eastAsia="楷体" w:hAnsi="Times New Roman" w:cs="Times New Roman" w:hint="eastAsia"/>
          <w:bCs/>
          <w:color w:val="000000" w:themeColor="text1"/>
          <w:sz w:val="21"/>
          <w:szCs w:val="21"/>
        </w:rPr>
        <w:t>“</w:t>
      </w:r>
      <w:r w:rsidRPr="00CF571C">
        <w:rPr>
          <w:rFonts w:ascii="Times New Roman" w:eastAsia="楷体" w:hAnsi="Times New Roman" w:cs="Times New Roman"/>
          <w:bCs/>
          <w:color w:val="000000" w:themeColor="text1"/>
          <w:sz w:val="21"/>
          <w:szCs w:val="21"/>
        </w:rPr>
        <w:t>城市对</w:t>
      </w:r>
      <w:r w:rsidR="002B2F17" w:rsidRPr="00CF571C">
        <w:rPr>
          <w:rFonts w:ascii="Times New Roman" w:eastAsia="楷体" w:hAnsi="Times New Roman" w:cs="Times New Roman" w:hint="eastAsia"/>
          <w:bCs/>
          <w:color w:val="000000" w:themeColor="text1"/>
          <w:sz w:val="21"/>
          <w:szCs w:val="21"/>
        </w:rPr>
        <w:t>”</w:t>
      </w:r>
      <w:r w:rsidRPr="00CF571C">
        <w:rPr>
          <w:rFonts w:ascii="Times New Roman" w:eastAsia="楷体" w:hAnsi="Times New Roman" w:cs="Times New Roman"/>
          <w:bCs/>
          <w:color w:val="000000" w:themeColor="text1"/>
          <w:sz w:val="21"/>
          <w:szCs w:val="21"/>
        </w:rPr>
        <w:t>预算支出结构差异分布</w:t>
      </w:r>
    </w:p>
    <w:p w14:paraId="05F1DFD5" w14:textId="77777777" w:rsidR="0008540B" w:rsidRPr="00CF571C" w:rsidRDefault="0008540B" w:rsidP="0008540B">
      <w:pPr>
        <w:adjustRightInd w:val="0"/>
        <w:snapToGrid w:val="0"/>
        <w:ind w:firstLineChars="200" w:firstLine="420"/>
        <w:jc w:val="both"/>
        <w:rPr>
          <w:rFonts w:ascii="Times New Roman" w:hAnsi="Times New Roman" w:cs="Times New Roman"/>
          <w:color w:val="000000" w:themeColor="text1"/>
          <w:sz w:val="21"/>
          <w:szCs w:val="21"/>
        </w:rPr>
      </w:pPr>
    </w:p>
    <w:p w14:paraId="2B249352" w14:textId="77777777" w:rsidR="0008540B" w:rsidRPr="00CF571C" w:rsidRDefault="0008540B" w:rsidP="0008540B">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基于此，归纳出以下典型事实：</w:t>
      </w:r>
    </w:p>
    <w:p w14:paraId="35347952" w14:textId="77777777" w:rsidR="00070F37" w:rsidRPr="00CF571C" w:rsidRDefault="0008540B" w:rsidP="00070F37">
      <w:pPr>
        <w:adjustRightInd w:val="0"/>
        <w:snapToGrid w:val="0"/>
        <w:ind w:firstLineChars="200" w:firstLine="422"/>
        <w:jc w:val="both"/>
        <w:rPr>
          <w:rFonts w:ascii="Times New Roman" w:hAnsi="Times New Roman" w:cs="Times New Roman"/>
          <w:b/>
          <w:bCs/>
          <w:color w:val="000000" w:themeColor="text1"/>
          <w:sz w:val="21"/>
          <w:szCs w:val="21"/>
        </w:rPr>
      </w:pPr>
      <w:r w:rsidRPr="00CF571C">
        <w:rPr>
          <w:rFonts w:ascii="楷体" w:eastAsia="楷体" w:hAnsi="楷体" w:cs="Times New Roman" w:hint="eastAsia"/>
          <w:b/>
          <w:bCs/>
          <w:color w:val="000000" w:themeColor="text1"/>
          <w:sz w:val="21"/>
          <w:szCs w:val="21"/>
        </w:rPr>
        <w:t>典型事实</w:t>
      </w:r>
      <w:r w:rsidRPr="00CF571C">
        <w:rPr>
          <w:rFonts w:ascii="楷体" w:eastAsia="楷体" w:hAnsi="楷体" w:cs="Times New Roman"/>
          <w:b/>
          <w:bCs/>
          <w:color w:val="000000" w:themeColor="text1"/>
          <w:sz w:val="21"/>
          <w:szCs w:val="21"/>
        </w:rPr>
        <w:t>2</w:t>
      </w:r>
      <w:r w:rsidR="00E91816" w:rsidRPr="00CF571C">
        <w:rPr>
          <w:rFonts w:ascii="楷体" w:eastAsia="楷体" w:hAnsi="楷体" w:cs="Times New Roman" w:hint="eastAsia"/>
          <w:b/>
          <w:bCs/>
          <w:color w:val="000000" w:themeColor="text1"/>
          <w:sz w:val="21"/>
          <w:szCs w:val="21"/>
        </w:rPr>
        <w:t>：</w:t>
      </w:r>
      <w:r w:rsidRPr="00CF571C">
        <w:rPr>
          <w:rFonts w:ascii="楷体" w:eastAsia="楷体" w:hAnsi="楷体" w:cs="Times New Roman" w:hint="eastAsia"/>
          <w:b/>
          <w:bCs/>
          <w:color w:val="000000" w:themeColor="text1"/>
          <w:sz w:val="21"/>
          <w:szCs w:val="21"/>
        </w:rPr>
        <w:t>毗邻城市预算支出差异较小，不毗邻城市预算支出差异较大</w:t>
      </w:r>
      <w:r w:rsidRPr="00CF571C">
        <w:rPr>
          <w:rFonts w:ascii="Times New Roman" w:hAnsi="Times New Roman" w:cs="Times New Roman" w:hint="eastAsia"/>
          <w:b/>
          <w:bCs/>
          <w:color w:val="000000" w:themeColor="text1"/>
          <w:sz w:val="21"/>
          <w:szCs w:val="21"/>
        </w:rPr>
        <w:t>。</w:t>
      </w:r>
    </w:p>
    <w:p w14:paraId="391F1209" w14:textId="77777777" w:rsidR="00070F37" w:rsidRPr="00CF571C" w:rsidRDefault="00070F37" w:rsidP="00070F37">
      <w:pPr>
        <w:adjustRightInd w:val="0"/>
        <w:snapToGrid w:val="0"/>
        <w:ind w:firstLineChars="200" w:firstLine="422"/>
        <w:jc w:val="both"/>
        <w:rPr>
          <w:rFonts w:ascii="Times New Roman" w:hAnsi="Times New Roman" w:cs="Times New Roman"/>
          <w:b/>
          <w:bCs/>
          <w:color w:val="000000" w:themeColor="text1"/>
          <w:sz w:val="21"/>
          <w:szCs w:val="21"/>
        </w:rPr>
      </w:pPr>
    </w:p>
    <w:p w14:paraId="7803B58A" w14:textId="77777777" w:rsidR="00FA224E" w:rsidRPr="00CF571C" w:rsidRDefault="004E46D7" w:rsidP="00070F37">
      <w:pPr>
        <w:adjustRightInd w:val="0"/>
        <w:snapToGrid w:val="0"/>
        <w:ind w:firstLineChars="200" w:firstLine="480"/>
        <w:jc w:val="center"/>
        <w:rPr>
          <w:rFonts w:ascii="Times New Roman" w:hAnsi="Times New Roman" w:cs="Times New Roman"/>
          <w:color w:val="000000" w:themeColor="text1"/>
          <w:szCs w:val="28"/>
        </w:rPr>
      </w:pPr>
      <w:r w:rsidRPr="00CF571C">
        <w:rPr>
          <w:rFonts w:ascii="Times New Roman" w:hAnsi="Times New Roman" w:cs="Times New Roman" w:hint="eastAsia"/>
          <w:color w:val="000000" w:themeColor="text1"/>
          <w:szCs w:val="28"/>
        </w:rPr>
        <w:t>三、</w:t>
      </w:r>
      <w:r w:rsidR="00FA224E" w:rsidRPr="00CF571C">
        <w:rPr>
          <w:rFonts w:ascii="Times New Roman" w:hAnsi="Times New Roman" w:cs="Times New Roman" w:hint="eastAsia"/>
          <w:color w:val="000000" w:themeColor="text1"/>
          <w:szCs w:val="28"/>
        </w:rPr>
        <w:t>制度背景与假设</w:t>
      </w:r>
      <w:r w:rsidR="00C96CCB" w:rsidRPr="00CF571C">
        <w:rPr>
          <w:rFonts w:ascii="Times New Roman" w:hAnsi="Times New Roman" w:cs="Times New Roman" w:hint="eastAsia"/>
          <w:color w:val="000000" w:themeColor="text1"/>
          <w:szCs w:val="28"/>
        </w:rPr>
        <w:t>提出</w:t>
      </w:r>
    </w:p>
    <w:p w14:paraId="415859E8" w14:textId="77777777" w:rsidR="00D506C7" w:rsidRPr="00CF571C" w:rsidRDefault="00D506C7" w:rsidP="00286DDE">
      <w:pPr>
        <w:adjustRightInd w:val="0"/>
        <w:snapToGrid w:val="0"/>
        <w:ind w:firstLineChars="200" w:firstLine="420"/>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以上</w:t>
      </w:r>
      <w:r w:rsidR="001A3851" w:rsidRPr="00CF571C">
        <w:rPr>
          <w:rFonts w:ascii="Times New Roman" w:hAnsi="Times New Roman" w:cs="Times New Roman" w:hint="eastAsia"/>
          <w:color w:val="000000" w:themeColor="text1"/>
          <w:sz w:val="21"/>
          <w:szCs w:val="21"/>
        </w:rPr>
        <w:t>典型</w:t>
      </w:r>
      <w:r w:rsidRPr="00CF571C">
        <w:rPr>
          <w:rFonts w:ascii="Times New Roman" w:hAnsi="Times New Roman" w:cs="Times New Roman" w:hint="eastAsia"/>
          <w:color w:val="000000" w:themeColor="text1"/>
          <w:sz w:val="21"/>
          <w:szCs w:val="21"/>
        </w:rPr>
        <w:t>事实特征</w:t>
      </w:r>
      <w:r w:rsidR="001A3851" w:rsidRPr="00CF571C">
        <w:rPr>
          <w:rFonts w:ascii="Times New Roman" w:hAnsi="Times New Roman" w:cs="Times New Roman" w:hint="eastAsia"/>
          <w:color w:val="000000" w:themeColor="text1"/>
          <w:sz w:val="21"/>
          <w:szCs w:val="21"/>
        </w:rPr>
        <w:t>说明</w:t>
      </w:r>
      <w:r w:rsidRPr="00CF571C">
        <w:rPr>
          <w:rFonts w:ascii="Times New Roman" w:hAnsi="Times New Roman" w:cs="Times New Roman" w:hint="eastAsia"/>
          <w:color w:val="000000" w:themeColor="text1"/>
          <w:sz w:val="21"/>
          <w:szCs w:val="21"/>
        </w:rPr>
        <w:t>，</w:t>
      </w:r>
      <w:r w:rsidR="001A3851" w:rsidRPr="00CF571C">
        <w:rPr>
          <w:rFonts w:ascii="Times New Roman" w:hAnsi="Times New Roman" w:cs="Times New Roman" w:hint="eastAsia"/>
          <w:color w:val="000000" w:themeColor="text1"/>
          <w:sz w:val="21"/>
          <w:szCs w:val="21"/>
        </w:rPr>
        <w:t>不同类型城市间的预算支出差异存在</w:t>
      </w:r>
      <w:r w:rsidR="001A3E87" w:rsidRPr="00CF571C">
        <w:rPr>
          <w:rFonts w:ascii="Times New Roman" w:hAnsi="Times New Roman" w:cs="Times New Roman" w:hint="eastAsia"/>
          <w:color w:val="000000" w:themeColor="text1"/>
          <w:sz w:val="21"/>
          <w:szCs w:val="21"/>
        </w:rPr>
        <w:t>一般性</w:t>
      </w:r>
      <w:r w:rsidR="001A3851" w:rsidRPr="00CF571C">
        <w:rPr>
          <w:rFonts w:ascii="Times New Roman" w:hAnsi="Times New Roman" w:cs="Times New Roman" w:hint="eastAsia"/>
          <w:color w:val="000000" w:themeColor="text1"/>
          <w:sz w:val="21"/>
          <w:szCs w:val="21"/>
        </w:rPr>
        <w:t>规律，</w:t>
      </w:r>
      <w:r w:rsidR="001A3E87" w:rsidRPr="00CF571C">
        <w:rPr>
          <w:rFonts w:ascii="Times New Roman" w:hAnsi="Times New Roman" w:cs="Times New Roman" w:hint="eastAsia"/>
          <w:color w:val="000000" w:themeColor="text1"/>
          <w:sz w:val="21"/>
          <w:szCs w:val="21"/>
        </w:rPr>
        <w:t>可能</w:t>
      </w:r>
      <w:r w:rsidR="001A3851" w:rsidRPr="00CF571C">
        <w:rPr>
          <w:rFonts w:ascii="Times New Roman" w:hAnsi="Times New Roman" w:cs="Times New Roman" w:hint="eastAsia"/>
          <w:color w:val="000000" w:themeColor="text1"/>
          <w:sz w:val="21"/>
          <w:szCs w:val="21"/>
        </w:rPr>
        <w:t>有区别于城市本身财政、经济等特征的原因导致了城市间预算支出差异。本文</w:t>
      </w:r>
      <w:r w:rsidR="00612880" w:rsidRPr="00CF571C">
        <w:rPr>
          <w:rFonts w:ascii="Times New Roman" w:hAnsi="Times New Roman" w:cs="Times New Roman" w:hint="eastAsia"/>
          <w:color w:val="000000" w:themeColor="text1"/>
          <w:sz w:val="21"/>
          <w:szCs w:val="21"/>
        </w:rPr>
        <w:t>通过分析政府间财政互动行为，</w:t>
      </w:r>
      <w:r w:rsidR="001A3851" w:rsidRPr="00CF571C">
        <w:rPr>
          <w:rFonts w:ascii="Times New Roman" w:hAnsi="Times New Roman" w:cs="Times New Roman" w:hint="eastAsia"/>
          <w:color w:val="000000" w:themeColor="text1"/>
          <w:sz w:val="21"/>
          <w:szCs w:val="21"/>
        </w:rPr>
        <w:t>认为有两个重要机制作用其中：第一，省级因素的纵向机制；第二，毗邻因素的横向机制。因此，</w:t>
      </w:r>
      <w:r w:rsidR="001A3851" w:rsidRPr="00CF571C">
        <w:rPr>
          <w:rFonts w:ascii="Times New Roman" w:hAnsi="Times New Roman" w:cs="Times New Roman"/>
          <w:color w:val="000000" w:themeColor="text1"/>
          <w:sz w:val="21"/>
          <w:szCs w:val="21"/>
        </w:rPr>
        <w:t>通过政策法规</w:t>
      </w:r>
      <w:r w:rsidR="0069592A" w:rsidRPr="00CF571C">
        <w:rPr>
          <w:rFonts w:ascii="Times New Roman" w:hAnsi="Times New Roman" w:cs="Times New Roman" w:hint="eastAsia"/>
          <w:color w:val="000000" w:themeColor="text1"/>
          <w:sz w:val="21"/>
          <w:szCs w:val="21"/>
        </w:rPr>
        <w:t>佐证</w:t>
      </w:r>
      <w:r w:rsidR="001A3851" w:rsidRPr="00CF571C">
        <w:rPr>
          <w:rFonts w:ascii="Times New Roman" w:hAnsi="Times New Roman" w:cs="Times New Roman"/>
          <w:color w:val="000000" w:themeColor="text1"/>
          <w:sz w:val="21"/>
          <w:szCs w:val="21"/>
        </w:rPr>
        <w:t>与文献研究梳理相结合的方式</w:t>
      </w:r>
      <w:r w:rsidR="001A3E87" w:rsidRPr="00CF571C">
        <w:rPr>
          <w:rFonts w:ascii="Times New Roman" w:hAnsi="Times New Roman" w:cs="Times New Roman" w:hint="eastAsia"/>
          <w:color w:val="000000" w:themeColor="text1"/>
          <w:sz w:val="21"/>
          <w:szCs w:val="21"/>
        </w:rPr>
        <w:t>，本节</w:t>
      </w:r>
      <w:r w:rsidR="001A3851" w:rsidRPr="00CF571C">
        <w:rPr>
          <w:rFonts w:ascii="Times New Roman" w:hAnsi="Times New Roman" w:cs="Times New Roman"/>
          <w:color w:val="000000" w:themeColor="text1"/>
          <w:sz w:val="21"/>
          <w:szCs w:val="21"/>
        </w:rPr>
        <w:t>对我国政府间</w:t>
      </w:r>
      <w:r w:rsidR="00F01A87" w:rsidRPr="00CF571C">
        <w:rPr>
          <w:rFonts w:ascii="Times New Roman" w:hAnsi="Times New Roman" w:cs="Times New Roman" w:hint="eastAsia"/>
          <w:color w:val="000000" w:themeColor="text1"/>
          <w:sz w:val="21"/>
          <w:szCs w:val="21"/>
        </w:rPr>
        <w:t>预算支出差异的纵向与横向因素</w:t>
      </w:r>
      <w:r w:rsidR="001A3851" w:rsidRPr="00CF571C">
        <w:rPr>
          <w:rFonts w:ascii="Times New Roman" w:hAnsi="Times New Roman" w:cs="Times New Roman" w:hint="eastAsia"/>
          <w:color w:val="000000" w:themeColor="text1"/>
          <w:sz w:val="21"/>
          <w:szCs w:val="21"/>
        </w:rPr>
        <w:t>进</w:t>
      </w:r>
      <w:r w:rsidR="001A3851" w:rsidRPr="00CF571C">
        <w:rPr>
          <w:rFonts w:ascii="Times New Roman" w:hAnsi="Times New Roman" w:cs="Times New Roman"/>
          <w:color w:val="000000" w:themeColor="text1"/>
          <w:sz w:val="21"/>
          <w:szCs w:val="21"/>
        </w:rPr>
        <w:t>行</w:t>
      </w:r>
      <w:r w:rsidR="00F01A87" w:rsidRPr="00CF571C">
        <w:rPr>
          <w:rFonts w:ascii="Times New Roman" w:hAnsi="Times New Roman" w:cs="Times New Roman" w:hint="eastAsia"/>
          <w:color w:val="000000" w:themeColor="text1"/>
          <w:sz w:val="21"/>
          <w:szCs w:val="21"/>
        </w:rPr>
        <w:t>分析，并提出相应的假设</w:t>
      </w:r>
      <w:r w:rsidR="001A3851" w:rsidRPr="00CF571C">
        <w:rPr>
          <w:rFonts w:ascii="Times New Roman" w:hAnsi="Times New Roman" w:cs="Times New Roman"/>
          <w:color w:val="000000" w:themeColor="text1"/>
          <w:sz w:val="21"/>
          <w:szCs w:val="21"/>
        </w:rPr>
        <w:t>。</w:t>
      </w:r>
    </w:p>
    <w:p w14:paraId="757DECF9" w14:textId="77777777" w:rsidR="001A3E87" w:rsidRPr="00CF571C" w:rsidRDefault="00F40321"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（一）</w:t>
      </w:r>
      <w:r w:rsidR="00FA224E" w:rsidRPr="00CF571C">
        <w:rPr>
          <w:rFonts w:ascii="黑体" w:eastAsia="黑体" w:hAnsi="黑体" w:cs="Times New Roman" w:hint="eastAsia"/>
          <w:color w:val="000000" w:themeColor="text1"/>
          <w:sz w:val="21"/>
          <w:szCs w:val="21"/>
        </w:rPr>
        <w:t>预算</w:t>
      </w:r>
      <w:r w:rsidR="00346D17" w:rsidRPr="00CF571C">
        <w:rPr>
          <w:rFonts w:ascii="黑体" w:eastAsia="黑体" w:hAnsi="黑体" w:cs="Times New Roman" w:hint="eastAsia"/>
          <w:color w:val="000000" w:themeColor="text1"/>
          <w:sz w:val="21"/>
          <w:szCs w:val="21"/>
        </w:rPr>
        <w:t>制定</w:t>
      </w:r>
      <w:r w:rsidR="00FA224E" w:rsidRPr="00CF571C">
        <w:rPr>
          <w:rFonts w:ascii="黑体" w:eastAsia="黑体" w:hAnsi="黑体" w:cs="Times New Roman" w:hint="eastAsia"/>
          <w:color w:val="000000" w:themeColor="text1"/>
          <w:sz w:val="21"/>
          <w:szCs w:val="21"/>
        </w:rPr>
        <w:t>的纵向</w:t>
      </w:r>
      <w:r w:rsidR="00346D17" w:rsidRPr="00CF571C">
        <w:rPr>
          <w:rFonts w:ascii="黑体" w:eastAsia="黑体" w:hAnsi="黑体" w:cs="Times New Roman" w:hint="eastAsia"/>
          <w:color w:val="000000" w:themeColor="text1"/>
          <w:sz w:val="21"/>
          <w:szCs w:val="21"/>
        </w:rPr>
        <w:t>统筹</w:t>
      </w:r>
    </w:p>
    <w:p w14:paraId="7AF90889" w14:textId="77777777" w:rsidR="001A3E87" w:rsidRPr="00CF571C" w:rsidRDefault="00794519" w:rsidP="00A82958">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我</w:t>
      </w:r>
      <w:r w:rsidR="001A3E87" w:rsidRPr="00CF571C">
        <w:rPr>
          <w:rFonts w:ascii="Times New Roman" w:hAnsi="Times New Roman" w:cs="Times New Roman" w:hint="eastAsia"/>
          <w:color w:val="000000" w:themeColor="text1"/>
          <w:sz w:val="21"/>
          <w:szCs w:val="21"/>
        </w:rPr>
        <w:t>国现行行政组织体系下</w:t>
      </w:r>
      <w:r w:rsidRPr="00CF571C">
        <w:rPr>
          <w:rFonts w:ascii="Times New Roman" w:hAnsi="Times New Roman" w:cs="Times New Roman" w:hint="eastAsia"/>
          <w:color w:val="000000" w:themeColor="text1"/>
          <w:sz w:val="21"/>
          <w:szCs w:val="21"/>
        </w:rPr>
        <w:t>的</w:t>
      </w:r>
      <w:r w:rsidR="001A3E87" w:rsidRPr="00CF571C">
        <w:rPr>
          <w:rFonts w:ascii="Times New Roman" w:hAnsi="Times New Roman" w:cs="Times New Roman" w:hint="eastAsia"/>
          <w:color w:val="000000" w:themeColor="text1"/>
          <w:sz w:val="21"/>
          <w:szCs w:val="21"/>
        </w:rPr>
        <w:t>财政分权具有特殊性。</w:t>
      </w:r>
      <w:r w:rsidR="001A3E87" w:rsidRPr="00CF571C">
        <w:rPr>
          <w:rFonts w:ascii="Times New Roman" w:hAnsi="Times New Roman" w:cs="Times New Roman"/>
          <w:color w:val="000000" w:themeColor="text1"/>
          <w:sz w:val="21"/>
          <w:szCs w:val="21"/>
        </w:rPr>
        <w:t>尽管从概念上讲财政分权是指中央政府向地方政府下放一部分财政管理与决策权的过程（</w:t>
      </w:r>
      <w:r w:rsidR="001A3E87" w:rsidRPr="00CF571C">
        <w:rPr>
          <w:rFonts w:ascii="Times New Roman" w:hAnsi="Times New Roman" w:cs="Times New Roman"/>
          <w:color w:val="000000" w:themeColor="text1"/>
          <w:sz w:val="21"/>
          <w:szCs w:val="21"/>
        </w:rPr>
        <w:t>Feltenstein</w:t>
      </w:r>
      <w:r w:rsidR="00356DEC" w:rsidRPr="00CF571C">
        <w:rPr>
          <w:rFonts w:ascii="Times New Roman" w:hAnsi="Times New Roman" w:cs="Times New Roman"/>
          <w:color w:val="000000" w:themeColor="text1"/>
          <w:sz w:val="21"/>
          <w:szCs w:val="21"/>
        </w:rPr>
        <w:t xml:space="preserve"> &amp; </w:t>
      </w:r>
      <w:r w:rsidR="001A3E87" w:rsidRPr="00CF571C">
        <w:rPr>
          <w:rFonts w:ascii="Times New Roman" w:hAnsi="Times New Roman" w:cs="Times New Roman"/>
          <w:color w:val="000000" w:themeColor="text1"/>
          <w:sz w:val="21"/>
          <w:szCs w:val="21"/>
        </w:rPr>
        <w:t>Iwata</w:t>
      </w:r>
      <w:r w:rsidR="001A3E87" w:rsidRPr="00CF571C">
        <w:rPr>
          <w:rFonts w:ascii="Times New Roman" w:hAnsi="Times New Roman" w:cs="Times New Roman"/>
          <w:color w:val="000000" w:themeColor="text1"/>
          <w:sz w:val="21"/>
          <w:szCs w:val="21"/>
        </w:rPr>
        <w:t>，</w:t>
      </w:r>
      <w:r w:rsidR="001A3E87" w:rsidRPr="00CF571C">
        <w:rPr>
          <w:rFonts w:ascii="Times New Roman" w:hAnsi="Times New Roman" w:cs="Times New Roman"/>
          <w:color w:val="000000" w:themeColor="text1"/>
          <w:sz w:val="21"/>
          <w:szCs w:val="21"/>
        </w:rPr>
        <w:t>2005</w:t>
      </w:r>
      <w:r w:rsidR="001A3E87" w:rsidRPr="00CF571C">
        <w:rPr>
          <w:rFonts w:ascii="Times New Roman" w:hAnsi="Times New Roman" w:cs="Times New Roman"/>
          <w:color w:val="000000" w:themeColor="text1"/>
          <w:sz w:val="21"/>
          <w:szCs w:val="21"/>
        </w:rPr>
        <w:t>），但相对于西方国家建立在联邦制基础上的财政分权实践，</w:t>
      </w:r>
      <w:r w:rsidRPr="00CF571C">
        <w:rPr>
          <w:rFonts w:ascii="Times New Roman" w:hAnsi="Times New Roman" w:cs="Times New Roman" w:hint="eastAsia"/>
          <w:color w:val="000000" w:themeColor="text1"/>
          <w:sz w:val="21"/>
          <w:szCs w:val="21"/>
        </w:rPr>
        <w:t>我</w:t>
      </w:r>
      <w:r w:rsidR="001A3E87" w:rsidRPr="00CF571C">
        <w:rPr>
          <w:rFonts w:ascii="Times New Roman" w:hAnsi="Times New Roman" w:cs="Times New Roman"/>
          <w:color w:val="000000" w:themeColor="text1"/>
          <w:sz w:val="21"/>
          <w:szCs w:val="21"/>
        </w:rPr>
        <w:t>国财政分权制度是建立在中央与上级政府委任制框架基础上的</w:t>
      </w:r>
      <w:r w:rsidR="001A3E87"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color w:val="000000" w:themeColor="text1"/>
          <w:sz w:val="21"/>
          <w:szCs w:val="21"/>
        </w:rPr>
        <w:t>乔宝云等</w:t>
      </w:r>
      <w:r w:rsidR="001A3E87"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color w:val="000000" w:themeColor="text1"/>
          <w:sz w:val="21"/>
          <w:szCs w:val="21"/>
        </w:rPr>
        <w:t>2005</w:t>
      </w:r>
      <w:r w:rsidR="001A3E87" w:rsidRPr="00CF571C">
        <w:rPr>
          <w:rFonts w:ascii="Times New Roman" w:hAnsi="Times New Roman" w:cs="Times New Roman" w:hint="eastAsia"/>
          <w:color w:val="000000" w:themeColor="text1"/>
          <w:sz w:val="21"/>
          <w:szCs w:val="21"/>
        </w:rPr>
        <w:t>），上级政府在财政体系中居于强势地位，对下级政府的财力有控制</w:t>
      </w:r>
      <w:r w:rsidR="00722A52" w:rsidRPr="00CF571C">
        <w:rPr>
          <w:rFonts w:ascii="Times New Roman" w:hAnsi="Times New Roman" w:cs="Times New Roman" w:hint="eastAsia"/>
          <w:color w:val="000000" w:themeColor="text1"/>
          <w:sz w:val="21"/>
          <w:szCs w:val="21"/>
        </w:rPr>
        <w:t>作用</w:t>
      </w:r>
      <w:r w:rsidR="001A3E87"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color w:val="000000" w:themeColor="text1"/>
          <w:sz w:val="21"/>
          <w:szCs w:val="21"/>
        </w:rPr>
        <w:t>宁静</w:t>
      </w:r>
      <w:r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color w:val="000000" w:themeColor="text1"/>
          <w:sz w:val="21"/>
          <w:szCs w:val="21"/>
        </w:rPr>
        <w:t>赵旭杰</w:t>
      </w:r>
      <w:r w:rsidR="001A3E87"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hint="eastAsia"/>
          <w:color w:val="000000" w:themeColor="text1"/>
          <w:sz w:val="21"/>
          <w:szCs w:val="21"/>
        </w:rPr>
        <w:t>2</w:t>
      </w:r>
      <w:r w:rsidR="001A3E87" w:rsidRPr="00CF571C">
        <w:rPr>
          <w:rFonts w:ascii="Times New Roman" w:hAnsi="Times New Roman" w:cs="Times New Roman"/>
          <w:color w:val="000000" w:themeColor="text1"/>
          <w:sz w:val="21"/>
          <w:szCs w:val="21"/>
        </w:rPr>
        <w:t>019</w:t>
      </w:r>
      <w:r w:rsidR="001A3E87"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color w:val="000000" w:themeColor="text1"/>
          <w:sz w:val="21"/>
          <w:szCs w:val="21"/>
        </w:rPr>
        <w:t>分税制所涉及的分权只落实到中央与省</w:t>
      </w:r>
      <w:r w:rsidR="001A3E87" w:rsidRPr="00CF571C">
        <w:rPr>
          <w:rFonts w:ascii="Times New Roman" w:hAnsi="Times New Roman" w:cs="Times New Roman" w:hint="eastAsia"/>
          <w:color w:val="000000" w:themeColor="text1"/>
          <w:sz w:val="21"/>
          <w:szCs w:val="21"/>
        </w:rPr>
        <w:t>一级</w:t>
      </w:r>
      <w:r w:rsidR="001A3E87" w:rsidRPr="00CF571C">
        <w:rPr>
          <w:rFonts w:ascii="Times New Roman" w:hAnsi="Times New Roman" w:cs="Times New Roman"/>
          <w:color w:val="000000" w:themeColor="text1"/>
          <w:sz w:val="21"/>
          <w:szCs w:val="21"/>
        </w:rPr>
        <w:t>，省以下地方政府</w:t>
      </w:r>
      <w:r w:rsidR="001A3E87" w:rsidRPr="00CF571C">
        <w:rPr>
          <w:rFonts w:ascii="Times New Roman" w:hAnsi="Times New Roman" w:cs="Times New Roman" w:hint="eastAsia"/>
          <w:color w:val="000000" w:themeColor="text1"/>
          <w:sz w:val="21"/>
          <w:szCs w:val="21"/>
        </w:rPr>
        <w:t>的</w:t>
      </w:r>
      <w:r w:rsidR="001A3E87" w:rsidRPr="00CF571C">
        <w:rPr>
          <w:rFonts w:ascii="Times New Roman" w:hAnsi="Times New Roman" w:cs="Times New Roman"/>
          <w:color w:val="000000" w:themeColor="text1"/>
          <w:sz w:val="21"/>
          <w:szCs w:val="21"/>
        </w:rPr>
        <w:t>财政权取决于省级政府</w:t>
      </w:r>
      <w:r w:rsidR="001A3E87" w:rsidRPr="00CF571C">
        <w:rPr>
          <w:rFonts w:ascii="Times New Roman" w:hAnsi="Times New Roman" w:cs="Times New Roman" w:hint="eastAsia"/>
          <w:color w:val="000000" w:themeColor="text1"/>
          <w:sz w:val="21"/>
          <w:szCs w:val="21"/>
        </w:rPr>
        <w:t>（熊伟，</w:t>
      </w:r>
      <w:r w:rsidR="001A3E87" w:rsidRPr="00CF571C">
        <w:rPr>
          <w:rFonts w:ascii="Times New Roman" w:hAnsi="Times New Roman" w:cs="Times New Roman" w:hint="eastAsia"/>
          <w:color w:val="000000" w:themeColor="text1"/>
          <w:sz w:val="21"/>
          <w:szCs w:val="21"/>
        </w:rPr>
        <w:t>2</w:t>
      </w:r>
      <w:r w:rsidR="001A3E87" w:rsidRPr="00CF571C">
        <w:rPr>
          <w:rFonts w:ascii="Times New Roman" w:hAnsi="Times New Roman" w:cs="Times New Roman"/>
          <w:color w:val="000000" w:themeColor="text1"/>
          <w:sz w:val="21"/>
          <w:szCs w:val="21"/>
        </w:rPr>
        <w:t>015</w:t>
      </w:r>
      <w:r w:rsidR="001A3E87" w:rsidRPr="00CF571C">
        <w:rPr>
          <w:rFonts w:ascii="Times New Roman" w:hAnsi="Times New Roman" w:cs="Times New Roman" w:hint="eastAsia"/>
          <w:color w:val="000000" w:themeColor="text1"/>
          <w:sz w:val="21"/>
          <w:szCs w:val="21"/>
        </w:rPr>
        <w:t>）</w:t>
      </w:r>
      <w:r w:rsidR="001A3E87" w:rsidRPr="00CF571C">
        <w:rPr>
          <w:rFonts w:ascii="Times New Roman" w:hAnsi="Times New Roman" w:cs="Times New Roman"/>
          <w:color w:val="000000" w:themeColor="text1"/>
          <w:sz w:val="21"/>
          <w:szCs w:val="21"/>
        </w:rPr>
        <w:t>。</w:t>
      </w:r>
      <w:r w:rsidR="001A3E87" w:rsidRPr="00CF571C">
        <w:rPr>
          <w:rFonts w:ascii="Times New Roman" w:hAnsi="Times New Roman" w:cs="Times New Roman" w:hint="eastAsia"/>
          <w:color w:val="000000" w:themeColor="text1"/>
          <w:sz w:val="21"/>
          <w:szCs w:val="21"/>
        </w:rPr>
        <w:t>因此，在</w:t>
      </w:r>
      <w:r w:rsidR="001A3E87" w:rsidRPr="00CF571C">
        <w:rPr>
          <w:rFonts w:ascii="Times New Roman" w:hAnsi="Times New Roman" w:cs="Times New Roman"/>
          <w:color w:val="000000" w:themeColor="text1"/>
          <w:sz w:val="21"/>
          <w:szCs w:val="21"/>
        </w:rPr>
        <w:t>我国特殊的财政体制下</w:t>
      </w:r>
      <w:r w:rsidR="001A3E87" w:rsidRPr="00CF571C">
        <w:rPr>
          <w:rFonts w:ascii="Times New Roman" w:hAnsi="Times New Roman" w:cs="Times New Roman" w:hint="eastAsia"/>
          <w:color w:val="000000" w:themeColor="text1"/>
          <w:sz w:val="21"/>
          <w:szCs w:val="21"/>
        </w:rPr>
        <w:t>，省级以下地方政府的预算自主权有限，地方仅在授权范围内行事（罗春梅，</w:t>
      </w:r>
      <w:r w:rsidR="001A3E87" w:rsidRPr="00CF571C">
        <w:rPr>
          <w:rFonts w:ascii="Times New Roman" w:hAnsi="Times New Roman" w:cs="Times New Roman" w:hint="eastAsia"/>
          <w:color w:val="000000" w:themeColor="text1"/>
          <w:sz w:val="21"/>
          <w:szCs w:val="21"/>
        </w:rPr>
        <w:t>2</w:t>
      </w:r>
      <w:r w:rsidR="001A3E87" w:rsidRPr="00CF571C">
        <w:rPr>
          <w:rFonts w:ascii="Times New Roman" w:hAnsi="Times New Roman" w:cs="Times New Roman"/>
          <w:color w:val="000000" w:themeColor="text1"/>
          <w:sz w:val="21"/>
          <w:szCs w:val="21"/>
        </w:rPr>
        <w:t>004</w:t>
      </w:r>
      <w:r w:rsidR="001A3E87" w:rsidRPr="00CF571C">
        <w:rPr>
          <w:rFonts w:ascii="Times New Roman" w:hAnsi="Times New Roman" w:cs="Times New Roman" w:hint="eastAsia"/>
          <w:color w:val="000000" w:themeColor="text1"/>
          <w:sz w:val="21"/>
          <w:szCs w:val="21"/>
        </w:rPr>
        <w:t>；贾康，</w:t>
      </w:r>
      <w:r w:rsidR="001A3E87" w:rsidRPr="00CF571C">
        <w:rPr>
          <w:rFonts w:ascii="Times New Roman" w:hAnsi="Times New Roman" w:cs="Times New Roman" w:hint="eastAsia"/>
          <w:color w:val="000000" w:themeColor="text1"/>
          <w:sz w:val="21"/>
          <w:szCs w:val="21"/>
        </w:rPr>
        <w:t>2</w:t>
      </w:r>
      <w:r w:rsidR="001A3E87" w:rsidRPr="00CF571C">
        <w:rPr>
          <w:rFonts w:ascii="Times New Roman" w:hAnsi="Times New Roman" w:cs="Times New Roman"/>
          <w:color w:val="000000" w:themeColor="text1"/>
          <w:sz w:val="21"/>
          <w:szCs w:val="21"/>
        </w:rPr>
        <w:t>008</w:t>
      </w:r>
      <w:r w:rsidR="001A3E87" w:rsidRPr="00CF571C">
        <w:rPr>
          <w:rFonts w:ascii="Times New Roman" w:hAnsi="Times New Roman" w:cs="Times New Roman" w:hint="eastAsia"/>
          <w:color w:val="000000" w:themeColor="text1"/>
          <w:sz w:val="21"/>
          <w:szCs w:val="21"/>
        </w:rPr>
        <w:t>；熊伟，</w:t>
      </w:r>
      <w:r w:rsidR="001A3E87" w:rsidRPr="00CF571C">
        <w:rPr>
          <w:rFonts w:ascii="Times New Roman" w:hAnsi="Times New Roman" w:cs="Times New Roman" w:hint="eastAsia"/>
          <w:color w:val="000000" w:themeColor="text1"/>
          <w:sz w:val="21"/>
          <w:szCs w:val="21"/>
        </w:rPr>
        <w:t>2</w:t>
      </w:r>
      <w:r w:rsidR="001A3E87" w:rsidRPr="00CF571C">
        <w:rPr>
          <w:rFonts w:ascii="Times New Roman" w:hAnsi="Times New Roman" w:cs="Times New Roman"/>
          <w:color w:val="000000" w:themeColor="text1"/>
          <w:sz w:val="21"/>
          <w:szCs w:val="21"/>
        </w:rPr>
        <w:t>015</w:t>
      </w:r>
      <w:r w:rsidR="001A3E87" w:rsidRPr="00CF571C">
        <w:rPr>
          <w:rFonts w:ascii="Times New Roman" w:hAnsi="Times New Roman" w:cs="Times New Roman" w:hint="eastAsia"/>
          <w:color w:val="000000" w:themeColor="text1"/>
          <w:sz w:val="21"/>
          <w:szCs w:val="21"/>
        </w:rPr>
        <w:t>）。</w:t>
      </w:r>
    </w:p>
    <w:p w14:paraId="3EC9682E" w14:textId="77777777" w:rsidR="00534B4A" w:rsidRPr="00CF571C" w:rsidRDefault="00C221A3" w:rsidP="00A82958">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上级政府对下级财政的影响主要体现在两个方面：</w:t>
      </w:r>
      <w:r w:rsidR="00794519" w:rsidRPr="00CF571C">
        <w:rPr>
          <w:rFonts w:ascii="Times New Roman" w:hAnsi="Times New Roman" w:cs="Times New Roman" w:hint="eastAsia"/>
          <w:color w:val="000000" w:themeColor="text1"/>
          <w:sz w:val="21"/>
          <w:szCs w:val="21"/>
        </w:rPr>
        <w:t>一是</w:t>
      </w:r>
      <w:r w:rsidRPr="00CF571C">
        <w:rPr>
          <w:rFonts w:ascii="Times New Roman" w:hAnsi="Times New Roman" w:cs="Times New Roman" w:hint="eastAsia"/>
          <w:color w:val="000000" w:themeColor="text1"/>
          <w:sz w:val="21"/>
          <w:szCs w:val="21"/>
        </w:rPr>
        <w:t>按照《</w:t>
      </w:r>
      <w:r w:rsidR="0069592A" w:rsidRPr="00CF571C">
        <w:rPr>
          <w:rFonts w:ascii="Times New Roman" w:hAnsi="Times New Roman" w:cs="Times New Roman" w:hint="eastAsia"/>
          <w:color w:val="000000" w:themeColor="text1"/>
          <w:sz w:val="21"/>
          <w:szCs w:val="21"/>
        </w:rPr>
        <w:t>中华人民共和国</w:t>
      </w:r>
      <w:r w:rsidRPr="00CF571C">
        <w:rPr>
          <w:rFonts w:ascii="Times New Roman" w:hAnsi="Times New Roman" w:cs="Times New Roman" w:hint="eastAsia"/>
          <w:color w:val="000000" w:themeColor="text1"/>
          <w:sz w:val="21"/>
          <w:szCs w:val="21"/>
        </w:rPr>
        <w:t>预算法》规定，政</w:t>
      </w:r>
      <w:r w:rsidRPr="00CF571C">
        <w:rPr>
          <w:rFonts w:ascii="Times New Roman" w:hAnsi="Times New Roman" w:cs="Times New Roman"/>
          <w:color w:val="000000" w:themeColor="text1"/>
          <w:sz w:val="21"/>
          <w:szCs w:val="21"/>
        </w:rPr>
        <w:t>府间转移支付纳入政府预算</w:t>
      </w:r>
      <w:r w:rsidRPr="00CF571C">
        <w:rPr>
          <w:rFonts w:ascii="Times New Roman" w:hAnsi="Times New Roman" w:cs="Times New Roman" w:hint="eastAsia"/>
          <w:color w:val="000000" w:themeColor="text1"/>
          <w:sz w:val="21"/>
          <w:szCs w:val="21"/>
        </w:rPr>
        <w:t>，上</w:t>
      </w:r>
      <w:r w:rsidRPr="00CF571C">
        <w:rPr>
          <w:rFonts w:ascii="Times New Roman" w:hAnsi="Times New Roman" w:cs="Times New Roman"/>
          <w:color w:val="000000" w:themeColor="text1"/>
          <w:sz w:val="21"/>
          <w:szCs w:val="21"/>
        </w:rPr>
        <w:t>级政府对于下级政府预算</w:t>
      </w:r>
      <w:r w:rsidR="00D506C7" w:rsidRPr="00CF571C">
        <w:rPr>
          <w:rFonts w:ascii="Times New Roman" w:hAnsi="Times New Roman" w:cs="Times New Roman" w:hint="eastAsia"/>
          <w:color w:val="000000" w:themeColor="text1"/>
          <w:sz w:val="21"/>
          <w:szCs w:val="21"/>
        </w:rPr>
        <w:t>有</w:t>
      </w:r>
      <w:r w:rsidRPr="00CF571C">
        <w:rPr>
          <w:rFonts w:ascii="Times New Roman" w:hAnsi="Times New Roman" w:cs="Times New Roman"/>
          <w:color w:val="000000" w:themeColor="text1"/>
          <w:sz w:val="21"/>
          <w:szCs w:val="21"/>
        </w:rPr>
        <w:t>管理职权（上报、监督与撤销）。</w:t>
      </w:r>
      <w:r w:rsidR="00794519" w:rsidRPr="00CF571C">
        <w:rPr>
          <w:rFonts w:ascii="Times New Roman" w:hAnsi="Times New Roman" w:cs="Times New Roman" w:hint="eastAsia"/>
          <w:color w:val="000000" w:themeColor="text1"/>
          <w:sz w:val="21"/>
          <w:szCs w:val="21"/>
        </w:rPr>
        <w:t>二是</w:t>
      </w:r>
      <w:r w:rsidR="00D506C7" w:rsidRPr="00CF571C">
        <w:rPr>
          <w:rFonts w:ascii="Times New Roman" w:hAnsi="Times New Roman" w:cs="Times New Roman" w:hint="eastAsia"/>
          <w:color w:val="000000" w:themeColor="text1"/>
          <w:sz w:val="21"/>
          <w:szCs w:val="21"/>
        </w:rPr>
        <w:t>根据实际地方预算编制程序，下级政府的预算制定需要接受上级政府的引导。</w:t>
      </w:r>
    </w:p>
    <w:p w14:paraId="4FAE82A7" w14:textId="77777777" w:rsidR="000B148B" w:rsidRPr="00CF571C" w:rsidRDefault="004E46D7" w:rsidP="00070F37">
      <w:pPr>
        <w:adjustRightInd w:val="0"/>
        <w:snapToGrid w:val="0"/>
        <w:ind w:firstLineChars="200" w:firstLine="422"/>
        <w:jc w:val="both"/>
        <w:rPr>
          <w:rFonts w:ascii="Times New Roman" w:hAnsi="Times New Roman" w:cs="Times New Roman"/>
          <w:color w:val="000000" w:themeColor="text1"/>
          <w:sz w:val="21"/>
          <w:szCs w:val="21"/>
        </w:rPr>
      </w:pPr>
      <w:r w:rsidRPr="00CF571C">
        <w:rPr>
          <w:rFonts w:ascii="Times New Roman" w:hAnsi="Times New Roman" w:cs="Times New Roman"/>
          <w:b/>
          <w:bCs/>
          <w:color w:val="000000" w:themeColor="text1"/>
          <w:sz w:val="21"/>
          <w:szCs w:val="21"/>
        </w:rPr>
        <w:t>1.</w:t>
      </w:r>
      <w:r w:rsidR="00534B4A" w:rsidRPr="00CF571C">
        <w:rPr>
          <w:rFonts w:ascii="楷体" w:eastAsia="楷体" w:hAnsi="楷体" w:cs="Times New Roman" w:hint="eastAsia"/>
          <w:b/>
          <w:bCs/>
          <w:color w:val="000000" w:themeColor="text1"/>
          <w:sz w:val="21"/>
          <w:szCs w:val="21"/>
        </w:rPr>
        <w:t>转移支付</w:t>
      </w:r>
      <w:r w:rsidR="00070F37" w:rsidRPr="00CF571C">
        <w:rPr>
          <w:rFonts w:ascii="Times New Roman" w:hAnsi="Times New Roman" w:cs="Times New Roman" w:hint="eastAsia"/>
          <w:b/>
          <w:bCs/>
          <w:color w:val="000000" w:themeColor="text1"/>
          <w:sz w:val="21"/>
          <w:szCs w:val="21"/>
        </w:rPr>
        <w:t>。</w:t>
      </w:r>
      <w:r w:rsidR="000B148B" w:rsidRPr="00CF571C">
        <w:rPr>
          <w:rFonts w:ascii="Times New Roman" w:hAnsi="Times New Roman" w:cs="Times New Roman" w:hint="eastAsia"/>
          <w:color w:val="000000" w:themeColor="text1"/>
          <w:sz w:val="21"/>
          <w:szCs w:val="21"/>
        </w:rPr>
        <w:t>《预算法》规定我国财政实行转移支付制度，转移支付</w:t>
      </w:r>
      <w:r w:rsidR="000B148B" w:rsidRPr="00CF571C">
        <w:rPr>
          <w:rFonts w:ascii="Times New Roman" w:hAnsi="Times New Roman" w:cs="Times New Roman"/>
          <w:color w:val="000000" w:themeColor="text1"/>
          <w:sz w:val="21"/>
          <w:szCs w:val="21"/>
        </w:rPr>
        <w:t>是上级</w:t>
      </w:r>
      <w:r w:rsidR="000B148B" w:rsidRPr="00CF571C">
        <w:rPr>
          <w:rFonts w:ascii="Times New Roman" w:hAnsi="Times New Roman" w:cs="Times New Roman" w:hint="eastAsia"/>
          <w:color w:val="000000" w:themeColor="text1"/>
          <w:sz w:val="21"/>
          <w:szCs w:val="21"/>
        </w:rPr>
        <w:t>政府影响</w:t>
      </w:r>
      <w:r w:rsidR="000B148B" w:rsidRPr="00CF571C">
        <w:rPr>
          <w:rFonts w:ascii="Times New Roman" w:hAnsi="Times New Roman" w:cs="Times New Roman"/>
          <w:color w:val="000000" w:themeColor="text1"/>
          <w:sz w:val="21"/>
          <w:szCs w:val="21"/>
        </w:rPr>
        <w:t>下级预算的直接渠道</w:t>
      </w:r>
      <w:r w:rsidR="000B148B" w:rsidRPr="00CF571C">
        <w:rPr>
          <w:rFonts w:ascii="Times New Roman" w:hAnsi="Times New Roman" w:cs="Times New Roman" w:hint="eastAsia"/>
          <w:color w:val="000000" w:themeColor="text1"/>
          <w:sz w:val="21"/>
          <w:szCs w:val="21"/>
        </w:rPr>
        <w:t>。</w:t>
      </w:r>
      <w:r w:rsidR="000B148B" w:rsidRPr="00CF571C">
        <w:rPr>
          <w:rFonts w:ascii="Times New Roman" w:hAnsi="Times New Roman" w:cs="Times New Roman"/>
          <w:color w:val="000000" w:themeColor="text1"/>
          <w:sz w:val="21"/>
          <w:szCs w:val="21"/>
        </w:rPr>
        <w:t>各级政府的</w:t>
      </w:r>
      <w:r w:rsidR="000B148B" w:rsidRPr="00CF571C">
        <w:rPr>
          <w:rFonts w:ascii="Times New Roman" w:hAnsi="Times New Roman" w:cs="Times New Roman" w:hint="eastAsia"/>
          <w:color w:val="000000" w:themeColor="text1"/>
          <w:sz w:val="21"/>
          <w:szCs w:val="21"/>
        </w:rPr>
        <w:t>一般公共预算</w:t>
      </w:r>
      <w:r w:rsidR="000B148B" w:rsidRPr="00CF571C">
        <w:rPr>
          <w:rFonts w:ascii="Times New Roman" w:hAnsi="Times New Roman" w:cs="Times New Roman"/>
          <w:color w:val="000000" w:themeColor="text1"/>
          <w:sz w:val="21"/>
          <w:szCs w:val="21"/>
        </w:rPr>
        <w:t>支出包括向下转移支付，</w:t>
      </w:r>
      <w:r w:rsidR="000B148B" w:rsidRPr="00CF571C">
        <w:rPr>
          <w:rFonts w:ascii="Times New Roman" w:hAnsi="Times New Roman" w:cs="Times New Roman" w:hint="eastAsia"/>
          <w:color w:val="000000" w:themeColor="text1"/>
          <w:sz w:val="21"/>
          <w:szCs w:val="21"/>
        </w:rPr>
        <w:t>一般公共</w:t>
      </w:r>
      <w:r w:rsidR="000B148B" w:rsidRPr="00CF571C">
        <w:rPr>
          <w:rFonts w:ascii="Times New Roman" w:hAnsi="Times New Roman" w:cs="Times New Roman"/>
          <w:color w:val="000000" w:themeColor="text1"/>
          <w:sz w:val="21"/>
          <w:szCs w:val="21"/>
        </w:rPr>
        <w:t>预算收入包括上级转移支付</w:t>
      </w:r>
      <w:r w:rsidR="000B148B" w:rsidRPr="00CF571C">
        <w:rPr>
          <w:rFonts w:ascii="Times New Roman" w:hAnsi="Times New Roman" w:cs="Times New Roman" w:hint="eastAsia"/>
          <w:color w:val="000000" w:themeColor="text1"/>
          <w:sz w:val="21"/>
          <w:szCs w:val="21"/>
        </w:rPr>
        <w:t>。因此，</w:t>
      </w:r>
      <w:r w:rsidR="000B148B" w:rsidRPr="00CF571C">
        <w:rPr>
          <w:rFonts w:ascii="Times New Roman" w:hAnsi="Times New Roman" w:cs="Times New Roman"/>
          <w:color w:val="000000" w:themeColor="text1"/>
          <w:sz w:val="21"/>
          <w:szCs w:val="21"/>
        </w:rPr>
        <w:t>上级</w:t>
      </w:r>
      <w:r w:rsidR="000B148B" w:rsidRPr="00CF571C">
        <w:rPr>
          <w:rFonts w:ascii="Times New Roman" w:hAnsi="Times New Roman" w:cs="Times New Roman" w:hint="eastAsia"/>
          <w:color w:val="000000" w:themeColor="text1"/>
          <w:sz w:val="21"/>
          <w:szCs w:val="21"/>
        </w:rPr>
        <w:t>政府下达的转移支付将被直接编入</w:t>
      </w:r>
      <w:r w:rsidR="000B148B" w:rsidRPr="00CF571C">
        <w:rPr>
          <w:rFonts w:ascii="Times New Roman" w:hAnsi="Times New Roman" w:cs="Times New Roman"/>
          <w:color w:val="000000" w:themeColor="text1"/>
          <w:sz w:val="21"/>
          <w:szCs w:val="21"/>
        </w:rPr>
        <w:t>下级</w:t>
      </w:r>
      <w:r w:rsidR="000B148B" w:rsidRPr="00CF571C">
        <w:rPr>
          <w:rFonts w:ascii="Times New Roman" w:hAnsi="Times New Roman" w:cs="Times New Roman" w:hint="eastAsia"/>
          <w:color w:val="000000" w:themeColor="text1"/>
          <w:sz w:val="21"/>
          <w:szCs w:val="21"/>
        </w:rPr>
        <w:t>政府的</w:t>
      </w:r>
      <w:r w:rsidR="000B148B" w:rsidRPr="00CF571C">
        <w:rPr>
          <w:rFonts w:ascii="Times New Roman" w:hAnsi="Times New Roman" w:cs="Times New Roman"/>
          <w:color w:val="000000" w:themeColor="text1"/>
          <w:sz w:val="21"/>
          <w:szCs w:val="21"/>
        </w:rPr>
        <w:t>预算。</w:t>
      </w:r>
      <w:r w:rsidR="000B148B" w:rsidRPr="00CF571C">
        <w:rPr>
          <w:rFonts w:ascii="Times New Roman" w:hAnsi="Times New Roman" w:cs="Times New Roman" w:hint="eastAsia"/>
          <w:color w:val="000000" w:themeColor="text1"/>
          <w:sz w:val="21"/>
          <w:szCs w:val="21"/>
        </w:rPr>
        <w:t>上</w:t>
      </w:r>
      <w:r w:rsidR="000B148B" w:rsidRPr="00CF571C">
        <w:rPr>
          <w:rFonts w:ascii="Times New Roman" w:hAnsi="Times New Roman" w:cs="Times New Roman" w:hint="eastAsia"/>
          <w:color w:val="000000" w:themeColor="text1"/>
          <w:sz w:val="21"/>
          <w:szCs w:val="21"/>
        </w:rPr>
        <w:lastRenderedPageBreak/>
        <w:t>级政府是转移支付如何分配的决策者和统筹者。以省级政府为例，省级政府负责编制资金使用细则，分解下达预算，向财政部和中央主管部门报送</w:t>
      </w:r>
      <w:r w:rsidR="004A0581" w:rsidRPr="00CF571C">
        <w:rPr>
          <w:rFonts w:ascii="Times New Roman" w:hAnsi="Times New Roman" w:cs="Times New Roman" w:hint="eastAsia"/>
          <w:color w:val="000000" w:themeColor="text1"/>
          <w:sz w:val="21"/>
          <w:szCs w:val="21"/>
        </w:rPr>
        <w:t>转移支付</w:t>
      </w:r>
      <w:r w:rsidR="000B148B" w:rsidRPr="00CF571C">
        <w:rPr>
          <w:rFonts w:ascii="Times New Roman" w:hAnsi="Times New Roman" w:cs="Times New Roman" w:hint="eastAsia"/>
          <w:color w:val="000000" w:themeColor="text1"/>
          <w:sz w:val="21"/>
          <w:szCs w:val="21"/>
        </w:rPr>
        <w:t>分配</w:t>
      </w:r>
      <w:r w:rsidR="004A0581" w:rsidRPr="00CF571C">
        <w:rPr>
          <w:rFonts w:ascii="Times New Roman" w:hAnsi="Times New Roman" w:cs="Times New Roman" w:hint="eastAsia"/>
          <w:color w:val="000000" w:themeColor="text1"/>
          <w:sz w:val="21"/>
          <w:szCs w:val="21"/>
        </w:rPr>
        <w:t>情况</w:t>
      </w:r>
      <w:r w:rsidR="000B148B" w:rsidRPr="00CF571C">
        <w:rPr>
          <w:rFonts w:ascii="Times New Roman" w:hAnsi="Times New Roman" w:cs="Times New Roman" w:hint="eastAsia"/>
          <w:color w:val="000000" w:themeColor="text1"/>
          <w:sz w:val="21"/>
          <w:szCs w:val="21"/>
        </w:rPr>
        <w:t>。对于一般性转移支付，省级政府需要考虑地区间差异，</w:t>
      </w:r>
      <w:r w:rsidR="000B148B" w:rsidRPr="00CF571C">
        <w:rPr>
          <w:rFonts w:ascii="Times New Roman" w:hAnsi="Times New Roman" w:cs="Times New Roman"/>
          <w:color w:val="000000" w:themeColor="text1"/>
          <w:sz w:val="21"/>
          <w:szCs w:val="21"/>
        </w:rPr>
        <w:t>向特殊地区倾斜</w:t>
      </w:r>
      <w:r w:rsidR="000B148B" w:rsidRPr="00CF571C">
        <w:rPr>
          <w:rFonts w:ascii="Times New Roman" w:hAnsi="Times New Roman" w:cs="Times New Roman" w:hint="eastAsia"/>
          <w:color w:val="000000" w:themeColor="text1"/>
          <w:sz w:val="21"/>
          <w:szCs w:val="21"/>
        </w:rPr>
        <w:t>，保证省内各地区的均衡发展。对于专项转移支付，省级部门也需要提出资金分配的建议方案，具有资金分配的审定职权。转移支付将直接进入下级政府的一般公共预算，因此，</w:t>
      </w:r>
      <w:r w:rsidR="00574183" w:rsidRPr="00CF571C">
        <w:rPr>
          <w:rFonts w:ascii="Times New Roman" w:hAnsi="Times New Roman" w:cs="Times New Roman" w:hint="eastAsia"/>
          <w:color w:val="000000" w:themeColor="text1"/>
          <w:sz w:val="21"/>
          <w:szCs w:val="21"/>
        </w:rPr>
        <w:t>下级政府</w:t>
      </w:r>
      <w:r w:rsidR="000B148B" w:rsidRPr="00CF571C">
        <w:rPr>
          <w:rFonts w:ascii="Times New Roman" w:hAnsi="Times New Roman" w:cs="Times New Roman" w:hint="eastAsia"/>
          <w:color w:val="000000" w:themeColor="text1"/>
          <w:sz w:val="21"/>
          <w:szCs w:val="21"/>
        </w:rPr>
        <w:t>预算支出结构将不可避免地受到上级政府决策和统筹的影响。此外，一旦地</w:t>
      </w:r>
      <w:r w:rsidR="000B148B" w:rsidRPr="00CF571C">
        <w:rPr>
          <w:rFonts w:ascii="Times New Roman" w:hAnsi="Times New Roman" w:cs="Times New Roman"/>
          <w:color w:val="000000" w:themeColor="text1"/>
          <w:sz w:val="21"/>
          <w:szCs w:val="21"/>
        </w:rPr>
        <w:t>方政府形成对转移支付的过度期望</w:t>
      </w:r>
      <w:r w:rsidR="00722A52" w:rsidRPr="00CF571C">
        <w:rPr>
          <w:rFonts w:ascii="Times New Roman" w:hAnsi="Times New Roman" w:cs="Times New Roman" w:hint="eastAsia"/>
          <w:color w:val="000000" w:themeColor="text1"/>
          <w:sz w:val="21"/>
          <w:szCs w:val="21"/>
        </w:rPr>
        <w:t>，</w:t>
      </w:r>
      <w:r w:rsidR="000B148B" w:rsidRPr="00CF571C">
        <w:rPr>
          <w:rFonts w:ascii="Times New Roman" w:hAnsi="Times New Roman" w:cs="Times New Roman"/>
          <w:color w:val="000000" w:themeColor="text1"/>
          <w:sz w:val="21"/>
          <w:szCs w:val="21"/>
        </w:rPr>
        <w:t>加之自身的预算软约束会降低地方政府的财政努力</w:t>
      </w:r>
      <w:r w:rsidR="00FD7C7F" w:rsidRPr="00CF571C">
        <w:rPr>
          <w:rFonts w:ascii="Times New Roman" w:hAnsi="Times New Roman" w:cs="Times New Roman" w:hint="eastAsia"/>
          <w:color w:val="000000" w:themeColor="text1"/>
          <w:sz w:val="21"/>
          <w:szCs w:val="21"/>
        </w:rPr>
        <w:t>，</w:t>
      </w:r>
      <w:r w:rsidR="000B148B" w:rsidRPr="00CF571C">
        <w:rPr>
          <w:rFonts w:ascii="Times New Roman" w:hAnsi="Times New Roman" w:cs="Times New Roman"/>
          <w:color w:val="000000" w:themeColor="text1"/>
          <w:sz w:val="21"/>
          <w:szCs w:val="21"/>
        </w:rPr>
        <w:t>最终</w:t>
      </w:r>
      <w:r w:rsidR="000B148B" w:rsidRPr="00CF571C">
        <w:rPr>
          <w:rFonts w:ascii="Times New Roman" w:hAnsi="Times New Roman" w:cs="Times New Roman" w:hint="eastAsia"/>
          <w:color w:val="000000" w:themeColor="text1"/>
          <w:sz w:val="21"/>
          <w:szCs w:val="21"/>
        </w:rPr>
        <w:t>也会降低</w:t>
      </w:r>
      <w:r w:rsidR="000B148B" w:rsidRPr="00CF571C">
        <w:rPr>
          <w:rFonts w:ascii="Times New Roman" w:hAnsi="Times New Roman" w:cs="Times New Roman"/>
          <w:color w:val="000000" w:themeColor="text1"/>
          <w:sz w:val="21"/>
          <w:szCs w:val="21"/>
        </w:rPr>
        <w:t>地方政府原有的财政自治权</w:t>
      </w:r>
      <w:r w:rsidR="00574183" w:rsidRPr="00CF571C">
        <w:rPr>
          <w:rFonts w:ascii="Times New Roman" w:hAnsi="Times New Roman" w:cs="Times New Roman" w:hint="eastAsia"/>
          <w:color w:val="000000" w:themeColor="text1"/>
          <w:sz w:val="21"/>
          <w:szCs w:val="21"/>
        </w:rPr>
        <w:t>（</w:t>
      </w:r>
      <w:r w:rsidR="000B148B" w:rsidRPr="00CF571C">
        <w:rPr>
          <w:rFonts w:ascii="Times New Roman" w:hAnsi="Times New Roman" w:cs="Times New Roman"/>
          <w:color w:val="000000" w:themeColor="text1"/>
          <w:sz w:val="21"/>
          <w:szCs w:val="21"/>
        </w:rPr>
        <w:t>Oates</w:t>
      </w:r>
      <w:r w:rsidR="00FD7C7F" w:rsidRPr="00CF571C">
        <w:rPr>
          <w:rFonts w:ascii="Times New Roman" w:hAnsi="Times New Roman" w:cs="Times New Roman" w:hint="eastAsia"/>
          <w:color w:val="000000" w:themeColor="text1"/>
          <w:sz w:val="21"/>
          <w:szCs w:val="21"/>
        </w:rPr>
        <w:t>，</w:t>
      </w:r>
      <w:r w:rsidR="000B148B" w:rsidRPr="00CF571C">
        <w:rPr>
          <w:rFonts w:ascii="Times New Roman" w:hAnsi="Times New Roman" w:cs="Times New Roman"/>
          <w:color w:val="000000" w:themeColor="text1"/>
          <w:sz w:val="21"/>
          <w:szCs w:val="21"/>
        </w:rPr>
        <w:t>1993</w:t>
      </w:r>
      <w:r w:rsidR="00574183" w:rsidRPr="00CF571C">
        <w:rPr>
          <w:rFonts w:ascii="Times New Roman" w:hAnsi="Times New Roman" w:cs="Times New Roman" w:hint="eastAsia"/>
          <w:color w:val="000000" w:themeColor="text1"/>
          <w:sz w:val="21"/>
          <w:szCs w:val="21"/>
        </w:rPr>
        <w:t>）</w:t>
      </w:r>
      <w:r w:rsidR="000B148B" w:rsidRPr="00CF571C">
        <w:rPr>
          <w:rFonts w:ascii="Times New Roman" w:hAnsi="Times New Roman" w:cs="Times New Roman" w:hint="eastAsia"/>
          <w:color w:val="000000" w:themeColor="text1"/>
          <w:sz w:val="21"/>
          <w:szCs w:val="21"/>
        </w:rPr>
        <w:t>。</w:t>
      </w:r>
    </w:p>
    <w:p w14:paraId="74D7279E" w14:textId="77777777" w:rsidR="000B148B" w:rsidRPr="00CF571C" w:rsidRDefault="000B148B" w:rsidP="00FC47C4">
      <w:pPr>
        <w:adjustRightInd w:val="0"/>
        <w:snapToGrid w:val="0"/>
        <w:ind w:firstLineChars="200" w:firstLine="420"/>
        <w:rPr>
          <w:rFonts w:ascii="Times New Roman" w:hAnsi="Times New Roman" w:cs="Times New Roman"/>
          <w:color w:val="000000" w:themeColor="text1"/>
          <w:sz w:val="21"/>
          <w:szCs w:val="21"/>
        </w:rPr>
      </w:pPr>
    </w:p>
    <w:p w14:paraId="7D17C843" w14:textId="77777777" w:rsidR="00FC47C4" w:rsidRPr="00CF571C" w:rsidRDefault="00FC47C4"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Pr="00CF571C">
        <w:rPr>
          <w:rFonts w:ascii="Times New Roman" w:eastAsia="楷体" w:hAnsi="Times New Roman" w:cs="Times New Roman"/>
          <w:bCs/>
          <w:color w:val="000000" w:themeColor="text1"/>
          <w:kern w:val="2"/>
          <w:sz w:val="21"/>
          <w:szCs w:val="21"/>
        </w:rPr>
        <w:t xml:space="preserve">1    </w:t>
      </w:r>
      <w:r w:rsidRPr="00CF571C">
        <w:rPr>
          <w:rFonts w:ascii="Times New Roman" w:eastAsia="楷体" w:hAnsi="Times New Roman" w:cs="Times New Roman"/>
          <w:bCs/>
          <w:color w:val="000000" w:themeColor="text1"/>
          <w:kern w:val="2"/>
          <w:sz w:val="21"/>
          <w:szCs w:val="21"/>
        </w:rPr>
        <w:t>《预算法》相关规定</w:t>
      </w:r>
    </w:p>
    <w:tbl>
      <w:tblPr>
        <w:tblW w:w="8627" w:type="dxa"/>
        <w:jc w:val="center"/>
        <w:tblBorders>
          <w:top w:val="single" w:sz="4" w:space="0" w:color="auto"/>
          <w:bottom w:val="single" w:sz="4" w:space="0" w:color="auto"/>
        </w:tblBorders>
        <w:tblLook w:val="04A0" w:firstRow="1" w:lastRow="0" w:firstColumn="1" w:lastColumn="0" w:noHBand="0" w:noVBand="1"/>
      </w:tblPr>
      <w:tblGrid>
        <w:gridCol w:w="1466"/>
        <w:gridCol w:w="1466"/>
        <w:gridCol w:w="5695"/>
      </w:tblGrid>
      <w:tr w:rsidR="00CF571C" w:rsidRPr="00CF571C" w14:paraId="75CD6E13" w14:textId="77777777" w:rsidTr="00982873">
        <w:trPr>
          <w:trHeight w:val="451"/>
          <w:jc w:val="center"/>
        </w:trPr>
        <w:tc>
          <w:tcPr>
            <w:tcW w:w="1466" w:type="dxa"/>
            <w:tcBorders>
              <w:top w:val="single" w:sz="4" w:space="0" w:color="auto"/>
              <w:bottom w:val="single" w:sz="4" w:space="0" w:color="auto"/>
            </w:tcBorders>
            <w:vAlign w:val="center"/>
          </w:tcPr>
          <w:p w14:paraId="146AB9E3"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类别</w:t>
            </w:r>
          </w:p>
        </w:tc>
        <w:tc>
          <w:tcPr>
            <w:tcW w:w="1466" w:type="dxa"/>
            <w:tcBorders>
              <w:top w:val="single" w:sz="4" w:space="0" w:color="auto"/>
              <w:bottom w:val="single" w:sz="4" w:space="0" w:color="auto"/>
            </w:tcBorders>
            <w:shd w:val="clear" w:color="auto" w:fill="auto"/>
            <w:noWrap/>
            <w:vAlign w:val="center"/>
            <w:hideMark/>
          </w:tcPr>
          <w:p w14:paraId="5D6A0391"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条目</w:t>
            </w:r>
          </w:p>
        </w:tc>
        <w:tc>
          <w:tcPr>
            <w:tcW w:w="5695" w:type="dxa"/>
            <w:tcBorders>
              <w:top w:val="single" w:sz="4" w:space="0" w:color="auto"/>
              <w:bottom w:val="single" w:sz="4" w:space="0" w:color="auto"/>
            </w:tcBorders>
            <w:shd w:val="clear" w:color="auto" w:fill="auto"/>
            <w:noWrap/>
            <w:vAlign w:val="center"/>
            <w:hideMark/>
          </w:tcPr>
          <w:p w14:paraId="4717C42B"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内容</w:t>
            </w:r>
          </w:p>
        </w:tc>
      </w:tr>
      <w:tr w:rsidR="00CF571C" w:rsidRPr="00CF571C" w14:paraId="0FEB7E37" w14:textId="77777777" w:rsidTr="00B636FD">
        <w:trPr>
          <w:trHeight w:val="546"/>
          <w:jc w:val="center"/>
        </w:trPr>
        <w:tc>
          <w:tcPr>
            <w:tcW w:w="1466" w:type="dxa"/>
            <w:vMerge w:val="restart"/>
            <w:tcBorders>
              <w:top w:val="single" w:sz="4" w:space="0" w:color="auto"/>
            </w:tcBorders>
            <w:vAlign w:val="center"/>
          </w:tcPr>
          <w:p w14:paraId="6504C18A"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转移支付</w:t>
            </w:r>
          </w:p>
        </w:tc>
        <w:tc>
          <w:tcPr>
            <w:tcW w:w="1466" w:type="dxa"/>
            <w:tcBorders>
              <w:top w:val="single" w:sz="4" w:space="0" w:color="auto"/>
              <w:bottom w:val="single" w:sz="4" w:space="0" w:color="auto"/>
            </w:tcBorders>
            <w:shd w:val="clear" w:color="auto" w:fill="auto"/>
            <w:noWrap/>
            <w:vAlign w:val="center"/>
            <w:hideMark/>
          </w:tcPr>
          <w:p w14:paraId="0281C80B"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第六条</w:t>
            </w:r>
          </w:p>
        </w:tc>
        <w:tc>
          <w:tcPr>
            <w:tcW w:w="5695" w:type="dxa"/>
            <w:tcBorders>
              <w:top w:val="single" w:sz="4" w:space="0" w:color="auto"/>
              <w:bottom w:val="single" w:sz="4" w:space="0" w:color="auto"/>
            </w:tcBorders>
            <w:shd w:val="clear" w:color="auto" w:fill="auto"/>
            <w:vAlign w:val="center"/>
            <w:hideMark/>
          </w:tcPr>
          <w:p w14:paraId="47E3F99B" w14:textId="77777777" w:rsidR="00FC47C4" w:rsidRPr="00CF571C" w:rsidRDefault="00FC47C4" w:rsidP="00B636FD">
            <w:pP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中央一般公共预算支出包括中央本级支出、中央对地方的税收返还和转移支付。</w:t>
            </w:r>
          </w:p>
        </w:tc>
      </w:tr>
      <w:tr w:rsidR="00CF571C" w:rsidRPr="00CF571C" w14:paraId="5856EB19" w14:textId="77777777" w:rsidTr="00B636FD">
        <w:trPr>
          <w:trHeight w:val="1365"/>
          <w:jc w:val="center"/>
        </w:trPr>
        <w:tc>
          <w:tcPr>
            <w:tcW w:w="1466" w:type="dxa"/>
            <w:vMerge/>
            <w:vAlign w:val="center"/>
          </w:tcPr>
          <w:p w14:paraId="5855B25C" w14:textId="77777777" w:rsidR="00FC47C4" w:rsidRPr="00CF571C" w:rsidRDefault="00FC47C4" w:rsidP="00B636FD">
            <w:pPr>
              <w:jc w:val="center"/>
              <w:rPr>
                <w:rFonts w:ascii="Times New Roman" w:hAnsi="Times New Roman" w:cs="Times New Roman"/>
                <w:color w:val="000000" w:themeColor="text1"/>
                <w:sz w:val="21"/>
                <w:szCs w:val="21"/>
              </w:rPr>
            </w:pPr>
          </w:p>
        </w:tc>
        <w:tc>
          <w:tcPr>
            <w:tcW w:w="1466" w:type="dxa"/>
            <w:tcBorders>
              <w:top w:val="single" w:sz="4" w:space="0" w:color="auto"/>
              <w:bottom w:val="single" w:sz="4" w:space="0" w:color="auto"/>
            </w:tcBorders>
            <w:shd w:val="clear" w:color="auto" w:fill="auto"/>
            <w:noWrap/>
            <w:vAlign w:val="center"/>
            <w:hideMark/>
          </w:tcPr>
          <w:p w14:paraId="6AA85DF8"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第七条</w:t>
            </w:r>
          </w:p>
        </w:tc>
        <w:tc>
          <w:tcPr>
            <w:tcW w:w="5695" w:type="dxa"/>
            <w:tcBorders>
              <w:top w:val="single" w:sz="4" w:space="0" w:color="auto"/>
              <w:bottom w:val="single" w:sz="4" w:space="0" w:color="auto"/>
            </w:tcBorders>
            <w:shd w:val="clear" w:color="auto" w:fill="auto"/>
            <w:vAlign w:val="center"/>
            <w:hideMark/>
          </w:tcPr>
          <w:p w14:paraId="5829D82C" w14:textId="77777777" w:rsidR="00FC47C4" w:rsidRPr="00CF571C" w:rsidRDefault="00FC47C4" w:rsidP="00B636FD">
            <w:pP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方各级一般公共预算收入包括地方本级收入、上级政府对本级政府的税收返还和转移支付、下级政府的上解收入。地方各级一般公共预算支出包括地方本级支出、对上级政府的上解支出、对下级政府的税收返还和转移支付。</w:t>
            </w:r>
          </w:p>
        </w:tc>
      </w:tr>
      <w:tr w:rsidR="00CF571C" w:rsidRPr="00CF571C" w14:paraId="13EB663C" w14:textId="77777777" w:rsidTr="00B636FD">
        <w:trPr>
          <w:trHeight w:val="1092"/>
          <w:jc w:val="center"/>
        </w:trPr>
        <w:tc>
          <w:tcPr>
            <w:tcW w:w="1466" w:type="dxa"/>
            <w:vMerge/>
            <w:vAlign w:val="center"/>
          </w:tcPr>
          <w:p w14:paraId="1985F321" w14:textId="77777777" w:rsidR="00FC47C4" w:rsidRPr="00CF571C" w:rsidRDefault="00FC47C4" w:rsidP="00B636FD">
            <w:pPr>
              <w:jc w:val="center"/>
              <w:rPr>
                <w:rFonts w:ascii="Times New Roman" w:hAnsi="Times New Roman" w:cs="Times New Roman"/>
                <w:color w:val="000000" w:themeColor="text1"/>
                <w:sz w:val="21"/>
                <w:szCs w:val="21"/>
              </w:rPr>
            </w:pPr>
          </w:p>
        </w:tc>
        <w:tc>
          <w:tcPr>
            <w:tcW w:w="1466" w:type="dxa"/>
            <w:tcBorders>
              <w:top w:val="single" w:sz="4" w:space="0" w:color="auto"/>
              <w:bottom w:val="single" w:sz="4" w:space="0" w:color="auto"/>
            </w:tcBorders>
            <w:shd w:val="clear" w:color="auto" w:fill="auto"/>
            <w:noWrap/>
            <w:vAlign w:val="center"/>
            <w:hideMark/>
          </w:tcPr>
          <w:p w14:paraId="42CCF2AF"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第十</w:t>
            </w:r>
            <w:r w:rsidRPr="00CF571C">
              <w:rPr>
                <w:rFonts w:ascii="Times New Roman" w:hAnsi="Times New Roman" w:cs="Times New Roman" w:hint="eastAsia"/>
                <w:color w:val="000000" w:themeColor="text1"/>
                <w:sz w:val="21"/>
                <w:szCs w:val="21"/>
              </w:rPr>
              <w:t>六</w:t>
            </w:r>
            <w:r w:rsidRPr="00CF571C">
              <w:rPr>
                <w:rFonts w:ascii="Times New Roman" w:hAnsi="Times New Roman" w:cs="Times New Roman"/>
                <w:color w:val="000000" w:themeColor="text1"/>
                <w:sz w:val="21"/>
                <w:szCs w:val="21"/>
              </w:rPr>
              <w:t>条</w:t>
            </w:r>
          </w:p>
        </w:tc>
        <w:tc>
          <w:tcPr>
            <w:tcW w:w="5695" w:type="dxa"/>
            <w:tcBorders>
              <w:top w:val="single" w:sz="4" w:space="0" w:color="auto"/>
              <w:bottom w:val="single" w:sz="4" w:space="0" w:color="auto"/>
            </w:tcBorders>
            <w:shd w:val="clear" w:color="auto" w:fill="auto"/>
            <w:vAlign w:val="center"/>
            <w:hideMark/>
          </w:tcPr>
          <w:p w14:paraId="4B86F82B" w14:textId="77777777" w:rsidR="00FC47C4" w:rsidRPr="00CF571C" w:rsidRDefault="00FC47C4" w:rsidP="00B636FD">
            <w:pP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国家实行财政转移支付制度。财政转移支付包括中央对地方的转移支付和地方上级政府对下级政府的转移支付，以为均衡地区间基本财力、由下级政府统筹安排使用的一般性转移支付为主体。</w:t>
            </w:r>
          </w:p>
        </w:tc>
      </w:tr>
      <w:tr w:rsidR="00FC47C4" w:rsidRPr="00CF571C" w14:paraId="47841CB0" w14:textId="77777777" w:rsidTr="00B636FD">
        <w:trPr>
          <w:trHeight w:val="546"/>
          <w:jc w:val="center"/>
        </w:trPr>
        <w:tc>
          <w:tcPr>
            <w:tcW w:w="1466" w:type="dxa"/>
            <w:vMerge/>
            <w:tcBorders>
              <w:bottom w:val="single" w:sz="4" w:space="0" w:color="auto"/>
            </w:tcBorders>
            <w:vAlign w:val="center"/>
          </w:tcPr>
          <w:p w14:paraId="48BDD2C1" w14:textId="77777777" w:rsidR="00FC47C4" w:rsidRPr="00CF571C" w:rsidRDefault="00FC47C4" w:rsidP="00B636FD">
            <w:pPr>
              <w:jc w:val="center"/>
              <w:rPr>
                <w:rFonts w:ascii="Times New Roman" w:hAnsi="Times New Roman" w:cs="Times New Roman"/>
                <w:color w:val="000000" w:themeColor="text1"/>
                <w:sz w:val="21"/>
                <w:szCs w:val="21"/>
              </w:rPr>
            </w:pPr>
          </w:p>
        </w:tc>
        <w:tc>
          <w:tcPr>
            <w:tcW w:w="1466" w:type="dxa"/>
            <w:tcBorders>
              <w:top w:val="single" w:sz="4" w:space="0" w:color="auto"/>
              <w:bottom w:val="single" w:sz="4" w:space="0" w:color="auto"/>
            </w:tcBorders>
            <w:shd w:val="clear" w:color="auto" w:fill="auto"/>
            <w:noWrap/>
            <w:vAlign w:val="center"/>
            <w:hideMark/>
          </w:tcPr>
          <w:p w14:paraId="354B107A" w14:textId="77777777" w:rsidR="00FC47C4" w:rsidRPr="00CF571C" w:rsidRDefault="00FC47C4"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第三十八条</w:t>
            </w:r>
          </w:p>
        </w:tc>
        <w:tc>
          <w:tcPr>
            <w:tcW w:w="5695" w:type="dxa"/>
            <w:tcBorders>
              <w:top w:val="single" w:sz="4" w:space="0" w:color="auto"/>
              <w:bottom w:val="single" w:sz="4" w:space="0" w:color="auto"/>
            </w:tcBorders>
            <w:shd w:val="clear" w:color="auto" w:fill="auto"/>
            <w:vAlign w:val="center"/>
            <w:hideMark/>
          </w:tcPr>
          <w:p w14:paraId="1BC3F469" w14:textId="77777777" w:rsidR="00FC47C4" w:rsidRPr="00CF571C" w:rsidRDefault="00FC47C4" w:rsidP="00B636FD">
            <w:pP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地方各级政府应当将上级政府提前下达的转移支付预计数编入本级预算</w:t>
            </w:r>
          </w:p>
        </w:tc>
      </w:tr>
    </w:tbl>
    <w:p w14:paraId="324D5CC9" w14:textId="77777777" w:rsidR="00534B4A" w:rsidRPr="00CF571C" w:rsidRDefault="00534B4A" w:rsidP="00FC47C4">
      <w:pPr>
        <w:adjustRightInd w:val="0"/>
        <w:snapToGrid w:val="0"/>
        <w:ind w:firstLineChars="200" w:firstLine="442"/>
        <w:rPr>
          <w:rFonts w:ascii="Times New Roman" w:eastAsia="仿宋" w:hAnsi="Times New Roman" w:cs="Times New Roman"/>
          <w:b/>
          <w:bCs/>
          <w:color w:val="000000" w:themeColor="text1"/>
          <w:sz w:val="22"/>
          <w:szCs w:val="22"/>
        </w:rPr>
      </w:pPr>
    </w:p>
    <w:p w14:paraId="5CED647C" w14:textId="77777777" w:rsidR="00221D1C" w:rsidRPr="00CF571C" w:rsidRDefault="004E46D7" w:rsidP="00070F37">
      <w:pPr>
        <w:adjustRightInd w:val="0"/>
        <w:snapToGrid w:val="0"/>
        <w:ind w:firstLineChars="200" w:firstLine="422"/>
        <w:jc w:val="both"/>
        <w:rPr>
          <w:rFonts w:ascii="Times New Roman" w:hAnsi="Times New Roman" w:cs="Times New Roman"/>
          <w:color w:val="000000" w:themeColor="text1"/>
          <w:sz w:val="21"/>
          <w:szCs w:val="21"/>
        </w:rPr>
      </w:pPr>
      <w:r w:rsidRPr="00CF571C">
        <w:rPr>
          <w:rFonts w:ascii="Times New Roman" w:hAnsi="Times New Roman" w:cs="Times New Roman" w:hint="eastAsia"/>
          <w:b/>
          <w:bCs/>
          <w:color w:val="000000" w:themeColor="text1"/>
          <w:sz w:val="21"/>
          <w:szCs w:val="21"/>
        </w:rPr>
        <w:t>2</w:t>
      </w:r>
      <w:r w:rsidRPr="00CF571C">
        <w:rPr>
          <w:rFonts w:ascii="Times New Roman" w:hAnsi="Times New Roman" w:cs="Times New Roman"/>
          <w:b/>
          <w:bCs/>
          <w:color w:val="000000" w:themeColor="text1"/>
          <w:sz w:val="21"/>
          <w:szCs w:val="21"/>
        </w:rPr>
        <w:t>.</w:t>
      </w:r>
      <w:r w:rsidR="00C221A3" w:rsidRPr="00CF571C">
        <w:rPr>
          <w:rFonts w:ascii="楷体" w:eastAsia="楷体" w:hAnsi="楷体" w:cs="Times New Roman" w:hint="eastAsia"/>
          <w:b/>
          <w:bCs/>
          <w:color w:val="000000" w:themeColor="text1"/>
          <w:sz w:val="21"/>
          <w:szCs w:val="21"/>
        </w:rPr>
        <w:t>预算管理职权</w:t>
      </w:r>
      <w:r w:rsidR="00070F37" w:rsidRPr="00CF571C">
        <w:rPr>
          <w:rFonts w:ascii="楷体" w:eastAsia="楷体" w:hAnsi="楷体" w:cs="Times New Roman" w:hint="eastAsia"/>
          <w:b/>
          <w:bCs/>
          <w:color w:val="000000" w:themeColor="text1"/>
          <w:sz w:val="21"/>
          <w:szCs w:val="21"/>
        </w:rPr>
        <w:t>。</w:t>
      </w:r>
      <w:r w:rsidR="00221D1C" w:rsidRPr="00CF571C">
        <w:rPr>
          <w:rFonts w:ascii="Times New Roman" w:hAnsi="Times New Roman" w:cs="Times New Roman" w:hint="eastAsia"/>
          <w:color w:val="000000" w:themeColor="text1"/>
          <w:sz w:val="21"/>
          <w:szCs w:val="21"/>
        </w:rPr>
        <w:t>对于预算管理职权，我国《预算法》规定了上级人大、人大常委及政府对下级预算的多项权力。以政府为例：首先，地方各级政府具有改变或撤销下级政府关于预、决算不适当决定和命令的权力；其次，地方各级政府具有监督下级政府预算执行的权力，对预算草案、执行情况等报告具有审查权。最后，地方各级政府还需要定期向本级和上一级政府财政部门报告预算的执行情况。因此，尽管当下地方政府具有自主编制预算草案以及根据预算方案执行财政收支的权力，但更多是形式上的独立性，并不意味地方对于收支有独立的决定权。</w:t>
      </w:r>
    </w:p>
    <w:p w14:paraId="1A34BE3E" w14:textId="77777777" w:rsidR="00D506C7" w:rsidRPr="00CF571C" w:rsidRDefault="004E46D7" w:rsidP="00070F37">
      <w:pPr>
        <w:adjustRightInd w:val="0"/>
        <w:snapToGrid w:val="0"/>
        <w:ind w:firstLineChars="200" w:firstLine="422"/>
        <w:jc w:val="both"/>
        <w:rPr>
          <w:rFonts w:ascii="Times New Roman" w:hAnsi="Times New Roman" w:cs="Times New Roman"/>
          <w:color w:val="000000" w:themeColor="text1"/>
          <w:sz w:val="21"/>
          <w:szCs w:val="21"/>
        </w:rPr>
      </w:pPr>
      <w:r w:rsidRPr="00CF571C">
        <w:rPr>
          <w:rFonts w:ascii="Times New Roman" w:hAnsi="Times New Roman" w:cs="Times New Roman" w:hint="eastAsia"/>
          <w:b/>
          <w:bCs/>
          <w:color w:val="000000" w:themeColor="text1"/>
          <w:sz w:val="21"/>
          <w:szCs w:val="21"/>
        </w:rPr>
        <w:t>3</w:t>
      </w:r>
      <w:r w:rsidRPr="00CF571C">
        <w:rPr>
          <w:rFonts w:ascii="Times New Roman" w:hAnsi="Times New Roman" w:cs="Times New Roman"/>
          <w:b/>
          <w:bCs/>
          <w:color w:val="000000" w:themeColor="text1"/>
          <w:sz w:val="21"/>
          <w:szCs w:val="21"/>
        </w:rPr>
        <w:t>.</w:t>
      </w:r>
      <w:r w:rsidR="00C221A3" w:rsidRPr="00CF571C">
        <w:rPr>
          <w:rFonts w:ascii="Times New Roman" w:hAnsi="Times New Roman" w:cs="Times New Roman" w:hint="eastAsia"/>
          <w:b/>
          <w:bCs/>
          <w:color w:val="000000" w:themeColor="text1"/>
          <w:sz w:val="21"/>
          <w:szCs w:val="21"/>
        </w:rPr>
        <w:t>预算</w:t>
      </w:r>
      <w:r w:rsidR="001C2152" w:rsidRPr="00CF571C">
        <w:rPr>
          <w:rFonts w:ascii="Times New Roman" w:hAnsi="Times New Roman" w:cs="Times New Roman" w:hint="eastAsia"/>
          <w:b/>
          <w:bCs/>
          <w:color w:val="000000" w:themeColor="text1"/>
          <w:sz w:val="21"/>
          <w:szCs w:val="21"/>
        </w:rPr>
        <w:t>编制</w:t>
      </w:r>
      <w:r w:rsidR="00C221A3" w:rsidRPr="00CF571C">
        <w:rPr>
          <w:rFonts w:ascii="Times New Roman" w:hAnsi="Times New Roman" w:cs="Times New Roman" w:hint="eastAsia"/>
          <w:b/>
          <w:bCs/>
          <w:color w:val="000000" w:themeColor="text1"/>
          <w:sz w:val="21"/>
          <w:szCs w:val="21"/>
        </w:rPr>
        <w:t>程序</w:t>
      </w:r>
      <w:r w:rsidR="00070F37" w:rsidRPr="00CF571C">
        <w:rPr>
          <w:rFonts w:ascii="Times New Roman" w:hAnsi="Times New Roman" w:cs="Times New Roman" w:hint="eastAsia"/>
          <w:b/>
          <w:bCs/>
          <w:color w:val="000000" w:themeColor="text1"/>
          <w:sz w:val="21"/>
          <w:szCs w:val="21"/>
        </w:rPr>
        <w:t>。</w:t>
      </w:r>
      <w:r w:rsidR="00C221A3" w:rsidRPr="00CF571C">
        <w:rPr>
          <w:rFonts w:ascii="Times New Roman" w:hAnsi="Times New Roman" w:cs="Times New Roman"/>
          <w:color w:val="000000" w:themeColor="text1"/>
          <w:sz w:val="21"/>
          <w:szCs w:val="21"/>
        </w:rPr>
        <w:t>在地方政府预算编制程序中，地方政府正式预算编制前往往会接受上级的规划指示。在我国地方政府预算正式编制前，中央定期组织召开中央经济工作会议和全国财政工作会议以统一各省工作精神。进一步地，各省会召开省委常委扩大会议或经济工作会议来传达、学习和贯彻中央经济工作会议、全国财政工作会议精神。</w:t>
      </w:r>
    </w:p>
    <w:p w14:paraId="74731827" w14:textId="77777777" w:rsidR="00D506C7" w:rsidRPr="00CF571C" w:rsidRDefault="00955B85" w:rsidP="00955B85">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基于此，</w:t>
      </w:r>
      <w:r w:rsidRPr="00CF571C">
        <w:rPr>
          <w:rFonts w:ascii="Times New Roman" w:hAnsi="Times New Roman" w:cs="Times New Roman"/>
          <w:color w:val="000000" w:themeColor="text1"/>
          <w:sz w:val="21"/>
          <w:szCs w:val="21"/>
        </w:rPr>
        <w:t>尽管地级市政府预算制定由本级政府负责，但仍然会受到本省对当年重点支出方向的一致引导，并且在预算</w:t>
      </w:r>
      <w:r w:rsidRPr="00CF571C">
        <w:rPr>
          <w:rFonts w:ascii="Times New Roman" w:hAnsi="Times New Roman" w:cs="Times New Roman" w:hint="eastAsia"/>
          <w:color w:val="000000" w:themeColor="text1"/>
          <w:sz w:val="21"/>
          <w:szCs w:val="21"/>
        </w:rPr>
        <w:t>执行</w:t>
      </w:r>
      <w:r w:rsidRPr="00CF571C">
        <w:rPr>
          <w:rFonts w:ascii="Times New Roman" w:hAnsi="Times New Roman" w:cs="Times New Roman"/>
          <w:color w:val="000000" w:themeColor="text1"/>
          <w:sz w:val="21"/>
          <w:szCs w:val="21"/>
        </w:rPr>
        <w:t>上接受监督</w:t>
      </w:r>
      <w:r w:rsidRPr="00CF571C">
        <w:rPr>
          <w:rFonts w:ascii="Times New Roman" w:hAnsi="Times New Roman" w:cs="Times New Roman" w:hint="eastAsia"/>
          <w:color w:val="000000" w:themeColor="text1"/>
          <w:sz w:val="21"/>
          <w:szCs w:val="21"/>
        </w:rPr>
        <w:t>。地方</w:t>
      </w:r>
      <w:r w:rsidRPr="00CF571C">
        <w:rPr>
          <w:rFonts w:ascii="Times New Roman" w:hAnsi="Times New Roman" w:cs="Times New Roman"/>
          <w:color w:val="000000" w:themeColor="text1"/>
          <w:sz w:val="21"/>
          <w:szCs w:val="21"/>
        </w:rPr>
        <w:t>政府预算支出结构</w:t>
      </w:r>
      <w:r w:rsidRPr="00CF571C">
        <w:rPr>
          <w:rFonts w:ascii="Times New Roman" w:hAnsi="Times New Roman" w:cs="Times New Roman" w:hint="eastAsia"/>
          <w:color w:val="000000" w:themeColor="text1"/>
          <w:sz w:val="21"/>
          <w:szCs w:val="21"/>
        </w:rPr>
        <w:t>将</w:t>
      </w:r>
      <w:r w:rsidRPr="00CF571C">
        <w:rPr>
          <w:rFonts w:ascii="Times New Roman" w:hAnsi="Times New Roman" w:cs="Times New Roman"/>
          <w:color w:val="000000" w:themeColor="text1"/>
          <w:sz w:val="21"/>
          <w:szCs w:val="21"/>
        </w:rPr>
        <w:t>不可避免地受到上级政府的影响</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进而表现出</w:t>
      </w:r>
      <w:r w:rsidRPr="00CF571C">
        <w:rPr>
          <w:rFonts w:ascii="Times New Roman" w:hAnsi="Times New Roman" w:cs="Times New Roman" w:hint="eastAsia"/>
          <w:color w:val="000000" w:themeColor="text1"/>
          <w:sz w:val="21"/>
          <w:szCs w:val="21"/>
        </w:rPr>
        <w:t>同省辖区内的地方政府可能拥有相似的预算支出结构，如</w:t>
      </w:r>
      <w:r w:rsidRPr="00CF571C">
        <w:rPr>
          <w:rFonts w:ascii="Times New Roman" w:hAnsi="Times New Roman" w:cs="Times New Roman"/>
          <w:color w:val="000000" w:themeColor="text1"/>
          <w:sz w:val="21"/>
          <w:szCs w:val="21"/>
        </w:rPr>
        <w:t>尹恒</w:t>
      </w:r>
      <w:r w:rsidRPr="00CF571C">
        <w:rPr>
          <w:rFonts w:ascii="Times New Roman" w:hAnsi="Times New Roman" w:cs="Times New Roman" w:hint="eastAsia"/>
          <w:color w:val="000000" w:themeColor="text1"/>
          <w:sz w:val="21"/>
          <w:szCs w:val="21"/>
        </w:rPr>
        <w:t>和</w:t>
      </w:r>
      <w:r w:rsidRPr="00CF571C">
        <w:rPr>
          <w:rFonts w:ascii="Times New Roman" w:hAnsi="Times New Roman" w:cs="Times New Roman"/>
          <w:color w:val="000000" w:themeColor="text1"/>
          <w:sz w:val="21"/>
          <w:szCs w:val="21"/>
        </w:rPr>
        <w:t>徐琰超</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2</w:t>
      </w:r>
      <w:r w:rsidRPr="00CF571C">
        <w:rPr>
          <w:rFonts w:ascii="Times New Roman" w:hAnsi="Times New Roman" w:cs="Times New Roman"/>
          <w:color w:val="000000" w:themeColor="text1"/>
          <w:sz w:val="21"/>
          <w:szCs w:val="21"/>
        </w:rPr>
        <w:t>011</w:t>
      </w:r>
      <w:r w:rsidRPr="00CF571C">
        <w:rPr>
          <w:rFonts w:ascii="Times New Roman" w:hAnsi="Times New Roman" w:cs="Times New Roman" w:hint="eastAsia"/>
          <w:color w:val="000000" w:themeColor="text1"/>
          <w:sz w:val="21"/>
          <w:szCs w:val="21"/>
        </w:rPr>
        <w:t>）基于中国地级市数据检验，发现所属同一省份的地方政府，其</w:t>
      </w:r>
      <w:r w:rsidRPr="00CF571C">
        <w:rPr>
          <w:rFonts w:ascii="Times New Roman" w:hAnsi="Times New Roman" w:cs="Times New Roman"/>
          <w:color w:val="000000" w:themeColor="text1"/>
          <w:sz w:val="21"/>
          <w:szCs w:val="21"/>
        </w:rPr>
        <w:t>基本建设公共支出</w:t>
      </w:r>
      <w:r w:rsidRPr="00CF571C">
        <w:rPr>
          <w:rFonts w:ascii="Times New Roman" w:hAnsi="Times New Roman" w:cs="Times New Roman" w:hint="eastAsia"/>
          <w:color w:val="000000" w:themeColor="text1"/>
          <w:sz w:val="21"/>
          <w:szCs w:val="21"/>
        </w:rPr>
        <w:t>呈现正相关关系。因此，本文提出第一个假说</w:t>
      </w:r>
      <w:r w:rsidR="00D506C7" w:rsidRPr="00CF571C">
        <w:rPr>
          <w:rFonts w:ascii="Times New Roman" w:hAnsi="Times New Roman" w:cs="Times New Roman" w:hint="eastAsia"/>
          <w:color w:val="000000" w:themeColor="text1"/>
          <w:sz w:val="21"/>
          <w:szCs w:val="21"/>
        </w:rPr>
        <w:t>。</w:t>
      </w:r>
    </w:p>
    <w:p w14:paraId="7E7282E1" w14:textId="77777777" w:rsidR="00091655" w:rsidRPr="00CF571C" w:rsidRDefault="00091655" w:rsidP="00091655">
      <w:pPr>
        <w:adjustRightInd w:val="0"/>
        <w:snapToGrid w:val="0"/>
        <w:ind w:firstLineChars="200" w:firstLine="422"/>
        <w:jc w:val="both"/>
        <w:rPr>
          <w:rFonts w:ascii="Times New Roman" w:hAnsi="Times New Roman" w:cs="Times New Roman"/>
          <w:b/>
          <w:bCs/>
          <w:color w:val="000000" w:themeColor="text1"/>
          <w:sz w:val="21"/>
          <w:szCs w:val="21"/>
        </w:rPr>
      </w:pPr>
      <w:r w:rsidRPr="00CF571C">
        <w:rPr>
          <w:rFonts w:ascii="楷体" w:eastAsia="楷体" w:hAnsi="楷体" w:cs="Times New Roman"/>
          <w:b/>
          <w:bCs/>
          <w:color w:val="000000" w:themeColor="text1"/>
          <w:sz w:val="21"/>
          <w:szCs w:val="21"/>
        </w:rPr>
        <w:t>假说1:</w:t>
      </w:r>
      <w:r w:rsidR="00AB273B" w:rsidRPr="00CF571C">
        <w:rPr>
          <w:rFonts w:ascii="楷体" w:eastAsia="楷体" w:hAnsi="楷体" w:cs="Times New Roman" w:hint="eastAsia"/>
          <w:b/>
          <w:bCs/>
          <w:color w:val="000000" w:themeColor="text1"/>
          <w:sz w:val="21"/>
          <w:szCs w:val="21"/>
        </w:rPr>
        <w:t xml:space="preserve"> </w:t>
      </w:r>
      <w:r w:rsidRPr="00CF571C">
        <w:rPr>
          <w:rFonts w:ascii="楷体" w:eastAsia="楷体" w:hAnsi="楷体" w:cs="Times New Roman"/>
          <w:b/>
          <w:bCs/>
          <w:color w:val="000000" w:themeColor="text1"/>
          <w:sz w:val="21"/>
          <w:szCs w:val="21"/>
        </w:rPr>
        <w:t>纵向来看，地级市预算支出结构受到来自省级政府的影响，省内地级市预算支出差异较小</w:t>
      </w:r>
      <w:r w:rsidR="000B7D3F" w:rsidRPr="00CF571C">
        <w:rPr>
          <w:rFonts w:ascii="楷体" w:eastAsia="楷体" w:hAnsi="楷体" w:cs="Times New Roman" w:hint="eastAsia"/>
          <w:b/>
          <w:bCs/>
          <w:color w:val="000000" w:themeColor="text1"/>
          <w:sz w:val="21"/>
          <w:szCs w:val="21"/>
        </w:rPr>
        <w:t>，跨省地级市预算支出差异较大</w:t>
      </w:r>
      <w:r w:rsidRPr="00CF571C">
        <w:rPr>
          <w:rFonts w:ascii="Times New Roman" w:hAnsi="Times New Roman" w:cs="Times New Roman" w:hint="eastAsia"/>
          <w:b/>
          <w:bCs/>
          <w:color w:val="000000" w:themeColor="text1"/>
          <w:sz w:val="21"/>
          <w:szCs w:val="21"/>
        </w:rPr>
        <w:t>。</w:t>
      </w:r>
    </w:p>
    <w:p w14:paraId="0A13F58A" w14:textId="77777777" w:rsidR="00091655" w:rsidRPr="00CF571C" w:rsidRDefault="00091655" w:rsidP="00784D5D">
      <w:pPr>
        <w:adjustRightInd w:val="0"/>
        <w:snapToGrid w:val="0"/>
        <w:jc w:val="both"/>
        <w:rPr>
          <w:rFonts w:ascii="Times New Roman" w:hAnsi="Times New Roman" w:cs="Times New Roman"/>
          <w:b/>
          <w:bCs/>
          <w:color w:val="000000" w:themeColor="text1"/>
          <w:sz w:val="22"/>
          <w:szCs w:val="22"/>
        </w:rPr>
      </w:pPr>
    </w:p>
    <w:p w14:paraId="3ABF7617" w14:textId="77777777" w:rsidR="00D5373E" w:rsidRPr="00CF571C" w:rsidRDefault="004E46D7"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（二）</w:t>
      </w:r>
      <w:r w:rsidR="006F786C" w:rsidRPr="00CF571C">
        <w:rPr>
          <w:rFonts w:ascii="黑体" w:eastAsia="黑体" w:hAnsi="黑体" w:cs="Times New Roman" w:hint="eastAsia"/>
          <w:color w:val="000000" w:themeColor="text1"/>
          <w:sz w:val="21"/>
          <w:szCs w:val="21"/>
        </w:rPr>
        <w:t>预算支出</w:t>
      </w:r>
      <w:r w:rsidR="0085355B" w:rsidRPr="00CF571C">
        <w:rPr>
          <w:rFonts w:ascii="黑体" w:eastAsia="黑体" w:hAnsi="黑体" w:cs="Times New Roman" w:hint="eastAsia"/>
          <w:color w:val="000000" w:themeColor="text1"/>
          <w:sz w:val="21"/>
          <w:szCs w:val="21"/>
        </w:rPr>
        <w:t>的</w:t>
      </w:r>
      <w:r w:rsidR="000D56AC" w:rsidRPr="00CF571C">
        <w:rPr>
          <w:rFonts w:ascii="黑体" w:eastAsia="黑体" w:hAnsi="黑体" w:cs="Times New Roman" w:hint="eastAsia"/>
          <w:color w:val="000000" w:themeColor="text1"/>
          <w:sz w:val="21"/>
          <w:szCs w:val="21"/>
        </w:rPr>
        <w:t>横向趋同</w:t>
      </w:r>
    </w:p>
    <w:p w14:paraId="5E222AB8" w14:textId="77777777" w:rsidR="00446DB4" w:rsidRPr="00CF571C" w:rsidRDefault="00446DB4"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地方政府在预算制定过程中的</w:t>
      </w:r>
      <w:r w:rsidRPr="00CF571C">
        <w:rPr>
          <w:rFonts w:ascii="Times New Roman" w:hAnsi="Times New Roman" w:cs="Times New Roman" w:hint="eastAsia"/>
          <w:color w:val="000000" w:themeColor="text1"/>
          <w:sz w:val="21"/>
          <w:szCs w:val="21"/>
        </w:rPr>
        <w:t>横向</w:t>
      </w:r>
      <w:r w:rsidRPr="00CF571C">
        <w:rPr>
          <w:rFonts w:ascii="Times New Roman" w:hAnsi="Times New Roman" w:cs="Times New Roman"/>
          <w:color w:val="000000" w:themeColor="text1"/>
          <w:sz w:val="21"/>
          <w:szCs w:val="21"/>
        </w:rPr>
        <w:t>互动同样会影响预算支出结构（</w:t>
      </w:r>
      <w:r w:rsidRPr="00CF571C">
        <w:rPr>
          <w:rFonts w:ascii="Times New Roman" w:hAnsi="Times New Roman" w:cs="Times New Roman"/>
          <w:color w:val="000000" w:themeColor="text1"/>
          <w:sz w:val="21"/>
          <w:szCs w:val="21"/>
        </w:rPr>
        <w:t>Case et al</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1993</w:t>
      </w:r>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。本文研究的横向互动</w:t>
      </w:r>
      <w:r w:rsidR="0047690D" w:rsidRPr="00CF571C">
        <w:rPr>
          <w:rFonts w:ascii="Times New Roman" w:hAnsi="Times New Roman" w:cs="Times New Roman" w:hint="eastAsia"/>
          <w:color w:val="000000" w:themeColor="text1"/>
          <w:sz w:val="21"/>
          <w:szCs w:val="21"/>
        </w:rPr>
        <w:t>仅</w:t>
      </w:r>
      <w:r w:rsidRPr="00CF571C">
        <w:rPr>
          <w:rFonts w:ascii="Times New Roman" w:hAnsi="Times New Roman" w:cs="Times New Roman" w:hint="eastAsia"/>
          <w:color w:val="000000" w:themeColor="text1"/>
          <w:sz w:val="21"/>
          <w:szCs w:val="21"/>
        </w:rPr>
        <w:t>指空间上的邻近会带来预算支出结构的“模仿”和“趋同”。这种互动的产生可能来源于两方面的原因</w:t>
      </w:r>
      <w:r w:rsidR="00520C6A" w:rsidRPr="00CF571C">
        <w:rPr>
          <w:rFonts w:ascii="Times New Roman" w:hAnsi="Times New Roman" w:cs="Times New Roman" w:hint="eastAsia"/>
          <w:color w:val="000000" w:themeColor="text1"/>
          <w:sz w:val="21"/>
          <w:szCs w:val="21"/>
        </w:rPr>
        <w:t>，即地方政府横向趋同的“动力”和“能力”</w:t>
      </w:r>
      <w:r w:rsidRPr="00CF571C">
        <w:rPr>
          <w:rFonts w:ascii="Times New Roman" w:hAnsi="Times New Roman" w:cs="Times New Roman" w:hint="eastAsia"/>
          <w:color w:val="000000" w:themeColor="text1"/>
          <w:sz w:val="21"/>
          <w:szCs w:val="21"/>
        </w:rPr>
        <w:t>。</w:t>
      </w:r>
    </w:p>
    <w:p w14:paraId="5FCDB0EE" w14:textId="77777777" w:rsidR="00AB273B" w:rsidRPr="00CF571C" w:rsidRDefault="00446DB4"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第一，</w:t>
      </w:r>
      <w:r w:rsidRPr="00CF571C">
        <w:rPr>
          <w:rFonts w:ascii="Times New Roman" w:hAnsi="Times New Roman" w:cs="Times New Roman"/>
          <w:color w:val="000000" w:themeColor="text1"/>
          <w:sz w:val="21"/>
          <w:szCs w:val="21"/>
        </w:rPr>
        <w:t>我国户籍制度改革不断深化，为人口流动提供了便利。根据《关于进一步推进户籍制度改革的意见》，现已实现全面放开建制镇和小城市落户限制，有序放开中等城市</w:t>
      </w:r>
      <w:r w:rsidRPr="00CF571C">
        <w:rPr>
          <w:rFonts w:ascii="Times New Roman" w:hAnsi="Times New Roman" w:cs="Times New Roman"/>
          <w:color w:val="000000" w:themeColor="text1"/>
          <w:sz w:val="21"/>
          <w:szCs w:val="21"/>
        </w:rPr>
        <w:lastRenderedPageBreak/>
        <w:t>落户限制，合理确定大城市落户条件。此外，建立居住证制度，居住证持有人享有与当地户籍人口同等基本公共服务权利。</w:t>
      </w:r>
      <w:r w:rsidR="00520C6A" w:rsidRPr="00CF571C">
        <w:rPr>
          <w:rFonts w:ascii="Times New Roman" w:hAnsi="Times New Roman" w:cs="Times New Roman"/>
          <w:color w:val="000000" w:themeColor="text1"/>
          <w:sz w:val="21"/>
          <w:szCs w:val="21"/>
        </w:rPr>
        <w:t>李沛霖</w:t>
      </w:r>
      <w:r w:rsidR="00520C6A" w:rsidRPr="00CF571C">
        <w:rPr>
          <w:rFonts w:ascii="Times New Roman" w:hAnsi="Times New Roman" w:cs="Times New Roman" w:hint="eastAsia"/>
          <w:color w:val="000000" w:themeColor="text1"/>
          <w:sz w:val="21"/>
          <w:szCs w:val="21"/>
        </w:rPr>
        <w:t>（</w:t>
      </w:r>
      <w:r w:rsidR="00520C6A" w:rsidRPr="00CF571C">
        <w:rPr>
          <w:rFonts w:ascii="Times New Roman" w:hAnsi="Times New Roman" w:cs="Times New Roman" w:hint="eastAsia"/>
          <w:color w:val="000000" w:themeColor="text1"/>
          <w:sz w:val="21"/>
          <w:szCs w:val="21"/>
        </w:rPr>
        <w:t>2</w:t>
      </w:r>
      <w:r w:rsidR="00520C6A" w:rsidRPr="00CF571C">
        <w:rPr>
          <w:rFonts w:ascii="Times New Roman" w:hAnsi="Times New Roman" w:cs="Times New Roman"/>
          <w:color w:val="000000" w:themeColor="text1"/>
          <w:sz w:val="21"/>
          <w:szCs w:val="21"/>
        </w:rPr>
        <w:t>021</w:t>
      </w:r>
      <w:r w:rsidR="00520C6A" w:rsidRPr="00CF571C">
        <w:rPr>
          <w:rFonts w:ascii="Times New Roman" w:hAnsi="Times New Roman" w:cs="Times New Roman" w:hint="eastAsia"/>
          <w:color w:val="000000" w:themeColor="text1"/>
          <w:sz w:val="21"/>
          <w:szCs w:val="21"/>
        </w:rPr>
        <w:t>）认为，居住证制度使公共福利较高的城市形成对人口流动的“拉力”。</w:t>
      </w:r>
      <w:r w:rsidRPr="00CF571C">
        <w:rPr>
          <w:rFonts w:ascii="Times New Roman" w:hAnsi="Times New Roman" w:cs="Times New Roman"/>
          <w:color w:val="000000" w:themeColor="text1"/>
          <w:sz w:val="21"/>
          <w:szCs w:val="21"/>
        </w:rPr>
        <w:t>换言之，如果某地区的某种公共支出水平和结构更为有效，则会吸引资本和劳动力流入，迁入居民也可享受到当地的基本公共服务。</w:t>
      </w:r>
    </w:p>
    <w:p w14:paraId="71097D5D" w14:textId="77777777" w:rsidR="00446DB4" w:rsidRPr="00CF571C" w:rsidRDefault="00446DB4"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第二，</w:t>
      </w:r>
      <w:r w:rsidR="00034894" w:rsidRPr="00CF571C">
        <w:rPr>
          <w:rFonts w:ascii="Times New Roman" w:hAnsi="Times New Roman" w:cs="Times New Roman"/>
          <w:color w:val="000000" w:themeColor="text1"/>
          <w:sz w:val="21"/>
          <w:szCs w:val="21"/>
        </w:rPr>
        <w:t>地方政府在财政支出方面可能展开</w:t>
      </w:r>
      <w:r w:rsidR="00034894" w:rsidRPr="00CF571C">
        <w:rPr>
          <w:rFonts w:ascii="Times New Roman" w:hAnsi="Times New Roman" w:cs="Times New Roman" w:hint="eastAsia"/>
          <w:color w:val="000000" w:themeColor="text1"/>
          <w:sz w:val="21"/>
          <w:szCs w:val="21"/>
        </w:rPr>
        <w:t>横向</w:t>
      </w:r>
      <w:r w:rsidR="00034894" w:rsidRPr="00CF571C">
        <w:rPr>
          <w:rFonts w:ascii="Times New Roman" w:hAnsi="Times New Roman" w:cs="Times New Roman"/>
          <w:color w:val="000000" w:themeColor="text1"/>
          <w:sz w:val="21"/>
          <w:szCs w:val="21"/>
        </w:rPr>
        <w:t>竞争（李涛</w:t>
      </w:r>
      <w:r w:rsidR="00794519" w:rsidRPr="00CF571C">
        <w:rPr>
          <w:rFonts w:ascii="Times New Roman" w:hAnsi="Times New Roman" w:cs="Times New Roman" w:hint="eastAsia"/>
          <w:color w:val="000000" w:themeColor="text1"/>
          <w:sz w:val="21"/>
          <w:szCs w:val="21"/>
        </w:rPr>
        <w:t>、</w:t>
      </w:r>
      <w:r w:rsidR="00034894" w:rsidRPr="00CF571C">
        <w:rPr>
          <w:rFonts w:ascii="Times New Roman" w:hAnsi="Times New Roman" w:cs="Times New Roman"/>
          <w:color w:val="000000" w:themeColor="text1"/>
          <w:sz w:val="21"/>
          <w:szCs w:val="21"/>
        </w:rPr>
        <w:t>周业安，</w:t>
      </w:r>
      <w:r w:rsidR="00034894" w:rsidRPr="00CF571C">
        <w:rPr>
          <w:rFonts w:ascii="Times New Roman" w:hAnsi="Times New Roman" w:cs="Times New Roman"/>
          <w:color w:val="000000" w:themeColor="text1"/>
          <w:sz w:val="21"/>
          <w:szCs w:val="21"/>
        </w:rPr>
        <w:t>2009</w:t>
      </w:r>
      <w:r w:rsidR="00034894" w:rsidRPr="00CF571C">
        <w:rPr>
          <w:rFonts w:ascii="Times New Roman" w:hAnsi="Times New Roman" w:cs="Times New Roman"/>
          <w:color w:val="000000" w:themeColor="text1"/>
          <w:sz w:val="21"/>
          <w:szCs w:val="21"/>
        </w:rPr>
        <w:t>）</w:t>
      </w:r>
      <w:r w:rsidR="00C34FAC"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分税制改革带来了事权下放</w:t>
      </w:r>
      <w:r w:rsidR="0047690D" w:rsidRPr="00CF571C">
        <w:rPr>
          <w:rFonts w:ascii="Times New Roman" w:hAnsi="Times New Roman" w:cs="Times New Roman" w:hint="eastAsia"/>
          <w:color w:val="000000" w:themeColor="text1"/>
          <w:sz w:val="21"/>
          <w:szCs w:val="21"/>
        </w:rPr>
        <w:t>（</w:t>
      </w:r>
      <w:r w:rsidR="0047690D" w:rsidRPr="00CF571C">
        <w:rPr>
          <w:rFonts w:ascii="Times New Roman" w:hAnsi="Times New Roman" w:cs="Times New Roman"/>
          <w:color w:val="000000" w:themeColor="text1"/>
          <w:sz w:val="21"/>
          <w:szCs w:val="21"/>
        </w:rPr>
        <w:t>付敏杰</w:t>
      </w:r>
      <w:r w:rsidR="0047690D" w:rsidRPr="00CF571C">
        <w:rPr>
          <w:rFonts w:ascii="Times New Roman" w:hAnsi="Times New Roman" w:cs="Times New Roman" w:hint="eastAsia"/>
          <w:color w:val="000000" w:themeColor="text1"/>
          <w:sz w:val="21"/>
          <w:szCs w:val="21"/>
        </w:rPr>
        <w:t>，</w:t>
      </w:r>
      <w:r w:rsidR="0047690D" w:rsidRPr="00CF571C">
        <w:rPr>
          <w:rFonts w:ascii="Times New Roman" w:hAnsi="Times New Roman" w:cs="Times New Roman"/>
          <w:color w:val="000000" w:themeColor="text1"/>
          <w:sz w:val="21"/>
          <w:szCs w:val="21"/>
        </w:rPr>
        <w:t>2016</w:t>
      </w:r>
      <w:r w:rsidR="0047690D" w:rsidRPr="00CF571C">
        <w:rPr>
          <w:rFonts w:ascii="Times New Roman" w:hAnsi="Times New Roman" w:cs="Times New Roman"/>
          <w:color w:val="000000" w:themeColor="text1"/>
          <w:sz w:val="21"/>
          <w:szCs w:val="21"/>
        </w:rPr>
        <w:t>）</w:t>
      </w:r>
      <w:r w:rsidR="0047690D"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由于地方政府对上级负责，形成了一种基于上级政府评价的</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自上而下的标尺竞争</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（王永钦等，</w:t>
      </w:r>
      <w:r w:rsidRPr="00CF571C">
        <w:rPr>
          <w:rFonts w:ascii="Times New Roman" w:hAnsi="Times New Roman" w:cs="Times New Roman"/>
          <w:color w:val="000000" w:themeColor="text1"/>
          <w:sz w:val="21"/>
          <w:szCs w:val="21"/>
        </w:rPr>
        <w:t>2006</w:t>
      </w:r>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w:t>
      </w:r>
      <w:r w:rsidR="00034894" w:rsidRPr="00CF571C">
        <w:rPr>
          <w:rFonts w:ascii="Times New Roman" w:hAnsi="Times New Roman" w:cs="Times New Roman" w:hint="eastAsia"/>
          <w:color w:val="000000" w:themeColor="text1"/>
          <w:sz w:val="21"/>
          <w:szCs w:val="21"/>
        </w:rPr>
        <w:t>户籍制度改革与财政分权</w:t>
      </w:r>
      <w:r w:rsidR="005D6D1D" w:rsidRPr="00CF571C">
        <w:rPr>
          <w:rFonts w:ascii="Times New Roman" w:hAnsi="Times New Roman" w:cs="Times New Roman" w:hint="eastAsia"/>
          <w:color w:val="000000" w:themeColor="text1"/>
          <w:sz w:val="21"/>
          <w:szCs w:val="21"/>
        </w:rPr>
        <w:t>制度</w:t>
      </w:r>
      <w:r w:rsidR="00034894" w:rsidRPr="00CF571C">
        <w:rPr>
          <w:rFonts w:ascii="Times New Roman" w:hAnsi="Times New Roman" w:cs="Times New Roman" w:hint="eastAsia"/>
          <w:color w:val="000000" w:themeColor="text1"/>
          <w:sz w:val="21"/>
          <w:szCs w:val="21"/>
        </w:rPr>
        <w:t>为</w:t>
      </w:r>
      <w:r w:rsidRPr="00CF571C">
        <w:rPr>
          <w:rFonts w:ascii="Times New Roman" w:hAnsi="Times New Roman" w:cs="Times New Roman" w:hint="eastAsia"/>
          <w:color w:val="000000" w:themeColor="text1"/>
          <w:sz w:val="21"/>
          <w:szCs w:val="21"/>
        </w:rPr>
        <w:t>政</w:t>
      </w:r>
      <w:r w:rsidRPr="00CF571C">
        <w:rPr>
          <w:rFonts w:ascii="Times New Roman" w:hAnsi="Times New Roman" w:cs="Times New Roman"/>
          <w:color w:val="000000" w:themeColor="text1"/>
          <w:sz w:val="21"/>
          <w:szCs w:val="21"/>
        </w:rPr>
        <w:t>府</w:t>
      </w:r>
      <w:r w:rsidR="005D6D1D" w:rsidRPr="00CF571C">
        <w:rPr>
          <w:rFonts w:ascii="Times New Roman" w:hAnsi="Times New Roman" w:cs="Times New Roman" w:hint="eastAsia"/>
          <w:color w:val="000000" w:themeColor="text1"/>
          <w:sz w:val="21"/>
          <w:szCs w:val="21"/>
        </w:rPr>
        <w:t>间的财政</w:t>
      </w:r>
      <w:r w:rsidR="00034894" w:rsidRPr="00CF571C">
        <w:rPr>
          <w:rFonts w:ascii="Times New Roman" w:hAnsi="Times New Roman" w:cs="Times New Roman" w:hint="eastAsia"/>
          <w:color w:val="000000" w:themeColor="text1"/>
          <w:sz w:val="21"/>
          <w:szCs w:val="21"/>
        </w:rPr>
        <w:t>互动</w:t>
      </w:r>
      <w:r w:rsidR="005D6D1D" w:rsidRPr="00CF571C">
        <w:rPr>
          <w:rFonts w:ascii="Times New Roman" w:hAnsi="Times New Roman" w:cs="Times New Roman" w:hint="eastAsia"/>
          <w:color w:val="000000" w:themeColor="text1"/>
          <w:sz w:val="21"/>
          <w:szCs w:val="21"/>
        </w:rPr>
        <w:t>行为</w:t>
      </w:r>
      <w:r w:rsidR="008B4F66" w:rsidRPr="00CF571C">
        <w:rPr>
          <w:rFonts w:ascii="Times New Roman" w:hAnsi="Times New Roman" w:cs="Times New Roman" w:hint="eastAsia"/>
          <w:color w:val="000000" w:themeColor="text1"/>
          <w:sz w:val="21"/>
          <w:szCs w:val="21"/>
        </w:rPr>
        <w:t>分别</w:t>
      </w:r>
      <w:r w:rsidRPr="00CF571C">
        <w:rPr>
          <w:rFonts w:ascii="Times New Roman" w:hAnsi="Times New Roman" w:cs="Times New Roman"/>
          <w:color w:val="000000" w:themeColor="text1"/>
          <w:sz w:val="21"/>
          <w:szCs w:val="21"/>
        </w:rPr>
        <w:t>提供了</w:t>
      </w:r>
      <w:r w:rsidRPr="00CF571C">
        <w:rPr>
          <w:rFonts w:ascii="Times New Roman" w:hAnsi="Times New Roman" w:cs="Times New Roman" w:hint="eastAsia"/>
          <w:color w:val="000000" w:themeColor="text1"/>
          <w:sz w:val="21"/>
          <w:szCs w:val="21"/>
        </w:rPr>
        <w:t>“动机”和“能力”</w:t>
      </w:r>
      <w:r w:rsidR="00C34FAC"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在竞争压力下</w:t>
      </w:r>
      <w:r w:rsidR="00C34FAC" w:rsidRPr="00CF571C">
        <w:rPr>
          <w:rFonts w:ascii="Times New Roman" w:hAnsi="Times New Roman" w:cs="Times New Roman" w:hint="eastAsia"/>
          <w:color w:val="000000" w:themeColor="text1"/>
          <w:sz w:val="21"/>
          <w:szCs w:val="21"/>
        </w:rPr>
        <w:t>，</w:t>
      </w:r>
      <w:r w:rsidR="005D6D1D" w:rsidRPr="00CF571C">
        <w:rPr>
          <w:rFonts w:ascii="Times New Roman" w:hAnsi="Times New Roman" w:cs="Times New Roman" w:hint="eastAsia"/>
          <w:color w:val="000000" w:themeColor="text1"/>
          <w:sz w:val="21"/>
          <w:szCs w:val="21"/>
        </w:rPr>
        <w:t>为吸引劳动力流入，</w:t>
      </w:r>
      <w:r w:rsidRPr="00CF571C">
        <w:rPr>
          <w:rFonts w:ascii="Times New Roman" w:hAnsi="Times New Roman" w:cs="Times New Roman"/>
          <w:color w:val="000000" w:themeColor="text1"/>
          <w:sz w:val="21"/>
          <w:szCs w:val="21"/>
        </w:rPr>
        <w:t>邻近辖区就可能会</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模仿</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和</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跟进</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该辖区的财政支出行为</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从而导致支出结构和水平的趋同。</w:t>
      </w:r>
    </w:p>
    <w:p w14:paraId="141B5000" w14:textId="77777777" w:rsidR="001C69B1" w:rsidRPr="00CF571C" w:rsidRDefault="00446DB4"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以上这种互动广泛存在于</w:t>
      </w:r>
      <w:r w:rsidRPr="00CF571C">
        <w:rPr>
          <w:rFonts w:ascii="Times New Roman" w:hAnsi="Times New Roman" w:cs="Times New Roman"/>
          <w:color w:val="000000" w:themeColor="text1"/>
          <w:sz w:val="21"/>
          <w:szCs w:val="21"/>
        </w:rPr>
        <w:t>地理距离</w:t>
      </w:r>
      <w:r w:rsidRPr="00CF571C">
        <w:rPr>
          <w:rFonts w:ascii="Times New Roman" w:hAnsi="Times New Roman" w:cs="Times New Roman" w:hint="eastAsia"/>
          <w:color w:val="000000" w:themeColor="text1"/>
          <w:sz w:val="21"/>
          <w:szCs w:val="21"/>
        </w:rPr>
        <w:t>相近的城市间，</w:t>
      </w:r>
      <w:bookmarkStart w:id="0" w:name="OLE_LINK9"/>
      <w:bookmarkStart w:id="1" w:name="OLE_LINK10"/>
      <w:r w:rsidRPr="00CF571C">
        <w:rPr>
          <w:rFonts w:ascii="Times New Roman" w:hAnsi="Times New Roman" w:cs="Times New Roman"/>
          <w:color w:val="000000" w:themeColor="text1"/>
          <w:sz w:val="21"/>
          <w:szCs w:val="21"/>
        </w:rPr>
        <w:t>是导致地方政府间发生</w:t>
      </w:r>
      <w:r w:rsidRPr="00CF571C">
        <w:rPr>
          <w:rFonts w:ascii="Times New Roman" w:hAnsi="Times New Roman" w:cs="Times New Roman" w:hint="eastAsia"/>
          <w:color w:val="000000" w:themeColor="text1"/>
          <w:sz w:val="21"/>
          <w:szCs w:val="21"/>
        </w:rPr>
        <w:t>横向</w:t>
      </w:r>
      <w:r w:rsidRPr="00CF571C">
        <w:rPr>
          <w:rFonts w:ascii="Times New Roman" w:hAnsi="Times New Roman" w:cs="Times New Roman"/>
          <w:color w:val="000000" w:themeColor="text1"/>
          <w:sz w:val="21"/>
          <w:szCs w:val="21"/>
        </w:rPr>
        <w:t>互动的</w:t>
      </w:r>
      <w:r w:rsidRPr="00CF571C">
        <w:rPr>
          <w:rFonts w:ascii="Times New Roman" w:hAnsi="Times New Roman" w:cs="Times New Roman" w:hint="eastAsia"/>
          <w:color w:val="000000" w:themeColor="text1"/>
          <w:sz w:val="21"/>
          <w:szCs w:val="21"/>
        </w:rPr>
        <w:t>重要</w:t>
      </w:r>
      <w:r w:rsidRPr="00CF571C">
        <w:rPr>
          <w:rFonts w:ascii="Times New Roman" w:hAnsi="Times New Roman" w:cs="Times New Roman"/>
          <w:color w:val="000000" w:themeColor="text1"/>
          <w:sz w:val="21"/>
          <w:szCs w:val="21"/>
        </w:rPr>
        <w:t>途径</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邓慧慧</w:t>
      </w:r>
      <w:r w:rsidR="00794519"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赵家羚</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2018</w:t>
      </w:r>
      <w:r w:rsidRPr="00CF571C">
        <w:rPr>
          <w:rFonts w:ascii="Times New Roman" w:hAnsi="Times New Roman" w:cs="Times New Roman" w:hint="eastAsia"/>
          <w:color w:val="000000" w:themeColor="text1"/>
          <w:sz w:val="21"/>
          <w:szCs w:val="21"/>
        </w:rPr>
        <w:t>）。</w:t>
      </w:r>
      <w:bookmarkStart w:id="2" w:name="OLE_LINK11"/>
      <w:bookmarkStart w:id="3" w:name="OLE_LINK12"/>
      <w:bookmarkEnd w:id="0"/>
      <w:bookmarkEnd w:id="1"/>
      <w:r w:rsidR="001C69B1" w:rsidRPr="00CF571C">
        <w:rPr>
          <w:rFonts w:ascii="Times New Roman" w:hAnsi="Times New Roman" w:cs="Times New Roman" w:hint="eastAsia"/>
          <w:color w:val="000000" w:themeColor="text1"/>
          <w:sz w:val="21"/>
          <w:szCs w:val="21"/>
        </w:rPr>
        <w:t>如周亚虹等（</w:t>
      </w:r>
      <w:r w:rsidR="001C69B1" w:rsidRPr="00CF571C">
        <w:rPr>
          <w:rFonts w:ascii="Times New Roman" w:hAnsi="Times New Roman" w:cs="Times New Roman" w:hint="eastAsia"/>
          <w:color w:val="000000" w:themeColor="text1"/>
          <w:sz w:val="21"/>
          <w:szCs w:val="21"/>
        </w:rPr>
        <w:t>2</w:t>
      </w:r>
      <w:r w:rsidR="001C69B1" w:rsidRPr="00CF571C">
        <w:rPr>
          <w:rFonts w:ascii="Times New Roman" w:hAnsi="Times New Roman" w:cs="Times New Roman"/>
          <w:color w:val="000000" w:themeColor="text1"/>
          <w:sz w:val="21"/>
          <w:szCs w:val="21"/>
        </w:rPr>
        <w:t>013</w:t>
      </w:r>
      <w:r w:rsidR="001C69B1" w:rsidRPr="00CF571C">
        <w:rPr>
          <w:rFonts w:ascii="Times New Roman" w:hAnsi="Times New Roman" w:cs="Times New Roman" w:hint="eastAsia"/>
          <w:color w:val="000000" w:themeColor="text1"/>
          <w:sz w:val="21"/>
          <w:szCs w:val="21"/>
        </w:rPr>
        <w:t>）同样发现地级市教育支出对地理相邻地区有一定激励作用。</w:t>
      </w:r>
      <w:r w:rsidR="001C69B1" w:rsidRPr="00CF571C">
        <w:rPr>
          <w:rFonts w:ascii="Times New Roman" w:hAnsi="Times New Roman" w:cs="Times New Roman"/>
          <w:color w:val="000000" w:themeColor="text1"/>
          <w:sz w:val="21"/>
          <w:szCs w:val="21"/>
        </w:rPr>
        <w:t>李盈萱和方毅（</w:t>
      </w:r>
      <w:r w:rsidR="001C69B1" w:rsidRPr="00CF571C">
        <w:rPr>
          <w:rFonts w:ascii="Times New Roman" w:hAnsi="Times New Roman" w:cs="Times New Roman"/>
          <w:color w:val="000000" w:themeColor="text1"/>
          <w:sz w:val="21"/>
          <w:szCs w:val="21"/>
        </w:rPr>
        <w:t>2021</w:t>
      </w:r>
      <w:r w:rsidR="001C69B1" w:rsidRPr="00CF571C">
        <w:rPr>
          <w:rFonts w:ascii="Times New Roman" w:hAnsi="Times New Roman" w:cs="Times New Roman"/>
          <w:color w:val="000000" w:themeColor="text1"/>
          <w:sz w:val="21"/>
          <w:szCs w:val="21"/>
        </w:rPr>
        <w:t>）针对地方教育财政支出，验证了其在标尺竞争机制下的横向互动关系，发现邻近地区的教育政策能够正向激励当地教育财政政策。</w:t>
      </w:r>
    </w:p>
    <w:bookmarkEnd w:id="2"/>
    <w:bookmarkEnd w:id="3"/>
    <w:p w14:paraId="76D8C32C" w14:textId="77777777" w:rsidR="00446DB4" w:rsidRPr="00CF571C" w:rsidRDefault="00446DB4"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然而，从当前国内研究来看，尽管已经发现财政支出存在横向互动的证据，但证据尚存在较多的争议。比如，有学者发现地方政府的横向策略互动可能存在负</w:t>
      </w:r>
      <w:r w:rsidR="00B75D35" w:rsidRPr="00CF571C">
        <w:rPr>
          <w:rFonts w:ascii="Times New Roman" w:hAnsi="Times New Roman" w:cs="Times New Roman" w:hint="eastAsia"/>
          <w:color w:val="000000" w:themeColor="text1"/>
          <w:sz w:val="21"/>
          <w:szCs w:val="21"/>
        </w:rPr>
        <w:t>向</w:t>
      </w:r>
      <w:r w:rsidRPr="00CF571C">
        <w:rPr>
          <w:rFonts w:ascii="Times New Roman" w:hAnsi="Times New Roman" w:cs="Times New Roman" w:hint="eastAsia"/>
          <w:color w:val="000000" w:themeColor="text1"/>
          <w:sz w:val="21"/>
          <w:szCs w:val="21"/>
        </w:rPr>
        <w:t>的溢出效应。如</w:t>
      </w:r>
      <w:r w:rsidRPr="00CF571C">
        <w:rPr>
          <w:rFonts w:ascii="Times New Roman" w:hAnsi="Times New Roman" w:cs="Times New Roman"/>
          <w:color w:val="000000" w:themeColor="text1"/>
          <w:sz w:val="21"/>
          <w:szCs w:val="21"/>
        </w:rPr>
        <w:t>李永友</w:t>
      </w:r>
      <w:r w:rsidRPr="00CF571C">
        <w:rPr>
          <w:rFonts w:ascii="Times New Roman" w:hAnsi="Times New Roman" w:cs="Times New Roman" w:hint="eastAsia"/>
          <w:color w:val="000000" w:themeColor="text1"/>
          <w:sz w:val="21"/>
          <w:szCs w:val="21"/>
        </w:rPr>
        <w:t>和</w:t>
      </w:r>
      <w:r w:rsidRPr="00CF571C">
        <w:rPr>
          <w:rFonts w:ascii="Times New Roman" w:hAnsi="Times New Roman" w:cs="Times New Roman"/>
          <w:color w:val="000000" w:themeColor="text1"/>
          <w:sz w:val="21"/>
          <w:szCs w:val="21"/>
        </w:rPr>
        <w:t>沈坤荣</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2</w:t>
      </w:r>
      <w:r w:rsidRPr="00CF571C">
        <w:rPr>
          <w:rFonts w:ascii="Times New Roman" w:hAnsi="Times New Roman" w:cs="Times New Roman"/>
          <w:color w:val="000000" w:themeColor="text1"/>
          <w:sz w:val="21"/>
          <w:szCs w:val="21"/>
        </w:rPr>
        <w:t>008</w:t>
      </w:r>
      <w:r w:rsidRPr="00CF571C">
        <w:rPr>
          <w:rFonts w:ascii="Times New Roman" w:hAnsi="Times New Roman" w:cs="Times New Roman" w:hint="eastAsia"/>
          <w:color w:val="000000" w:themeColor="text1"/>
          <w:sz w:val="21"/>
          <w:szCs w:val="21"/>
        </w:rPr>
        <w:t>）研究发现，对于文教卫等支出而言，辖区政府因地理距离的邻近而存在溢出效应，这可能是由于</w:t>
      </w:r>
      <w:r w:rsidRPr="00CF571C">
        <w:rPr>
          <w:rFonts w:ascii="Times New Roman" w:hAnsi="Times New Roman" w:cs="Times New Roman"/>
          <w:color w:val="000000" w:themeColor="text1"/>
          <w:sz w:val="21"/>
          <w:szCs w:val="21"/>
        </w:rPr>
        <w:t>辖区政府意识到</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在人口流动</w:t>
      </w:r>
      <w:r w:rsidRPr="00CF571C">
        <w:rPr>
          <w:rFonts w:ascii="Times New Roman" w:hAnsi="Times New Roman" w:cs="Times New Roman" w:hint="eastAsia"/>
          <w:color w:val="000000" w:themeColor="text1"/>
          <w:sz w:val="21"/>
          <w:szCs w:val="21"/>
        </w:rPr>
        <w:t>的</w:t>
      </w:r>
      <w:r w:rsidRPr="00CF571C">
        <w:rPr>
          <w:rFonts w:ascii="Times New Roman" w:hAnsi="Times New Roman" w:cs="Times New Roman"/>
          <w:color w:val="000000" w:themeColor="text1"/>
          <w:sz w:val="21"/>
          <w:szCs w:val="21"/>
        </w:rPr>
        <w:t>情形下</w:t>
      </w:r>
      <w:r w:rsidRPr="00CF571C">
        <w:rPr>
          <w:rFonts w:ascii="Times New Roman" w:hAnsi="Times New Roman" w:cs="Times New Roman" w:hint="eastAsia"/>
          <w:color w:val="000000" w:themeColor="text1"/>
          <w:sz w:val="21"/>
          <w:szCs w:val="21"/>
        </w:rPr>
        <w:t>，增加该类支出短时间内难以获得直接的经济效益，因而选择降低该类支出，搭邻近辖区“便车”。</w:t>
      </w:r>
    </w:p>
    <w:p w14:paraId="74C47182" w14:textId="77777777" w:rsidR="000147BB" w:rsidRPr="00CF571C" w:rsidRDefault="000147BB" w:rsidP="000147BB">
      <w:pPr>
        <w:adjustRightInd w:val="0"/>
        <w:snapToGrid w:val="0"/>
        <w:ind w:firstLineChars="200" w:firstLine="420"/>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基于此，本文提出第二个需要验证的假说。</w:t>
      </w:r>
    </w:p>
    <w:p w14:paraId="2F437240" w14:textId="77777777" w:rsidR="00091655" w:rsidRPr="00CF571C" w:rsidRDefault="00091655" w:rsidP="00091655">
      <w:pPr>
        <w:adjustRightInd w:val="0"/>
        <w:snapToGrid w:val="0"/>
        <w:ind w:firstLineChars="200" w:firstLine="422"/>
        <w:jc w:val="both"/>
        <w:rPr>
          <w:rFonts w:ascii="Times New Roman" w:hAnsi="Times New Roman" w:cs="Times New Roman"/>
          <w:b/>
          <w:bCs/>
          <w:color w:val="000000" w:themeColor="text1"/>
          <w:sz w:val="21"/>
          <w:szCs w:val="21"/>
        </w:rPr>
      </w:pPr>
      <w:r w:rsidRPr="00CF571C">
        <w:rPr>
          <w:rFonts w:ascii="楷体" w:eastAsia="楷体" w:hAnsi="楷体" w:cs="Times New Roman"/>
          <w:b/>
          <w:bCs/>
          <w:color w:val="000000" w:themeColor="text1"/>
          <w:sz w:val="21"/>
          <w:szCs w:val="21"/>
        </w:rPr>
        <w:t>假说2: 横向来看，</w:t>
      </w:r>
      <w:r w:rsidR="00E40A9B" w:rsidRPr="00CF571C">
        <w:rPr>
          <w:rFonts w:ascii="楷体" w:eastAsia="楷体" w:hAnsi="楷体" w:cs="Times New Roman" w:hint="eastAsia"/>
          <w:b/>
          <w:bCs/>
          <w:color w:val="000000" w:themeColor="text1"/>
          <w:sz w:val="21"/>
          <w:szCs w:val="21"/>
        </w:rPr>
        <w:t>毗邻</w:t>
      </w:r>
      <w:r w:rsidRPr="00CF571C">
        <w:rPr>
          <w:rFonts w:ascii="楷体" w:eastAsia="楷体" w:hAnsi="楷体" w:cs="Times New Roman"/>
          <w:b/>
          <w:bCs/>
          <w:color w:val="000000" w:themeColor="text1"/>
          <w:sz w:val="21"/>
          <w:szCs w:val="21"/>
        </w:rPr>
        <w:t>市</w:t>
      </w:r>
      <w:r w:rsidR="00E40A9B" w:rsidRPr="00CF571C">
        <w:rPr>
          <w:rFonts w:ascii="楷体" w:eastAsia="楷体" w:hAnsi="楷体" w:cs="Times New Roman" w:hint="eastAsia"/>
          <w:b/>
          <w:bCs/>
          <w:color w:val="000000" w:themeColor="text1"/>
          <w:sz w:val="21"/>
          <w:szCs w:val="21"/>
        </w:rPr>
        <w:t>间的</w:t>
      </w:r>
      <w:r w:rsidRPr="00CF571C">
        <w:rPr>
          <w:rFonts w:ascii="楷体" w:eastAsia="楷体" w:hAnsi="楷体" w:cs="Times New Roman"/>
          <w:b/>
          <w:bCs/>
          <w:color w:val="000000" w:themeColor="text1"/>
          <w:sz w:val="21"/>
          <w:szCs w:val="21"/>
        </w:rPr>
        <w:t>预算支出结构</w:t>
      </w:r>
      <w:r w:rsidR="00E40A9B" w:rsidRPr="00CF571C">
        <w:rPr>
          <w:rFonts w:ascii="楷体" w:eastAsia="楷体" w:hAnsi="楷体" w:cs="Times New Roman" w:hint="eastAsia"/>
          <w:b/>
          <w:bCs/>
          <w:color w:val="000000" w:themeColor="text1"/>
          <w:sz w:val="21"/>
          <w:szCs w:val="21"/>
        </w:rPr>
        <w:t>存在趋同，即毗邻城市预算支出差异较小，不毗邻城市预算支出差异较大</w:t>
      </w:r>
      <w:r w:rsidRPr="00CF571C">
        <w:rPr>
          <w:rFonts w:ascii="Times New Roman" w:hAnsi="Times New Roman" w:cs="Times New Roman" w:hint="eastAsia"/>
          <w:b/>
          <w:bCs/>
          <w:color w:val="000000" w:themeColor="text1"/>
          <w:sz w:val="21"/>
          <w:szCs w:val="21"/>
        </w:rPr>
        <w:t>。</w:t>
      </w:r>
    </w:p>
    <w:p w14:paraId="4982DBFD" w14:textId="77777777" w:rsidR="00914D28" w:rsidRPr="00CF571C" w:rsidRDefault="004E46D7"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（三）</w:t>
      </w:r>
      <w:r w:rsidR="00FF45D9" w:rsidRPr="00CF571C">
        <w:rPr>
          <w:rFonts w:ascii="黑体" w:eastAsia="黑体" w:hAnsi="黑体" w:cs="Times New Roman" w:hint="eastAsia"/>
          <w:color w:val="000000" w:themeColor="text1"/>
          <w:sz w:val="21"/>
          <w:szCs w:val="21"/>
        </w:rPr>
        <w:t>地方民生性预算支出的特征</w:t>
      </w:r>
    </w:p>
    <w:p w14:paraId="3C3E517A" w14:textId="77777777" w:rsidR="00E01BFA" w:rsidRPr="00CF571C" w:rsidRDefault="00496867"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我国</w:t>
      </w:r>
      <w:r w:rsidR="00955B9A" w:rsidRPr="00CF571C">
        <w:rPr>
          <w:rFonts w:ascii="Times New Roman" w:hAnsi="Times New Roman" w:cs="Times New Roman"/>
          <w:color w:val="000000" w:themeColor="text1"/>
          <w:sz w:val="21"/>
          <w:szCs w:val="21"/>
        </w:rPr>
        <w:t>GDP</w:t>
      </w:r>
      <w:r w:rsidR="00955B9A" w:rsidRPr="00CF571C">
        <w:rPr>
          <w:rFonts w:ascii="Times New Roman" w:hAnsi="Times New Roman" w:cs="Times New Roman"/>
          <w:color w:val="000000" w:themeColor="text1"/>
          <w:sz w:val="21"/>
          <w:szCs w:val="21"/>
        </w:rPr>
        <w:t>目标约束性在下降，民生领域目标约束性在加强（吕冰洋，</w:t>
      </w:r>
      <w:r w:rsidR="00955B9A" w:rsidRPr="00CF571C">
        <w:rPr>
          <w:rFonts w:ascii="Times New Roman" w:hAnsi="Times New Roman" w:cs="Times New Roman"/>
          <w:color w:val="000000" w:themeColor="text1"/>
          <w:sz w:val="21"/>
          <w:szCs w:val="21"/>
        </w:rPr>
        <w:t>2022</w:t>
      </w:r>
      <w:r w:rsidR="00955B9A" w:rsidRPr="00CF571C">
        <w:rPr>
          <w:rFonts w:ascii="Times New Roman" w:hAnsi="Times New Roman" w:cs="Times New Roman"/>
          <w:color w:val="000000" w:themeColor="text1"/>
          <w:sz w:val="21"/>
          <w:szCs w:val="21"/>
        </w:rPr>
        <w:t>）。因此，不论是省级政府还是地级市政府，面对目标的强约束性，一方面各省结合自身发展重点，推进省内城市预算统筹，另一方面各地级市也会有效缩小毗邻政府间的支出结构差异，完善基本公共服务的均等化。进一步地，一个问题自然地被提出：何种支出受到纵向影响更大？何种受到横向影响更大？</w:t>
      </w:r>
      <w:bookmarkStart w:id="4" w:name="OLE_LINK3"/>
      <w:bookmarkStart w:id="5" w:name="OLE_LINK4"/>
    </w:p>
    <w:bookmarkEnd w:id="4"/>
    <w:bookmarkEnd w:id="5"/>
    <w:p w14:paraId="3DC8839F" w14:textId="77777777" w:rsidR="00914D28" w:rsidRPr="00CF571C" w:rsidRDefault="00914D28"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财政事权和支出责任划分是不同地方预算支出结构受影响程度不同的重要原因。</w:t>
      </w:r>
      <w:r w:rsidRPr="00CF571C">
        <w:rPr>
          <w:rFonts w:ascii="Times New Roman" w:hAnsi="Times New Roman" w:cs="Times New Roman"/>
          <w:color w:val="000000" w:themeColor="text1"/>
          <w:sz w:val="21"/>
          <w:szCs w:val="21"/>
        </w:rPr>
        <w:t>财政事权和支出责任划分与教育、社会保障、医疗卫生等各项改革紧密相连、不可分割。省级政府要参照中央做法，结合当地实际，将部分适宜由更高一级政府承担的基本公共服务职能上移。基层政府</w:t>
      </w:r>
      <w:r w:rsidRPr="00CF571C">
        <w:rPr>
          <w:rFonts w:ascii="Times New Roman" w:hAnsi="Times New Roman" w:cs="Times New Roman" w:hint="eastAsia"/>
          <w:color w:val="000000" w:themeColor="text1"/>
          <w:sz w:val="21"/>
          <w:szCs w:val="21"/>
        </w:rPr>
        <w:t>则</w:t>
      </w:r>
      <w:r w:rsidRPr="00CF571C">
        <w:rPr>
          <w:rFonts w:ascii="Times New Roman" w:hAnsi="Times New Roman" w:cs="Times New Roman"/>
          <w:color w:val="000000" w:themeColor="text1"/>
          <w:sz w:val="21"/>
          <w:szCs w:val="21"/>
        </w:rPr>
        <w:t>负责适宜其发挥信息、管理优势的基本公共服务</w:t>
      </w:r>
      <w:r w:rsidR="00C34FAC" w:rsidRPr="00CF571C">
        <w:rPr>
          <w:rFonts w:ascii="Times New Roman" w:hAnsi="Times New Roman" w:cs="Times New Roman" w:hint="eastAsia"/>
          <w:color w:val="000000" w:themeColor="text1"/>
          <w:sz w:val="21"/>
          <w:szCs w:val="21"/>
        </w:rPr>
        <w:t>职能</w:t>
      </w:r>
      <w:r w:rsidR="00EB546C" w:rsidRPr="00CF571C">
        <w:rPr>
          <w:rStyle w:val="ac"/>
          <w:rFonts w:ascii="Times New Roman" w:hAnsi="Times New Roman" w:cs="Times New Roman"/>
          <w:color w:val="000000" w:themeColor="text1"/>
          <w:sz w:val="21"/>
          <w:szCs w:val="21"/>
        </w:rPr>
        <w:footnoteReference w:id="2"/>
      </w:r>
      <w:r w:rsidRPr="00CF571C">
        <w:rPr>
          <w:rFonts w:ascii="Times New Roman" w:hAnsi="Times New Roman" w:cs="Times New Roman"/>
          <w:color w:val="000000" w:themeColor="text1"/>
          <w:sz w:val="21"/>
          <w:szCs w:val="21"/>
        </w:rPr>
        <w:t>。</w:t>
      </w:r>
    </w:p>
    <w:p w14:paraId="506E3D7B" w14:textId="77777777" w:rsidR="00D31D73" w:rsidRPr="00CF571C" w:rsidRDefault="005B6D5D"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教育支出和科技支出属于法定支出</w:t>
      </w:r>
      <w:r w:rsidR="00D31D73" w:rsidRPr="00CF571C">
        <w:rPr>
          <w:color w:val="000000" w:themeColor="text1"/>
          <w:sz w:val="21"/>
          <w:szCs w:val="21"/>
          <w:vertAlign w:val="superscript"/>
        </w:rPr>
        <w:footnoteReference w:id="3"/>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hint="eastAsia"/>
          <w:color w:val="000000" w:themeColor="text1"/>
          <w:sz w:val="21"/>
          <w:szCs w:val="21"/>
        </w:rPr>
        <w:t>尽管十八届三中全会后强调“清</w:t>
      </w:r>
      <w:r w:rsidR="00D31D73" w:rsidRPr="00CF571C">
        <w:rPr>
          <w:rFonts w:ascii="Times New Roman" w:hAnsi="Times New Roman" w:cs="Times New Roman"/>
          <w:color w:val="000000" w:themeColor="text1"/>
          <w:sz w:val="21"/>
          <w:szCs w:val="21"/>
        </w:rPr>
        <w:t>理规范重点支出同财政支出增幅或生产总值挂钩事项</w:t>
      </w:r>
      <w:r w:rsidR="00D31D73" w:rsidRPr="00CF571C">
        <w:rPr>
          <w:rFonts w:ascii="Times New Roman" w:hAnsi="Times New Roman" w:cs="Times New Roman" w:hint="eastAsia"/>
          <w:color w:val="000000" w:themeColor="text1"/>
          <w:sz w:val="21"/>
          <w:szCs w:val="21"/>
        </w:rPr>
        <w:t>”，但隐性的法定支出仍可能存在</w:t>
      </w:r>
      <w:r w:rsidR="001D5308"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地级市政府需要保证该类支出的增长</w:t>
      </w:r>
      <w:r w:rsidR="001D5308"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因此，该类支出要明确界定各级政府支出责任。例如，江苏省规定科技支出强调由同级财政承担支出责任</w:t>
      </w:r>
      <w:r w:rsidR="00BF35AB"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或由省级财政与市县财政区分不同情况承担相应的支出责任</w:t>
      </w:r>
      <w:r w:rsidR="003444A3" w:rsidRPr="00CF571C">
        <w:rPr>
          <w:rFonts w:ascii="Times New Roman" w:hAnsi="Times New Roman" w:cs="Times New Roman" w:hint="eastAsia"/>
          <w:color w:val="000000" w:themeColor="text1"/>
          <w:sz w:val="21"/>
          <w:szCs w:val="21"/>
        </w:rPr>
        <w:t>。</w:t>
      </w:r>
      <w:r w:rsidR="006370D9" w:rsidRPr="00CF571C">
        <w:rPr>
          <w:rFonts w:ascii="Times New Roman" w:hAnsi="Times New Roman" w:cs="Times New Roman" w:hint="eastAsia"/>
          <w:color w:val="000000" w:themeColor="text1"/>
          <w:sz w:val="21"/>
          <w:szCs w:val="21"/>
        </w:rPr>
        <w:t>另一方面</w:t>
      </w:r>
      <w:r w:rsidR="003444A3" w:rsidRPr="00CF571C">
        <w:rPr>
          <w:rFonts w:ascii="Times New Roman" w:hAnsi="Times New Roman" w:cs="Times New Roman"/>
          <w:color w:val="000000" w:themeColor="text1"/>
          <w:sz w:val="21"/>
          <w:szCs w:val="21"/>
        </w:rPr>
        <w:t>，因各省招生规模固定等</w:t>
      </w:r>
      <w:r w:rsidR="003444A3" w:rsidRPr="00CF571C">
        <w:rPr>
          <w:rFonts w:ascii="Times New Roman" w:hAnsi="Times New Roman" w:cs="Times New Roman" w:hint="eastAsia"/>
          <w:color w:val="000000" w:themeColor="text1"/>
          <w:sz w:val="21"/>
          <w:szCs w:val="21"/>
        </w:rPr>
        <w:t>因素</w:t>
      </w:r>
      <w:r w:rsidR="003444A3" w:rsidRPr="00CF571C">
        <w:rPr>
          <w:rFonts w:ascii="Times New Roman" w:hAnsi="Times New Roman" w:cs="Times New Roman"/>
          <w:color w:val="000000" w:themeColor="text1"/>
          <w:sz w:val="21"/>
          <w:szCs w:val="21"/>
        </w:rPr>
        <w:t>，</w:t>
      </w:r>
      <w:r w:rsidR="003444A3" w:rsidRPr="00CF571C">
        <w:rPr>
          <w:rFonts w:ascii="Times New Roman" w:hAnsi="Times New Roman" w:cs="Times New Roman" w:hint="eastAsia"/>
          <w:color w:val="000000" w:themeColor="text1"/>
          <w:sz w:val="21"/>
          <w:szCs w:val="21"/>
        </w:rPr>
        <w:t>通常认为</w:t>
      </w:r>
      <w:r w:rsidR="003444A3" w:rsidRPr="00CF571C">
        <w:rPr>
          <w:rFonts w:ascii="Times New Roman" w:hAnsi="Times New Roman" w:cs="Times New Roman"/>
          <w:color w:val="000000" w:themeColor="text1"/>
          <w:sz w:val="21"/>
          <w:szCs w:val="21"/>
        </w:rPr>
        <w:t>省内教育支出偏刚性</w:t>
      </w:r>
      <w:r w:rsidR="006370D9" w:rsidRPr="00CF571C">
        <w:rPr>
          <w:rFonts w:ascii="Times New Roman" w:hAnsi="Times New Roman" w:cs="Times New Roman" w:hint="eastAsia"/>
          <w:color w:val="000000" w:themeColor="text1"/>
          <w:sz w:val="21"/>
          <w:szCs w:val="21"/>
        </w:rPr>
        <w:t>。</w:t>
      </w:r>
      <w:r w:rsidR="003444A3" w:rsidRPr="00CF571C">
        <w:rPr>
          <w:rFonts w:ascii="Times New Roman" w:hAnsi="Times New Roman" w:cs="Times New Roman"/>
          <w:color w:val="000000" w:themeColor="text1"/>
          <w:sz w:val="21"/>
          <w:szCs w:val="21"/>
        </w:rPr>
        <w:t>然而，省内地市级层面不再进行名额分配，因此，地市级政府对教育的投入可能与省级政府表现出完全不同的行为</w:t>
      </w:r>
      <w:r w:rsidR="006370D9" w:rsidRPr="00CF571C">
        <w:rPr>
          <w:rFonts w:ascii="Times New Roman" w:hAnsi="Times New Roman" w:cs="Times New Roman" w:hint="eastAsia"/>
          <w:color w:val="000000" w:themeColor="text1"/>
          <w:sz w:val="21"/>
          <w:szCs w:val="21"/>
        </w:rPr>
        <w:t>，</w:t>
      </w:r>
      <w:r w:rsidR="003444A3" w:rsidRPr="00CF571C">
        <w:rPr>
          <w:rFonts w:ascii="Times New Roman" w:hAnsi="Times New Roman" w:cs="Times New Roman"/>
          <w:color w:val="000000" w:themeColor="text1"/>
          <w:sz w:val="21"/>
          <w:szCs w:val="21"/>
        </w:rPr>
        <w:t>地方政府的财政自主权会促使其调整教育支出比重。</w:t>
      </w:r>
      <w:r w:rsidR="006370D9" w:rsidRPr="00CF571C">
        <w:rPr>
          <w:rFonts w:ascii="Times New Roman" w:hAnsi="Times New Roman" w:cs="Times New Roman" w:hint="eastAsia"/>
          <w:color w:val="000000" w:themeColor="text1"/>
          <w:sz w:val="21"/>
          <w:szCs w:val="21"/>
        </w:rPr>
        <w:t>此外</w:t>
      </w:r>
      <w:r w:rsidR="006370D9" w:rsidRPr="00CF571C">
        <w:rPr>
          <w:rFonts w:ascii="Times New Roman" w:hAnsi="Times New Roman" w:cs="Times New Roman"/>
          <w:color w:val="000000" w:themeColor="text1"/>
          <w:sz w:val="21"/>
          <w:szCs w:val="21"/>
        </w:rPr>
        <w:t>，教育和科技支出</w:t>
      </w:r>
      <w:r w:rsidR="006370D9" w:rsidRPr="00CF571C">
        <w:rPr>
          <w:rFonts w:ascii="Times New Roman" w:hAnsi="Times New Roman" w:cs="Times New Roman" w:hint="eastAsia"/>
          <w:color w:val="000000" w:themeColor="text1"/>
          <w:sz w:val="21"/>
          <w:szCs w:val="21"/>
        </w:rPr>
        <w:t>目标常常与促进地区资本与劳动流入密切相关</w:t>
      </w:r>
      <w:r w:rsidR="006370D9" w:rsidRPr="00CF571C">
        <w:rPr>
          <w:rFonts w:ascii="Times New Roman" w:hAnsi="Times New Roman" w:cs="Times New Roman"/>
          <w:color w:val="000000" w:themeColor="text1"/>
          <w:sz w:val="21"/>
          <w:szCs w:val="21"/>
        </w:rPr>
        <w:t>，能够通过人力资本提升、产业结构优化等渠道影响本地区经济增长要素</w:t>
      </w:r>
      <w:r w:rsidR="006370D9" w:rsidRPr="00CF571C">
        <w:rPr>
          <w:rFonts w:ascii="Times New Roman" w:hAnsi="Times New Roman" w:cs="Times New Roman" w:hint="eastAsia"/>
          <w:color w:val="000000" w:themeColor="text1"/>
          <w:sz w:val="21"/>
          <w:szCs w:val="21"/>
        </w:rPr>
        <w:t>（</w:t>
      </w:r>
      <w:r w:rsidR="006370D9" w:rsidRPr="00CF571C">
        <w:rPr>
          <w:rFonts w:ascii="Times New Roman" w:hAnsi="Times New Roman" w:cs="Times New Roman"/>
          <w:color w:val="000000" w:themeColor="text1"/>
          <w:sz w:val="21"/>
          <w:szCs w:val="21"/>
        </w:rPr>
        <w:t>郭庆旺等，</w:t>
      </w:r>
      <w:r w:rsidR="006370D9" w:rsidRPr="00CF571C">
        <w:rPr>
          <w:rFonts w:ascii="Times New Roman" w:hAnsi="Times New Roman" w:cs="Times New Roman"/>
          <w:color w:val="000000" w:themeColor="text1"/>
          <w:sz w:val="21"/>
          <w:szCs w:val="21"/>
        </w:rPr>
        <w:t>2003</w:t>
      </w:r>
      <w:r w:rsidR="006370D9" w:rsidRPr="00CF571C">
        <w:rPr>
          <w:rFonts w:ascii="Times New Roman" w:hAnsi="Times New Roman" w:cs="Times New Roman"/>
          <w:color w:val="000000" w:themeColor="text1"/>
          <w:sz w:val="21"/>
          <w:szCs w:val="21"/>
        </w:rPr>
        <w:t>；祝树金</w:t>
      </w:r>
      <w:r w:rsidR="006370D9" w:rsidRPr="00CF571C">
        <w:rPr>
          <w:rFonts w:ascii="Times New Roman" w:hAnsi="Times New Roman" w:cs="Times New Roman" w:hint="eastAsia"/>
          <w:color w:val="000000" w:themeColor="text1"/>
          <w:sz w:val="21"/>
          <w:szCs w:val="21"/>
        </w:rPr>
        <w:t>、</w:t>
      </w:r>
      <w:r w:rsidR="006370D9" w:rsidRPr="00CF571C">
        <w:rPr>
          <w:rFonts w:ascii="Times New Roman" w:hAnsi="Times New Roman" w:cs="Times New Roman"/>
          <w:color w:val="000000" w:themeColor="text1"/>
          <w:sz w:val="21"/>
          <w:szCs w:val="21"/>
        </w:rPr>
        <w:t>虢娟，</w:t>
      </w:r>
      <w:r w:rsidR="006370D9" w:rsidRPr="00CF571C">
        <w:rPr>
          <w:rFonts w:ascii="Times New Roman" w:hAnsi="Times New Roman" w:cs="Times New Roman"/>
          <w:color w:val="000000" w:themeColor="text1"/>
          <w:sz w:val="21"/>
          <w:szCs w:val="21"/>
        </w:rPr>
        <w:t>2008</w:t>
      </w:r>
      <w:r w:rsidR="006370D9" w:rsidRPr="00CF571C">
        <w:rPr>
          <w:rFonts w:ascii="Times New Roman" w:hAnsi="Times New Roman" w:cs="Times New Roman" w:hint="eastAsia"/>
          <w:color w:val="000000" w:themeColor="text1"/>
          <w:sz w:val="21"/>
          <w:szCs w:val="21"/>
        </w:rPr>
        <w:t>）。</w:t>
      </w:r>
      <w:r w:rsidR="003444A3" w:rsidRPr="00CF571C">
        <w:rPr>
          <w:rFonts w:ascii="Times New Roman" w:hAnsi="Times New Roman" w:cs="Times New Roman" w:hint="eastAsia"/>
          <w:color w:val="000000" w:themeColor="text1"/>
          <w:sz w:val="21"/>
          <w:szCs w:val="21"/>
        </w:rPr>
        <w:t>基于此</w:t>
      </w:r>
      <w:r w:rsidR="00D31D73"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地级市政府</w:t>
      </w:r>
      <w:r w:rsidR="003444A3" w:rsidRPr="00CF571C">
        <w:rPr>
          <w:rFonts w:ascii="Times New Roman" w:hAnsi="Times New Roman" w:cs="Times New Roman" w:hint="eastAsia"/>
          <w:color w:val="000000" w:themeColor="text1"/>
          <w:sz w:val="21"/>
          <w:szCs w:val="21"/>
        </w:rPr>
        <w:t>可能</w:t>
      </w:r>
      <w:r w:rsidR="00D31D73" w:rsidRPr="00CF571C">
        <w:rPr>
          <w:rFonts w:ascii="Times New Roman" w:hAnsi="Times New Roman" w:cs="Times New Roman"/>
          <w:color w:val="000000" w:themeColor="text1"/>
          <w:sz w:val="21"/>
          <w:szCs w:val="21"/>
        </w:rPr>
        <w:t>倾向于在该领域支出争取更多的话语权</w:t>
      </w:r>
      <w:r w:rsidR="00D31D73" w:rsidRPr="00CF571C">
        <w:rPr>
          <w:rFonts w:ascii="Times New Roman" w:hAnsi="Times New Roman" w:cs="Times New Roman" w:hint="eastAsia"/>
          <w:color w:val="000000" w:themeColor="text1"/>
          <w:sz w:val="21"/>
          <w:szCs w:val="21"/>
        </w:rPr>
        <w:t>，并</w:t>
      </w:r>
      <w:r w:rsidR="00D31D73" w:rsidRPr="00CF571C">
        <w:rPr>
          <w:rFonts w:ascii="Times New Roman" w:hAnsi="Times New Roman" w:cs="Times New Roman"/>
          <w:color w:val="000000" w:themeColor="text1"/>
          <w:sz w:val="21"/>
          <w:szCs w:val="21"/>
        </w:rPr>
        <w:t>关注其他</w:t>
      </w:r>
      <w:r w:rsidR="00D31D73" w:rsidRPr="00CF571C">
        <w:rPr>
          <w:rFonts w:ascii="Times New Roman" w:hAnsi="Times New Roman" w:cs="Times New Roman" w:hint="eastAsia"/>
          <w:color w:val="000000" w:themeColor="text1"/>
          <w:sz w:val="21"/>
          <w:szCs w:val="21"/>
        </w:rPr>
        <w:t>邻近</w:t>
      </w:r>
      <w:r w:rsidR="00D31D73" w:rsidRPr="00CF571C">
        <w:rPr>
          <w:rFonts w:ascii="Times New Roman" w:hAnsi="Times New Roman" w:cs="Times New Roman"/>
          <w:color w:val="000000" w:themeColor="text1"/>
          <w:sz w:val="21"/>
          <w:szCs w:val="21"/>
        </w:rPr>
        <w:t>地区，</w:t>
      </w:r>
      <w:r w:rsidR="00D31D73" w:rsidRPr="00CF571C">
        <w:rPr>
          <w:rFonts w:ascii="Times New Roman" w:hAnsi="Times New Roman" w:cs="Times New Roman" w:hint="eastAsia"/>
          <w:color w:val="000000" w:themeColor="text1"/>
          <w:sz w:val="21"/>
          <w:szCs w:val="21"/>
        </w:rPr>
        <w:t>引致</w:t>
      </w:r>
      <w:r w:rsidR="00D31D73" w:rsidRPr="00CF571C">
        <w:rPr>
          <w:rFonts w:ascii="Times New Roman" w:hAnsi="Times New Roman" w:cs="Times New Roman"/>
          <w:color w:val="000000" w:themeColor="text1"/>
          <w:sz w:val="21"/>
          <w:szCs w:val="21"/>
        </w:rPr>
        <w:t>政府间的支出</w:t>
      </w:r>
      <w:r w:rsidR="00D31D73" w:rsidRPr="00CF571C">
        <w:rPr>
          <w:rFonts w:ascii="Times New Roman" w:hAnsi="Times New Roman" w:cs="Times New Roman" w:hint="eastAsia"/>
          <w:color w:val="000000" w:themeColor="text1"/>
          <w:sz w:val="21"/>
          <w:szCs w:val="21"/>
        </w:rPr>
        <w:t>竞争和</w:t>
      </w:r>
      <w:r w:rsidR="009A7FD2"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模仿</w:t>
      </w:r>
      <w:r w:rsidR="009A7FD2"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hint="eastAsia"/>
          <w:color w:val="000000" w:themeColor="text1"/>
          <w:sz w:val="21"/>
          <w:szCs w:val="21"/>
        </w:rPr>
        <w:t>趋同</w:t>
      </w:r>
      <w:r w:rsidR="00D31D73" w:rsidRPr="00CF571C">
        <w:rPr>
          <w:rFonts w:ascii="Times New Roman" w:hAnsi="Times New Roman" w:cs="Times New Roman"/>
          <w:color w:val="000000" w:themeColor="text1"/>
          <w:sz w:val="21"/>
          <w:szCs w:val="21"/>
        </w:rPr>
        <w:t>。</w:t>
      </w:r>
    </w:p>
    <w:p w14:paraId="303985E8" w14:textId="77777777" w:rsidR="00D31D73" w:rsidRPr="00CF571C" w:rsidRDefault="00D31D73" w:rsidP="007D1D1A">
      <w:pPr>
        <w:adjustRightInd w:val="0"/>
        <w:snapToGrid w:val="0"/>
        <w:ind w:firstLineChars="200" w:firstLine="420"/>
        <w:jc w:val="both"/>
        <w:rPr>
          <w:rFonts w:ascii="Times New Roman" w:hAnsi="Times New Roman" w:cs="Times New Roman"/>
          <w:color w:val="000000" w:themeColor="text1"/>
          <w:sz w:val="21"/>
          <w:szCs w:val="21"/>
        </w:rPr>
      </w:pPr>
      <w:bookmarkStart w:id="6" w:name="OLE_LINK15"/>
      <w:bookmarkStart w:id="7" w:name="OLE_LINK16"/>
      <w:r w:rsidRPr="00CF571C">
        <w:rPr>
          <w:rFonts w:ascii="Times New Roman" w:hAnsi="Times New Roman" w:cs="Times New Roman" w:hint="eastAsia"/>
          <w:color w:val="000000" w:themeColor="text1"/>
          <w:sz w:val="21"/>
          <w:szCs w:val="21"/>
        </w:rPr>
        <w:t>对于医疗卫生和社会保障与就业支出，</w:t>
      </w:r>
      <w:r w:rsidRPr="00CF571C">
        <w:rPr>
          <w:rFonts w:ascii="Times New Roman" w:hAnsi="Times New Roman" w:cs="Times New Roman"/>
          <w:color w:val="000000" w:themeColor="text1"/>
          <w:sz w:val="21"/>
          <w:szCs w:val="21"/>
        </w:rPr>
        <w:t>强调</w:t>
      </w:r>
      <w:r w:rsidR="002F1F83" w:rsidRPr="00CF571C">
        <w:rPr>
          <w:rFonts w:ascii="Times New Roman" w:hAnsi="Times New Roman" w:cs="Times New Roman" w:hint="eastAsia"/>
          <w:color w:val="000000" w:themeColor="text1"/>
          <w:sz w:val="21"/>
          <w:szCs w:val="21"/>
        </w:rPr>
        <w:t>加强省级财政事权</w:t>
      </w:r>
      <w:r w:rsidRPr="00CF571C">
        <w:rPr>
          <w:rFonts w:ascii="Times New Roman" w:hAnsi="Times New Roman" w:cs="Times New Roman" w:hint="eastAsia"/>
          <w:color w:val="000000" w:themeColor="text1"/>
          <w:sz w:val="21"/>
          <w:szCs w:val="21"/>
        </w:rPr>
        <w:t>。</w:t>
      </w:r>
      <w:bookmarkEnd w:id="6"/>
      <w:bookmarkEnd w:id="7"/>
      <w:r w:rsidRPr="00CF571C">
        <w:rPr>
          <w:rFonts w:ascii="Times New Roman" w:hAnsi="Times New Roman" w:cs="Times New Roman"/>
          <w:color w:val="000000" w:themeColor="text1"/>
          <w:sz w:val="21"/>
          <w:szCs w:val="21"/>
        </w:rPr>
        <w:t>医疗卫生支出目标为满足居民卫生健康需求</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社会保障支出目标为保障居民最低生活水准，</w:t>
      </w:r>
      <w:r w:rsidRPr="00CF571C">
        <w:rPr>
          <w:rFonts w:ascii="Times New Roman" w:hAnsi="Times New Roman" w:cs="Times New Roman" w:hint="eastAsia"/>
          <w:color w:val="000000" w:themeColor="text1"/>
          <w:sz w:val="21"/>
          <w:szCs w:val="21"/>
        </w:rPr>
        <w:t>对于此类强调普惠</w:t>
      </w:r>
      <w:r w:rsidRPr="00CF571C">
        <w:rPr>
          <w:rFonts w:ascii="Times New Roman" w:hAnsi="Times New Roman" w:cs="Times New Roman" w:hint="eastAsia"/>
          <w:color w:val="000000" w:themeColor="text1"/>
          <w:sz w:val="21"/>
          <w:szCs w:val="21"/>
        </w:rPr>
        <w:lastRenderedPageBreak/>
        <w:t>性、保基本和均等化的</w:t>
      </w:r>
      <w:r w:rsidRPr="00CF571C">
        <w:rPr>
          <w:rFonts w:ascii="Times New Roman" w:hAnsi="Times New Roman" w:cs="Times New Roman"/>
          <w:color w:val="000000" w:themeColor="text1"/>
          <w:sz w:val="21"/>
          <w:szCs w:val="21"/>
        </w:rPr>
        <w:t>基本公共服务</w:t>
      </w:r>
      <w:r w:rsidRPr="00CF571C">
        <w:rPr>
          <w:rFonts w:ascii="Times New Roman" w:hAnsi="Times New Roman" w:cs="Times New Roman" w:hint="eastAsia"/>
          <w:color w:val="000000" w:themeColor="text1"/>
          <w:sz w:val="21"/>
          <w:szCs w:val="21"/>
        </w:rPr>
        <w:t>，</w:t>
      </w:r>
      <w:r w:rsidR="002B6464" w:rsidRPr="00CF571C">
        <w:rPr>
          <w:rFonts w:ascii="Times New Roman" w:hAnsi="Times New Roman" w:cs="Times New Roman" w:hint="eastAsia"/>
          <w:color w:val="000000" w:themeColor="text1"/>
          <w:sz w:val="21"/>
          <w:szCs w:val="21"/>
        </w:rPr>
        <w:t>要加强</w:t>
      </w:r>
      <w:r w:rsidRPr="00CF571C">
        <w:rPr>
          <w:rFonts w:ascii="Times New Roman" w:hAnsi="Times New Roman" w:cs="Times New Roman" w:hint="eastAsia"/>
          <w:color w:val="000000" w:themeColor="text1"/>
          <w:sz w:val="21"/>
          <w:szCs w:val="21"/>
        </w:rPr>
        <w:t>省级政府</w:t>
      </w:r>
      <w:r w:rsidRPr="00CF571C">
        <w:rPr>
          <w:rFonts w:ascii="Times New Roman" w:hAnsi="Times New Roman" w:cs="Times New Roman"/>
          <w:color w:val="000000" w:themeColor="text1"/>
          <w:sz w:val="21"/>
          <w:szCs w:val="21"/>
        </w:rPr>
        <w:t>的财政事权</w:t>
      </w:r>
      <w:r w:rsidRPr="00CF571C">
        <w:rPr>
          <w:rFonts w:ascii="Times New Roman" w:hAnsi="Times New Roman" w:cs="Times New Roman"/>
          <w:color w:val="000000" w:themeColor="text1"/>
          <w:sz w:val="21"/>
          <w:szCs w:val="21"/>
          <w:vertAlign w:val="superscript"/>
        </w:rPr>
        <w:footnoteReference w:id="4"/>
      </w:r>
      <w:r w:rsidR="009B4900" w:rsidRPr="00CF571C">
        <w:rPr>
          <w:rFonts w:ascii="Times New Roman" w:hAnsi="Times New Roman" w:cs="Times New Roman" w:hint="eastAsia"/>
          <w:color w:val="000000" w:themeColor="text1"/>
          <w:sz w:val="21"/>
          <w:szCs w:val="21"/>
        </w:rPr>
        <w:t>。</w:t>
      </w:r>
      <w:r w:rsidR="00AC46F8" w:rsidRPr="00CF571C">
        <w:rPr>
          <w:rFonts w:ascii="Times New Roman" w:hAnsi="Times New Roman" w:cs="Times New Roman" w:hint="eastAsia"/>
          <w:color w:val="000000" w:themeColor="text1"/>
          <w:sz w:val="21"/>
          <w:szCs w:val="21"/>
        </w:rPr>
        <w:t>根据国务院印发的</w:t>
      </w:r>
      <w:r w:rsidR="00AC46F8" w:rsidRPr="00CF571C">
        <w:rPr>
          <w:rFonts w:ascii="Times New Roman" w:hAnsi="Times New Roman" w:cs="Times New Roman"/>
          <w:color w:val="000000" w:themeColor="text1"/>
          <w:sz w:val="21"/>
          <w:szCs w:val="21"/>
        </w:rPr>
        <w:t>《深化医药卫生体制改革</w:t>
      </w:r>
      <w:r w:rsidR="00AC46F8" w:rsidRPr="00CF571C">
        <w:rPr>
          <w:rFonts w:ascii="Times New Roman" w:hAnsi="Times New Roman" w:cs="Times New Roman"/>
          <w:color w:val="000000" w:themeColor="text1"/>
          <w:sz w:val="21"/>
          <w:szCs w:val="21"/>
        </w:rPr>
        <w:t>2021</w:t>
      </w:r>
      <w:r w:rsidR="00AC46F8" w:rsidRPr="00CF571C">
        <w:rPr>
          <w:rFonts w:ascii="Times New Roman" w:hAnsi="Times New Roman" w:cs="Times New Roman"/>
          <w:color w:val="000000" w:themeColor="text1"/>
          <w:sz w:val="21"/>
          <w:szCs w:val="21"/>
        </w:rPr>
        <w:t>年重点工作任务》</w:t>
      </w:r>
      <w:r w:rsidR="00AC46F8" w:rsidRPr="00CF571C">
        <w:rPr>
          <w:rFonts w:ascii="Times New Roman" w:hAnsi="Times New Roman" w:cs="Times New Roman" w:hint="eastAsia"/>
          <w:color w:val="000000" w:themeColor="text1"/>
          <w:sz w:val="21"/>
          <w:szCs w:val="21"/>
        </w:rPr>
        <w:t>，指出</w:t>
      </w:r>
      <w:r w:rsidR="007D1D1A" w:rsidRPr="00CF571C">
        <w:rPr>
          <w:rFonts w:ascii="Times New Roman" w:hAnsi="Times New Roman" w:cs="Times New Roman" w:hint="eastAsia"/>
          <w:color w:val="000000" w:themeColor="text1"/>
          <w:sz w:val="21"/>
          <w:szCs w:val="21"/>
        </w:rPr>
        <w:t>“</w:t>
      </w:r>
      <w:r w:rsidR="007D1D1A" w:rsidRPr="00CF571C">
        <w:rPr>
          <w:rFonts w:ascii="Times New Roman" w:hAnsi="Times New Roman" w:cs="Times New Roman"/>
          <w:color w:val="000000" w:themeColor="text1"/>
          <w:sz w:val="21"/>
          <w:szCs w:val="21"/>
        </w:rPr>
        <w:t>鼓励有条件的省份按照分级管理、责任共担、统筹调剂、预算考核的思路，推动基本医保省级统筹</w:t>
      </w:r>
      <w:r w:rsidR="007D1D1A" w:rsidRPr="00CF571C">
        <w:rPr>
          <w:rFonts w:ascii="Times New Roman" w:hAnsi="Times New Roman" w:cs="Times New Roman" w:hint="eastAsia"/>
          <w:color w:val="000000" w:themeColor="text1"/>
          <w:sz w:val="21"/>
          <w:szCs w:val="21"/>
        </w:rPr>
        <w:t>”。因此，</w:t>
      </w:r>
      <w:r w:rsidR="00E643ED" w:rsidRPr="00CF571C">
        <w:rPr>
          <w:rFonts w:ascii="Times New Roman" w:hAnsi="Times New Roman" w:cs="Times New Roman" w:hint="eastAsia"/>
          <w:color w:val="000000" w:themeColor="text1"/>
          <w:sz w:val="21"/>
          <w:szCs w:val="21"/>
        </w:rPr>
        <w:t>本文认为</w:t>
      </w:r>
      <w:r w:rsidRPr="00CF571C">
        <w:rPr>
          <w:rFonts w:ascii="Times New Roman" w:hAnsi="Times New Roman" w:cs="Times New Roman" w:hint="eastAsia"/>
          <w:color w:val="000000" w:themeColor="text1"/>
          <w:sz w:val="21"/>
          <w:szCs w:val="21"/>
        </w:rPr>
        <w:t>医</w:t>
      </w:r>
      <w:r w:rsidRPr="00CF571C">
        <w:rPr>
          <w:rFonts w:ascii="Times New Roman" w:hAnsi="Times New Roman" w:cs="Times New Roman"/>
          <w:color w:val="000000" w:themeColor="text1"/>
          <w:sz w:val="21"/>
          <w:szCs w:val="21"/>
        </w:rPr>
        <w:t>疗卫生支出和社会保障</w:t>
      </w:r>
      <w:r w:rsidR="00AC46F8" w:rsidRPr="00CF571C">
        <w:rPr>
          <w:rFonts w:ascii="Times New Roman" w:hAnsi="Times New Roman" w:cs="Times New Roman" w:hint="eastAsia"/>
          <w:color w:val="000000" w:themeColor="text1"/>
          <w:sz w:val="21"/>
          <w:szCs w:val="21"/>
        </w:rPr>
        <w:t>与</w:t>
      </w:r>
      <w:r w:rsidRPr="00CF571C">
        <w:rPr>
          <w:rFonts w:ascii="Times New Roman" w:hAnsi="Times New Roman" w:cs="Times New Roman"/>
          <w:color w:val="000000" w:themeColor="text1"/>
          <w:sz w:val="21"/>
          <w:szCs w:val="21"/>
        </w:rPr>
        <w:t>就业支出</w:t>
      </w:r>
      <w:r w:rsidR="00AC46F8" w:rsidRPr="00CF571C">
        <w:rPr>
          <w:rFonts w:ascii="Times New Roman" w:hAnsi="Times New Roman" w:cs="Times New Roman" w:hint="eastAsia"/>
          <w:color w:val="000000" w:themeColor="text1"/>
          <w:sz w:val="21"/>
          <w:szCs w:val="21"/>
        </w:rPr>
        <w:t>受到更为明显的省级</w:t>
      </w:r>
      <w:r w:rsidR="00AE3FD0" w:rsidRPr="00CF571C">
        <w:rPr>
          <w:rFonts w:ascii="Times New Roman" w:hAnsi="Times New Roman" w:cs="Times New Roman" w:hint="eastAsia"/>
          <w:color w:val="000000" w:themeColor="text1"/>
          <w:sz w:val="21"/>
          <w:szCs w:val="21"/>
        </w:rPr>
        <w:t>政府影响</w:t>
      </w:r>
      <w:r w:rsidR="00E643ED" w:rsidRPr="00CF571C">
        <w:rPr>
          <w:rFonts w:ascii="Times New Roman" w:hAnsi="Times New Roman" w:cs="Times New Roman" w:hint="eastAsia"/>
          <w:color w:val="000000" w:themeColor="text1"/>
          <w:sz w:val="21"/>
          <w:szCs w:val="21"/>
        </w:rPr>
        <w:t>，这是区别于教育和科技支出的重要特征</w:t>
      </w:r>
      <w:r w:rsidRPr="00CF571C">
        <w:rPr>
          <w:rFonts w:ascii="Times New Roman" w:hAnsi="Times New Roman" w:cs="Times New Roman"/>
          <w:color w:val="000000" w:themeColor="text1"/>
          <w:sz w:val="21"/>
          <w:szCs w:val="21"/>
        </w:rPr>
        <w:t>。</w:t>
      </w:r>
    </w:p>
    <w:p w14:paraId="29D2D02D" w14:textId="77777777" w:rsidR="00D31D73" w:rsidRPr="00CF571C" w:rsidRDefault="00CF2242" w:rsidP="00914D28">
      <w:pPr>
        <w:adjustRightInd w:val="0"/>
        <w:snapToGrid w:val="0"/>
        <w:ind w:firstLineChars="200" w:firstLine="420"/>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基于此，本文提出第三个假说：</w:t>
      </w:r>
    </w:p>
    <w:p w14:paraId="17891F59" w14:textId="77777777" w:rsidR="00D31D73" w:rsidRPr="00CF571C" w:rsidRDefault="00D31D73" w:rsidP="00C1397F">
      <w:pPr>
        <w:adjustRightInd w:val="0"/>
        <w:snapToGrid w:val="0"/>
        <w:ind w:firstLineChars="200" w:firstLine="422"/>
        <w:jc w:val="both"/>
        <w:rPr>
          <w:rFonts w:ascii="Times New Roman" w:hAnsi="Times New Roman" w:cs="Times New Roman"/>
          <w:b/>
          <w:bCs/>
          <w:color w:val="000000" w:themeColor="text1"/>
          <w:sz w:val="21"/>
          <w:szCs w:val="21"/>
        </w:rPr>
      </w:pPr>
      <w:r w:rsidRPr="00CF571C">
        <w:rPr>
          <w:rFonts w:ascii="楷体" w:eastAsia="楷体" w:hAnsi="楷体" w:cs="Times New Roman"/>
          <w:b/>
          <w:bCs/>
          <w:color w:val="000000" w:themeColor="text1"/>
          <w:sz w:val="21"/>
          <w:szCs w:val="21"/>
        </w:rPr>
        <w:t>假说3: 不同预算支出类型受纵向和横向的影响强度存在差异，具体地，对于教育和科技支出，</w:t>
      </w:r>
      <w:r w:rsidRPr="00CF571C">
        <w:rPr>
          <w:rFonts w:ascii="楷体" w:eastAsia="楷体" w:hAnsi="楷体" w:cs="Times New Roman" w:hint="eastAsia"/>
          <w:b/>
          <w:bCs/>
          <w:color w:val="000000" w:themeColor="text1"/>
          <w:sz w:val="21"/>
          <w:szCs w:val="21"/>
        </w:rPr>
        <w:t>毗邻的</w:t>
      </w:r>
      <w:r w:rsidRPr="00CF571C">
        <w:rPr>
          <w:rFonts w:ascii="楷体" w:eastAsia="楷体" w:hAnsi="楷体" w:cs="Times New Roman"/>
          <w:b/>
          <w:bCs/>
          <w:color w:val="000000" w:themeColor="text1"/>
          <w:sz w:val="21"/>
          <w:szCs w:val="21"/>
        </w:rPr>
        <w:t>横向影响更大；对于医疗卫生和社会保障支出，</w:t>
      </w:r>
      <w:r w:rsidRPr="00CF571C">
        <w:rPr>
          <w:rFonts w:ascii="楷体" w:eastAsia="楷体" w:hAnsi="楷体" w:cs="Times New Roman" w:hint="eastAsia"/>
          <w:b/>
          <w:bCs/>
          <w:color w:val="000000" w:themeColor="text1"/>
          <w:sz w:val="21"/>
          <w:szCs w:val="21"/>
        </w:rPr>
        <w:t>省级的纵向</w:t>
      </w:r>
      <w:r w:rsidRPr="00CF571C">
        <w:rPr>
          <w:rFonts w:ascii="楷体" w:eastAsia="楷体" w:hAnsi="楷体" w:cs="Times New Roman"/>
          <w:b/>
          <w:bCs/>
          <w:color w:val="000000" w:themeColor="text1"/>
          <w:sz w:val="21"/>
          <w:szCs w:val="21"/>
        </w:rPr>
        <w:t>影响更大</w:t>
      </w:r>
      <w:r w:rsidRPr="00CF571C">
        <w:rPr>
          <w:rFonts w:ascii="Times New Roman" w:hAnsi="Times New Roman" w:cs="Times New Roman"/>
          <w:b/>
          <w:bCs/>
          <w:color w:val="000000" w:themeColor="text1"/>
          <w:sz w:val="21"/>
          <w:szCs w:val="21"/>
        </w:rPr>
        <w:t>。</w:t>
      </w:r>
    </w:p>
    <w:p w14:paraId="02845A60" w14:textId="77777777" w:rsidR="00D31D73" w:rsidRPr="00CF571C" w:rsidRDefault="004E46D7" w:rsidP="0075508C">
      <w:pPr>
        <w:pStyle w:val="1"/>
        <w:ind w:left="560"/>
        <w:rPr>
          <w:rFonts w:ascii="Times New Roman" w:hAnsi="Times New Roman" w:cs="Times New Roman"/>
          <w:color w:val="000000" w:themeColor="text1"/>
          <w:szCs w:val="28"/>
        </w:rPr>
      </w:pPr>
      <w:r w:rsidRPr="00CF571C">
        <w:rPr>
          <w:rFonts w:ascii="Times New Roman" w:hAnsi="Times New Roman" w:cs="Times New Roman" w:hint="eastAsia"/>
          <w:color w:val="000000" w:themeColor="text1"/>
          <w:szCs w:val="28"/>
        </w:rPr>
        <w:t>四、</w:t>
      </w:r>
      <w:r w:rsidR="00D31D73" w:rsidRPr="00CF571C">
        <w:rPr>
          <w:rFonts w:ascii="Times New Roman" w:hAnsi="Times New Roman" w:cs="Times New Roman" w:hint="eastAsia"/>
          <w:color w:val="000000" w:themeColor="text1"/>
          <w:szCs w:val="28"/>
        </w:rPr>
        <w:t>研究设计</w:t>
      </w:r>
    </w:p>
    <w:p w14:paraId="2A8BBB77" w14:textId="77777777" w:rsidR="00D31D73" w:rsidRPr="00CF571C" w:rsidRDefault="004E46D7"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（一）</w:t>
      </w:r>
      <w:r w:rsidR="00D31D73" w:rsidRPr="00CF571C">
        <w:rPr>
          <w:rFonts w:ascii="黑体" w:eastAsia="黑体" w:hAnsi="黑体" w:cs="Times New Roman" w:hint="eastAsia"/>
          <w:color w:val="000000" w:themeColor="text1"/>
          <w:sz w:val="21"/>
          <w:szCs w:val="21"/>
        </w:rPr>
        <w:t>实证策略</w:t>
      </w:r>
    </w:p>
    <w:p w14:paraId="4DA38C9D" w14:textId="77777777" w:rsidR="00D31D73" w:rsidRPr="00CF571C" w:rsidRDefault="00D31D73" w:rsidP="00FD7889">
      <w:pPr>
        <w:adjustRightInd w:val="0"/>
        <w:snapToGrid w:val="0"/>
        <w:ind w:firstLineChars="200" w:firstLine="420"/>
        <w:jc w:val="both"/>
        <w:rPr>
          <w:rFonts w:ascii="Times New Roman" w:hAnsi="Times New Roman" w:cs="Times New Roman"/>
          <w:color w:val="000000" w:themeColor="text1"/>
          <w:sz w:val="21"/>
          <w:szCs w:val="21"/>
        </w:rPr>
      </w:pPr>
      <w:bookmarkStart w:id="8" w:name="OLE_LINK31"/>
      <w:bookmarkStart w:id="9" w:name="OLE_LINK32"/>
      <w:r w:rsidRPr="00CF571C">
        <w:rPr>
          <w:rFonts w:ascii="Times New Roman" w:hAnsi="Times New Roman" w:cs="Times New Roman" w:hint="eastAsia"/>
          <w:color w:val="000000" w:themeColor="text1"/>
          <w:sz w:val="21"/>
          <w:szCs w:val="21"/>
        </w:rPr>
        <w:t>为验证提出的三个假说，本文设计实证策略进行检验（图</w:t>
      </w:r>
      <w:r w:rsidRPr="00CF571C">
        <w:rPr>
          <w:rFonts w:ascii="Times New Roman" w:hAnsi="Times New Roman" w:cs="Times New Roman" w:hint="eastAsia"/>
          <w:color w:val="000000" w:themeColor="text1"/>
          <w:sz w:val="21"/>
          <w:szCs w:val="21"/>
        </w:rPr>
        <w:t>4</w:t>
      </w:r>
      <w:r w:rsidRPr="00CF571C">
        <w:rPr>
          <w:rFonts w:ascii="Times New Roman" w:hAnsi="Times New Roman" w:cs="Times New Roman" w:hint="eastAsia"/>
          <w:color w:val="000000" w:themeColor="text1"/>
          <w:sz w:val="21"/>
          <w:szCs w:val="21"/>
        </w:rPr>
        <w:t>）。第一</w:t>
      </w:r>
      <w:r w:rsidRPr="00CF571C">
        <w:rPr>
          <w:rFonts w:ascii="Times New Roman" w:hAnsi="Times New Roman" w:cs="Times New Roman"/>
          <w:color w:val="000000" w:themeColor="text1"/>
          <w:sz w:val="21"/>
          <w:szCs w:val="21"/>
        </w:rPr>
        <w:t>步，验证地方预算支出结构差异的纵向和横向来源。借助</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构造下产生的异省、毗邻等外生虚拟变量，初步判断纵向与横向对预算支出结构差异的影响方向，并基于此使用夏普利值分解法进行纵向、横向因素贡献分解。第</w:t>
      </w:r>
      <w:r w:rsidRPr="00CF571C">
        <w:rPr>
          <w:rFonts w:ascii="Times New Roman" w:hAnsi="Times New Roman" w:cs="Times New Roman" w:hint="eastAsia"/>
          <w:color w:val="000000" w:themeColor="text1"/>
          <w:sz w:val="21"/>
          <w:szCs w:val="21"/>
        </w:rPr>
        <w:t>二</w:t>
      </w:r>
      <w:r w:rsidRPr="00CF571C">
        <w:rPr>
          <w:rFonts w:ascii="Times New Roman" w:hAnsi="Times New Roman" w:cs="Times New Roman"/>
          <w:color w:val="000000" w:themeColor="text1"/>
          <w:sz w:val="21"/>
          <w:szCs w:val="21"/>
        </w:rPr>
        <w:t>步，使用倾向得分匹配法，</w:t>
      </w:r>
      <w:r w:rsidRPr="00CF571C">
        <w:rPr>
          <w:rFonts w:ascii="Times New Roman" w:hAnsi="Times New Roman" w:cs="Times New Roman" w:hint="eastAsia"/>
          <w:color w:val="000000" w:themeColor="text1"/>
          <w:sz w:val="21"/>
          <w:szCs w:val="21"/>
        </w:rPr>
        <w:t>分离两种影响，识别处理效应。</w:t>
      </w:r>
      <w:r w:rsidRPr="00CF571C">
        <w:rPr>
          <w:rFonts w:ascii="Times New Roman" w:hAnsi="Times New Roman" w:cs="Times New Roman"/>
          <w:color w:val="000000" w:themeColor="text1"/>
          <w:sz w:val="21"/>
          <w:szCs w:val="21"/>
        </w:rPr>
        <w:t>聚焦异省毗邻</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分解识别纵向与横向对预算支出结构差异影响的大小，同时分析对比教育、科技、医疗卫生以及社会保障等预算支出类型所受影响大小的区别。最后，本文使用不同匹配方法，并对匹配变量有效性进行稳健性检验。</w:t>
      </w:r>
    </w:p>
    <w:p w14:paraId="16563F5A" w14:textId="77777777" w:rsidR="00D31D73" w:rsidRPr="00CF571C" w:rsidRDefault="00D31D73" w:rsidP="00FD7889">
      <w:pPr>
        <w:adjustRightInd w:val="0"/>
        <w:snapToGrid w:val="0"/>
        <w:ind w:firstLineChars="200" w:firstLine="420"/>
        <w:jc w:val="both"/>
        <w:rPr>
          <w:rFonts w:ascii="Times New Roman" w:hAnsi="Times New Roman" w:cs="Times New Roman"/>
          <w:color w:val="000000" w:themeColor="text1"/>
          <w:sz w:val="21"/>
          <w:szCs w:val="21"/>
        </w:rPr>
      </w:pPr>
    </w:p>
    <w:bookmarkEnd w:id="8"/>
    <w:bookmarkEnd w:id="9"/>
    <w:p w14:paraId="05C90AC8" w14:textId="77777777" w:rsidR="00D31D73" w:rsidRPr="00CF571C" w:rsidRDefault="00D31D73" w:rsidP="00982873">
      <w:pPr>
        <w:adjustRightInd w:val="0"/>
        <w:snapToGrid w:val="0"/>
        <w:rPr>
          <w:rFonts w:ascii="Times New Roman" w:hAnsi="Times New Roman" w:cs="Times New Roman"/>
          <w:b/>
          <w:bCs/>
          <w:color w:val="000000" w:themeColor="text1"/>
          <w:sz w:val="22"/>
          <w:szCs w:val="22"/>
        </w:rPr>
      </w:pPr>
      <w:r w:rsidRPr="00CF571C">
        <w:rPr>
          <w:rFonts w:ascii="Times New Roman" w:hAnsi="Times New Roman" w:cs="Times New Roman"/>
          <w:noProof/>
          <w:color w:val="000000" w:themeColor="text1"/>
        </w:rPr>
        <w:drawing>
          <wp:inline distT="0" distB="0" distL="0" distR="0" wp14:anchorId="34DE8058" wp14:editId="56EE822A">
            <wp:extent cx="5029200" cy="3744595"/>
            <wp:effectExtent l="0" t="0" r="0" b="1905"/>
            <wp:docPr id="7"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3744595"/>
                    </a:xfrm>
                    <a:prstGeom prst="rect">
                      <a:avLst/>
                    </a:prstGeom>
                  </pic:spPr>
                </pic:pic>
              </a:graphicData>
            </a:graphic>
          </wp:inline>
        </w:drawing>
      </w:r>
    </w:p>
    <w:p w14:paraId="0CAF5F25" w14:textId="77777777" w:rsidR="00D31D73" w:rsidRPr="00CF571C" w:rsidRDefault="00D31D73" w:rsidP="003E79E7">
      <w:pPr>
        <w:adjustRightInd w:val="0"/>
        <w:snapToGrid w:val="0"/>
        <w:jc w:val="center"/>
        <w:rPr>
          <w:rFonts w:ascii="Times New Roman" w:eastAsia="楷体" w:hAnsi="Times New Roman" w:cs="Times New Roman"/>
          <w:color w:val="000000" w:themeColor="text1"/>
          <w:sz w:val="21"/>
          <w:szCs w:val="21"/>
        </w:rPr>
      </w:pPr>
      <w:bookmarkStart w:id="10" w:name="OLE_LINK19"/>
      <w:bookmarkStart w:id="11" w:name="OLE_LINK20"/>
      <w:r w:rsidRPr="00CF571C">
        <w:rPr>
          <w:rFonts w:ascii="Times New Roman" w:eastAsia="楷体" w:hAnsi="Times New Roman" w:cs="Times New Roman"/>
          <w:color w:val="000000" w:themeColor="text1"/>
          <w:sz w:val="21"/>
          <w:szCs w:val="21"/>
        </w:rPr>
        <w:t>图</w:t>
      </w:r>
      <w:r w:rsidRPr="00CF571C">
        <w:rPr>
          <w:rFonts w:ascii="Times New Roman" w:eastAsia="楷体" w:hAnsi="Times New Roman" w:cs="Times New Roman"/>
          <w:color w:val="000000" w:themeColor="text1"/>
          <w:sz w:val="21"/>
          <w:szCs w:val="21"/>
        </w:rPr>
        <w:t xml:space="preserve">4    </w:t>
      </w:r>
      <w:r w:rsidRPr="00CF571C">
        <w:rPr>
          <w:rFonts w:ascii="Times New Roman" w:eastAsia="楷体" w:hAnsi="Times New Roman" w:cs="Times New Roman"/>
          <w:color w:val="000000" w:themeColor="text1"/>
          <w:sz w:val="21"/>
          <w:szCs w:val="21"/>
        </w:rPr>
        <w:t>实证策略设计</w:t>
      </w:r>
    </w:p>
    <w:bookmarkEnd w:id="10"/>
    <w:bookmarkEnd w:id="11"/>
    <w:p w14:paraId="3EE1C2AB" w14:textId="77777777" w:rsidR="00D31D73" w:rsidRPr="00CF571C" w:rsidRDefault="00D31D73" w:rsidP="00274CC7">
      <w:pPr>
        <w:ind w:firstLineChars="200" w:firstLine="482"/>
        <w:jc w:val="both"/>
        <w:rPr>
          <w:rFonts w:ascii="Times New Roman" w:hAnsi="Times New Roman" w:cs="Times New Roman"/>
          <w:b/>
          <w:bCs/>
          <w:color w:val="000000" w:themeColor="text1"/>
        </w:rPr>
      </w:pPr>
    </w:p>
    <w:p w14:paraId="75F5E4BF" w14:textId="77777777" w:rsidR="00D31D73" w:rsidRPr="00CF571C" w:rsidRDefault="00D31D73" w:rsidP="00B15B64">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本文首先构造“城市对”数据。地级市预算支出结构受到来自省级政府的纵向</w:t>
      </w:r>
      <w:r w:rsidR="00346D17" w:rsidRPr="00CF571C">
        <w:rPr>
          <w:rFonts w:ascii="Times New Roman" w:hAnsi="Times New Roman" w:cs="Times New Roman" w:hint="eastAsia"/>
          <w:color w:val="000000" w:themeColor="text1"/>
          <w:sz w:val="21"/>
          <w:szCs w:val="21"/>
        </w:rPr>
        <w:t>统筹</w:t>
      </w:r>
      <w:r w:rsidRPr="00CF571C">
        <w:rPr>
          <w:rFonts w:ascii="Times New Roman" w:hAnsi="Times New Roman" w:cs="Times New Roman" w:hint="eastAsia"/>
          <w:color w:val="000000" w:themeColor="text1"/>
          <w:sz w:val="21"/>
          <w:szCs w:val="21"/>
        </w:rPr>
        <w:t>与政府间的横向</w:t>
      </w:r>
      <w:r w:rsidR="00346D17" w:rsidRPr="00CF571C">
        <w:rPr>
          <w:rFonts w:ascii="Times New Roman" w:hAnsi="Times New Roman" w:cs="Times New Roman" w:hint="eastAsia"/>
          <w:color w:val="000000" w:themeColor="text1"/>
          <w:sz w:val="21"/>
          <w:szCs w:val="21"/>
        </w:rPr>
        <w:t>趋同</w:t>
      </w:r>
      <w:r w:rsidRPr="00CF571C">
        <w:rPr>
          <w:rFonts w:ascii="Times New Roman" w:hAnsi="Times New Roman" w:cs="Times New Roman" w:hint="eastAsia"/>
          <w:color w:val="000000" w:themeColor="text1"/>
          <w:sz w:val="21"/>
          <w:szCs w:val="21"/>
        </w:rPr>
        <w:t>双重影响，两种类型的影响可通过“城市对”数据的构造来识别。通过将任意两城市配对，一方面对城市间的变量指标做差，可以体现城市间的预算支出结构和其他特征的差异，便于直接研究预算支出结构差异的影响因素；另一方面，我国各行政区</w:t>
      </w:r>
      <w:r w:rsidRPr="00CF571C">
        <w:rPr>
          <w:rFonts w:ascii="Times New Roman" w:hAnsi="Times New Roman" w:cs="Times New Roman" w:hint="eastAsia"/>
          <w:color w:val="000000" w:themeColor="text1"/>
          <w:sz w:val="21"/>
          <w:szCs w:val="21"/>
        </w:rPr>
        <w:lastRenderedPageBreak/>
        <w:t>之间的行政边界是划分不同行政区的界线，它使得任意两城市之间的空间关系可以通过是否跨省、是否毗邻予以描述，这种空间关系随历史沿革而来，具有天然的外生性，便于我们通过城市行政、毗邻关系研究纵向、横向因素对于预算支出结构差异的影响。此时，</w:t>
      </w:r>
      <w:r w:rsidRPr="00CF571C">
        <w:rPr>
          <w:rFonts w:ascii="Times New Roman" w:hAnsi="Times New Roman" w:cs="Times New Roman"/>
          <w:color w:val="000000" w:themeColor="text1"/>
          <w:sz w:val="21"/>
          <w:szCs w:val="21"/>
        </w:rPr>
        <w:t>任意两城市有以下四种关系：同省毗邻，同省不毗邻，异省毗邻以及异省不毗邻。</w:t>
      </w:r>
    </w:p>
    <w:p w14:paraId="7555704A" w14:textId="77777777" w:rsidR="00D31D73" w:rsidRPr="00CF571C" w:rsidRDefault="00D31D73" w:rsidP="00B15B64">
      <w:pPr>
        <w:ind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为了分离两种影响</w:t>
      </w:r>
      <w:r w:rsidRPr="00CF571C">
        <w:rPr>
          <w:rFonts w:ascii="Times New Roman" w:hAnsi="Times New Roman" w:cs="Times New Roman"/>
          <w:color w:val="000000" w:themeColor="text1"/>
          <w:sz w:val="21"/>
          <w:szCs w:val="21"/>
        </w:rPr>
        <w:t>，我们需要聚焦</w:t>
      </w:r>
      <w:r w:rsidRPr="00CF571C">
        <w:rPr>
          <w:rFonts w:ascii="Times New Roman" w:hAnsi="Times New Roman" w:cs="Times New Roman" w:hint="eastAsia"/>
          <w:color w:val="000000" w:themeColor="text1"/>
          <w:sz w:val="21"/>
          <w:szCs w:val="21"/>
        </w:rPr>
        <w:t>异省毗邻</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，该类</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有较强的特殊性。图</w:t>
      </w:r>
      <w:r w:rsidRPr="00CF571C">
        <w:rPr>
          <w:rFonts w:ascii="Times New Roman" w:hAnsi="Times New Roman" w:cs="Times New Roman"/>
          <w:color w:val="000000" w:themeColor="text1"/>
          <w:sz w:val="21"/>
          <w:szCs w:val="21"/>
        </w:rPr>
        <w:t>5</w:t>
      </w:r>
      <w:r w:rsidRPr="00CF571C">
        <w:rPr>
          <w:rFonts w:ascii="Times New Roman" w:hAnsi="Times New Roman" w:cs="Times New Roman"/>
          <w:color w:val="000000" w:themeColor="text1"/>
          <w:sz w:val="21"/>
          <w:szCs w:val="21"/>
        </w:rPr>
        <w:t>示意图中，</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B</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color w:val="000000" w:themeColor="text1"/>
          <w:sz w:val="21"/>
          <w:szCs w:val="21"/>
        </w:rPr>
        <w:t>即为一对异省毗邻</w:t>
      </w:r>
      <w:r w:rsidR="00CF7B12"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CF7B12"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，两城市跨省、交接，此时，一方面两城市毗邻交界，政府间预算支出结构可能存在横向互动；另一方面两城市所属不同省份，各自所在省级政府对其预算支出结构有不同的纵向影响。因此，这类</w:t>
      </w:r>
      <w:r w:rsidR="00CF7B12"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CF7B12"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间的预算支出结构差异同时受到纵向和横向</w:t>
      </w:r>
      <w:r w:rsidRPr="00CF571C">
        <w:rPr>
          <w:rFonts w:ascii="Times New Roman" w:hAnsi="Times New Roman" w:cs="Times New Roman" w:hint="eastAsia"/>
          <w:color w:val="000000" w:themeColor="text1"/>
          <w:sz w:val="21"/>
          <w:szCs w:val="21"/>
        </w:rPr>
        <w:t>影响</w:t>
      </w:r>
      <w:r w:rsidRPr="00CF571C">
        <w:rPr>
          <w:rFonts w:ascii="Times New Roman" w:hAnsi="Times New Roman" w:cs="Times New Roman"/>
          <w:color w:val="000000" w:themeColor="text1"/>
          <w:sz w:val="21"/>
          <w:szCs w:val="21"/>
        </w:rPr>
        <w:t>两种力量</w:t>
      </w:r>
      <w:r w:rsidRPr="00CF571C">
        <w:rPr>
          <w:rFonts w:ascii="Times New Roman" w:hAnsi="Times New Roman" w:cs="Times New Roman" w:hint="eastAsia"/>
          <w:color w:val="000000" w:themeColor="text1"/>
          <w:sz w:val="21"/>
          <w:szCs w:val="21"/>
        </w:rPr>
        <w:t>作用</w:t>
      </w:r>
      <w:r w:rsidRPr="00CF571C">
        <w:rPr>
          <w:rFonts w:ascii="Times New Roman" w:hAnsi="Times New Roman" w:cs="Times New Roman"/>
          <w:color w:val="000000" w:themeColor="text1"/>
          <w:sz w:val="21"/>
          <w:szCs w:val="21"/>
        </w:rPr>
        <w:t>，是我们重要的研究对象。通过该类样本，我们可以分解识别纵向和横向两种影响，同时也可以关注到该类样本与非异省毗邻</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相比，其预算支出差异的特殊之处。</w:t>
      </w:r>
    </w:p>
    <w:p w14:paraId="69C1BF4A" w14:textId="77777777" w:rsidR="00D31D73" w:rsidRPr="00CF571C" w:rsidRDefault="00D31D73" w:rsidP="00B15B64">
      <w:pPr>
        <w:pStyle w:val="a3"/>
        <w:ind w:left="420"/>
        <w:jc w:val="both"/>
        <w:rPr>
          <w:rFonts w:ascii="Times New Roman" w:hAnsi="Times New Roman" w:cs="Times New Roman"/>
          <w:color w:val="000000" w:themeColor="text1"/>
          <w:sz w:val="21"/>
          <w:szCs w:val="21"/>
        </w:rPr>
      </w:pPr>
    </w:p>
    <w:p w14:paraId="48D47630" w14:textId="77777777" w:rsidR="00D31D73" w:rsidRPr="00CF571C" w:rsidRDefault="00D31D73" w:rsidP="00A3298D">
      <w:pPr>
        <w:pStyle w:val="a3"/>
        <w:ind w:left="420" w:firstLineChars="0" w:firstLine="0"/>
        <w:jc w:val="center"/>
        <w:rPr>
          <w:rFonts w:ascii="Times New Roman" w:hAnsi="Times New Roman" w:cs="Times New Roman"/>
          <w:color w:val="000000" w:themeColor="text1"/>
        </w:rPr>
      </w:pPr>
      <w:r w:rsidRPr="00CF571C">
        <w:rPr>
          <w:rFonts w:ascii="Times New Roman" w:hAnsi="Times New Roman" w:cs="Times New Roman"/>
          <w:noProof/>
          <w:color w:val="000000" w:themeColor="text1"/>
        </w:rPr>
        <w:drawing>
          <wp:inline distT="0" distB="0" distL="0" distR="0" wp14:anchorId="17046911" wp14:editId="1F3F628E">
            <wp:extent cx="3030009" cy="2720208"/>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009" cy="2720208"/>
                    </a:xfrm>
                    <a:prstGeom prst="rect">
                      <a:avLst/>
                    </a:prstGeom>
                  </pic:spPr>
                </pic:pic>
              </a:graphicData>
            </a:graphic>
          </wp:inline>
        </w:drawing>
      </w:r>
    </w:p>
    <w:p w14:paraId="19C6F664" w14:textId="77777777" w:rsidR="00D31D73" w:rsidRPr="00CF571C" w:rsidRDefault="00D31D73" w:rsidP="00A3298D">
      <w:pPr>
        <w:adjustRightInd w:val="0"/>
        <w:snapToGrid w:val="0"/>
        <w:ind w:firstLineChars="200" w:firstLine="420"/>
        <w:jc w:val="center"/>
        <w:rPr>
          <w:rFonts w:ascii="Times New Roman" w:eastAsia="楷体" w:hAnsi="Times New Roman" w:cs="Times New Roman"/>
          <w:color w:val="000000" w:themeColor="text1"/>
          <w:sz w:val="21"/>
          <w:szCs w:val="21"/>
        </w:rPr>
      </w:pPr>
      <w:r w:rsidRPr="00CF571C">
        <w:rPr>
          <w:rFonts w:ascii="Times New Roman" w:eastAsia="楷体" w:hAnsi="Times New Roman" w:cs="Times New Roman"/>
          <w:color w:val="000000" w:themeColor="text1"/>
          <w:sz w:val="21"/>
          <w:szCs w:val="21"/>
        </w:rPr>
        <w:t>图</w:t>
      </w:r>
      <w:r w:rsidRPr="00CF571C">
        <w:rPr>
          <w:rFonts w:ascii="Times New Roman" w:eastAsia="楷体" w:hAnsi="Times New Roman" w:cs="Times New Roman"/>
          <w:color w:val="000000" w:themeColor="text1"/>
          <w:sz w:val="21"/>
          <w:szCs w:val="21"/>
        </w:rPr>
        <w:t>5    “</w:t>
      </w:r>
      <w:r w:rsidRPr="00CF571C">
        <w:rPr>
          <w:rFonts w:ascii="Times New Roman" w:eastAsia="楷体" w:hAnsi="Times New Roman" w:cs="Times New Roman"/>
          <w:color w:val="000000" w:themeColor="text1"/>
          <w:sz w:val="21"/>
          <w:szCs w:val="21"/>
        </w:rPr>
        <w:t>城市对</w:t>
      </w:r>
      <w:r w:rsidRPr="00CF571C">
        <w:rPr>
          <w:rFonts w:ascii="Times New Roman" w:eastAsia="楷体" w:hAnsi="Times New Roman" w:cs="Times New Roman"/>
          <w:color w:val="000000" w:themeColor="text1"/>
          <w:sz w:val="21"/>
          <w:szCs w:val="21"/>
        </w:rPr>
        <w:t>”</w:t>
      </w:r>
      <w:r w:rsidRPr="00CF571C">
        <w:rPr>
          <w:rFonts w:ascii="Times New Roman" w:eastAsia="楷体" w:hAnsi="Times New Roman" w:cs="Times New Roman"/>
          <w:color w:val="000000" w:themeColor="text1"/>
          <w:sz w:val="21"/>
          <w:szCs w:val="21"/>
        </w:rPr>
        <w:t>示意图</w:t>
      </w:r>
    </w:p>
    <w:p w14:paraId="00E723D6" w14:textId="77777777" w:rsidR="00D31D73" w:rsidRPr="00CF571C" w:rsidRDefault="00D31D73" w:rsidP="004B4817">
      <w:pPr>
        <w:ind w:firstLine="420"/>
        <w:jc w:val="both"/>
        <w:rPr>
          <w:rFonts w:ascii="Times New Roman" w:hAnsi="Times New Roman" w:cs="Times New Roman"/>
          <w:color w:val="000000" w:themeColor="text1"/>
          <w:sz w:val="21"/>
          <w:szCs w:val="21"/>
        </w:rPr>
      </w:pPr>
      <w:bookmarkStart w:id="12" w:name="OLE_LINK35"/>
      <w:bookmarkStart w:id="13" w:name="OLE_LINK36"/>
    </w:p>
    <w:p w14:paraId="3E56837D" w14:textId="77777777" w:rsidR="00D31D73" w:rsidRPr="00CF571C" w:rsidRDefault="00D31D73" w:rsidP="004B4817">
      <w:pPr>
        <w:ind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具体来看，</w:t>
      </w:r>
      <w:r w:rsidRPr="00CF571C">
        <w:rPr>
          <w:rFonts w:ascii="Times New Roman" w:hAnsi="Times New Roman" w:cs="Times New Roman" w:hint="eastAsia"/>
          <w:color w:val="000000" w:themeColor="text1"/>
          <w:sz w:val="21"/>
          <w:szCs w:val="21"/>
        </w:rPr>
        <w:t>如图</w:t>
      </w:r>
      <w:r w:rsidRPr="00CF571C">
        <w:rPr>
          <w:rFonts w:ascii="Times New Roman" w:hAnsi="Times New Roman" w:cs="Times New Roman"/>
          <w:color w:val="000000" w:themeColor="text1"/>
          <w:sz w:val="21"/>
          <w:szCs w:val="21"/>
        </w:rPr>
        <w:t>6</w:t>
      </w:r>
      <w:r w:rsidRPr="00CF571C">
        <w:rPr>
          <w:rFonts w:ascii="Times New Roman" w:hAnsi="Times New Roman" w:cs="Times New Roman" w:hint="eastAsia"/>
          <w:color w:val="000000" w:themeColor="text1"/>
          <w:sz w:val="21"/>
          <w:szCs w:val="21"/>
        </w:rPr>
        <w:t>所示，通过两次匹配进行纵向和横向影响的识别。</w:t>
      </w:r>
    </w:p>
    <w:p w14:paraId="17FF157A" w14:textId="77777777" w:rsidR="00D31D73" w:rsidRPr="00CF571C" w:rsidRDefault="00D31D73" w:rsidP="004B4817">
      <w:pPr>
        <w:ind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对于纵向影响，需要对比异省毗邻</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与同省毗邻</w:t>
      </w:r>
      <w:r w:rsidR="00EF28F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EF28F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的预算支出差异。如图所示，</w:t>
      </w:r>
      <w:r w:rsidRPr="00CF571C">
        <w:rPr>
          <w:rFonts w:ascii="Times New Roman" w:hAnsi="Times New Roman" w:cs="Times New Roman" w:hint="eastAsia"/>
          <w:color w:val="000000" w:themeColor="text1"/>
          <w:sz w:val="21"/>
          <w:szCs w:val="21"/>
        </w:rPr>
        <w:t>在所有同省毗邻“城市对”样本池中，通过一系列经济、财政、民生、环境以及地理特征指标进行筛选，筛选出以上指标特征与处理组</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B</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hint="eastAsia"/>
          <w:color w:val="000000" w:themeColor="text1"/>
          <w:sz w:val="21"/>
          <w:szCs w:val="21"/>
        </w:rPr>
        <w:t>相似的对照组“城市对”——</w:t>
      </w:r>
      <w:r w:rsidRPr="00CF571C">
        <w:rPr>
          <w:rFonts w:ascii="Times New Roman" w:hAnsi="Times New Roman" w:cs="Times New Roman" w:hint="eastAsia"/>
          <w:color w:val="000000" w:themeColor="text1"/>
          <w:sz w:val="21"/>
          <w:szCs w:val="21"/>
        </w:rPr>
        <w:t>A</w:t>
      </w:r>
      <w:r w:rsidRPr="00CF571C">
        <w:rPr>
          <w:rFonts w:ascii="Times New Roman" w:hAnsi="Times New Roman" w:cs="Times New Roman" w:hint="eastAsia"/>
          <w:color w:val="000000" w:themeColor="text1"/>
          <w:sz w:val="21"/>
          <w:szCs w:val="21"/>
          <w:vertAlign w:val="subscript"/>
        </w:rPr>
        <w:t>2</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3</w:t>
      </w:r>
      <w:r w:rsidRPr="00CF571C">
        <w:rPr>
          <w:rFonts w:ascii="Times New Roman" w:hAnsi="Times New Roman" w:cs="Times New Roman" w:hint="eastAsia"/>
          <w:color w:val="000000" w:themeColor="text1"/>
          <w:sz w:val="21"/>
          <w:szCs w:val="21"/>
        </w:rPr>
        <w:t>。对于对照组</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2</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3</w:t>
      </w:r>
      <w:r w:rsidRPr="00CF571C">
        <w:rPr>
          <w:rFonts w:ascii="Times New Roman" w:hAnsi="Times New Roman" w:cs="Times New Roman" w:hint="eastAsia"/>
          <w:color w:val="000000" w:themeColor="text1"/>
          <w:sz w:val="21"/>
          <w:szCs w:val="21"/>
        </w:rPr>
        <w:t>来说，两</w:t>
      </w:r>
      <w:r w:rsidRPr="00CF571C">
        <w:rPr>
          <w:rFonts w:ascii="Times New Roman" w:hAnsi="Times New Roman" w:cs="Times New Roman"/>
          <w:color w:val="000000" w:themeColor="text1"/>
          <w:sz w:val="21"/>
          <w:szCs w:val="21"/>
        </w:rPr>
        <w:t>城市所属同一省份，同时搭界毗邻</w:t>
      </w:r>
      <w:r w:rsidRPr="00CF571C">
        <w:rPr>
          <w:rFonts w:ascii="Times New Roman" w:hAnsi="Times New Roman" w:cs="Times New Roman" w:hint="eastAsia"/>
          <w:color w:val="000000" w:themeColor="text1"/>
          <w:sz w:val="21"/>
          <w:szCs w:val="21"/>
        </w:rPr>
        <w:t>，且各项指标特征与处理组相似</w:t>
      </w:r>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此时，两组</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城市对</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相比较，唯一的区别是两城市是否跨省，因而可以识别省级政府对地级市预算支出差异的纵向影响。</w:t>
      </w:r>
    </w:p>
    <w:p w14:paraId="2FE797B4" w14:textId="77777777" w:rsidR="00D31D73" w:rsidRPr="00CF571C" w:rsidRDefault="00D31D73" w:rsidP="004B4817">
      <w:pPr>
        <w:ind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对于横向影响，需要对比异省毗邻</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城市对</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与异省不毗邻</w:t>
      </w:r>
      <w:r w:rsidR="00EF28F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EF28F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的预算支出差异。如图所示，</w:t>
      </w:r>
      <w:r w:rsidRPr="00CF571C">
        <w:rPr>
          <w:rFonts w:ascii="Times New Roman" w:hAnsi="Times New Roman" w:cs="Times New Roman" w:hint="eastAsia"/>
          <w:color w:val="000000" w:themeColor="text1"/>
          <w:sz w:val="21"/>
          <w:szCs w:val="21"/>
        </w:rPr>
        <w:t>在所有异省不毗邻“城市对”样本池中，通过一系列经济、财政、民生、环境以及地理特征指标进行筛选，筛选出以上指标特征与处理组</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B</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hint="eastAsia"/>
          <w:color w:val="000000" w:themeColor="text1"/>
          <w:sz w:val="21"/>
          <w:szCs w:val="21"/>
        </w:rPr>
        <w:t>相似的对照组“城市对”——</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3</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B</w:t>
      </w:r>
      <w:r w:rsidRPr="00CF571C">
        <w:rPr>
          <w:rFonts w:ascii="Times New Roman" w:hAnsi="Times New Roman" w:cs="Times New Roman"/>
          <w:color w:val="000000" w:themeColor="text1"/>
          <w:sz w:val="21"/>
          <w:szCs w:val="21"/>
          <w:vertAlign w:val="subscript"/>
        </w:rPr>
        <w:t>2</w:t>
      </w:r>
      <w:r w:rsidRPr="00CF571C">
        <w:rPr>
          <w:rFonts w:ascii="Times New Roman" w:hAnsi="Times New Roman" w:cs="Times New Roman" w:hint="eastAsia"/>
          <w:color w:val="000000" w:themeColor="text1"/>
          <w:sz w:val="21"/>
          <w:szCs w:val="21"/>
        </w:rPr>
        <w:t>。对于对照组</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3</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B</w:t>
      </w:r>
      <w:r w:rsidRPr="00CF571C">
        <w:rPr>
          <w:rFonts w:ascii="Times New Roman" w:hAnsi="Times New Roman" w:cs="Times New Roman"/>
          <w:color w:val="000000" w:themeColor="text1"/>
          <w:sz w:val="21"/>
          <w:szCs w:val="21"/>
          <w:vertAlign w:val="subscript"/>
        </w:rPr>
        <w:t>2</w:t>
      </w:r>
      <w:r w:rsidRPr="00CF571C">
        <w:rPr>
          <w:rFonts w:ascii="Times New Roman" w:hAnsi="Times New Roman" w:cs="Times New Roman" w:hint="eastAsia"/>
          <w:color w:val="000000" w:themeColor="text1"/>
          <w:sz w:val="21"/>
          <w:szCs w:val="21"/>
        </w:rPr>
        <w:t>来说</w:t>
      </w:r>
      <w:r w:rsidRPr="00CF571C">
        <w:rPr>
          <w:rFonts w:ascii="Times New Roman" w:hAnsi="Times New Roman" w:cs="Times New Roman"/>
          <w:color w:val="000000" w:themeColor="text1"/>
          <w:sz w:val="21"/>
          <w:szCs w:val="21"/>
        </w:rPr>
        <w:t>两城市所属不同省份，也不存在毗邻关系</w:t>
      </w:r>
      <w:r w:rsidRPr="00CF571C">
        <w:rPr>
          <w:rFonts w:ascii="Times New Roman" w:hAnsi="Times New Roman" w:cs="Times New Roman" w:hint="eastAsia"/>
          <w:color w:val="000000" w:themeColor="text1"/>
          <w:sz w:val="21"/>
          <w:szCs w:val="21"/>
        </w:rPr>
        <w:t>，且各项指标特征与处理组</w:t>
      </w:r>
      <w:r w:rsidRPr="00CF571C">
        <w:rPr>
          <w:rFonts w:ascii="Times New Roman" w:hAnsi="Times New Roman" w:cs="Times New Roman"/>
          <w:color w:val="000000" w:themeColor="text1"/>
          <w:sz w:val="21"/>
          <w:szCs w:val="21"/>
        </w:rPr>
        <w:t>A</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color w:val="000000" w:themeColor="text1"/>
          <w:sz w:val="21"/>
          <w:szCs w:val="21"/>
        </w:rPr>
        <w:t>和</w:t>
      </w:r>
      <w:r w:rsidRPr="00CF571C">
        <w:rPr>
          <w:rFonts w:ascii="Times New Roman" w:hAnsi="Times New Roman" w:cs="Times New Roman"/>
          <w:color w:val="000000" w:themeColor="text1"/>
          <w:sz w:val="21"/>
          <w:szCs w:val="21"/>
        </w:rPr>
        <w:t>B</w:t>
      </w:r>
      <w:r w:rsidRPr="00CF571C">
        <w:rPr>
          <w:rFonts w:ascii="Times New Roman" w:hAnsi="Times New Roman" w:cs="Times New Roman"/>
          <w:color w:val="000000" w:themeColor="text1"/>
          <w:sz w:val="21"/>
          <w:szCs w:val="21"/>
          <w:vertAlign w:val="subscript"/>
        </w:rPr>
        <w:t>1</w:t>
      </w:r>
      <w:r w:rsidRPr="00CF571C">
        <w:rPr>
          <w:rFonts w:ascii="Times New Roman" w:hAnsi="Times New Roman" w:cs="Times New Roman" w:hint="eastAsia"/>
          <w:color w:val="000000" w:themeColor="text1"/>
          <w:sz w:val="21"/>
          <w:szCs w:val="21"/>
        </w:rPr>
        <w:t>相似</w:t>
      </w:r>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此时，两组“城市对”</w:t>
      </w:r>
      <w:r w:rsidRPr="00CF571C">
        <w:rPr>
          <w:rFonts w:ascii="Times New Roman" w:hAnsi="Times New Roman" w:cs="Times New Roman"/>
          <w:color w:val="000000" w:themeColor="text1"/>
          <w:sz w:val="21"/>
          <w:szCs w:val="21"/>
        </w:rPr>
        <w:t>唯一的区别是两城市是否毗邻，因而可以识别地理毗邻对地级市预算支出差异的横向影响。</w:t>
      </w:r>
    </w:p>
    <w:p w14:paraId="62B39893" w14:textId="77777777" w:rsidR="00D31D73" w:rsidRPr="00CF571C" w:rsidRDefault="00D31D73" w:rsidP="004B4817">
      <w:pPr>
        <w:ind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在对纵向和横向影响分别进行识别后，我们可以进一步对比教育、科技、医疗卫生以及社会保障等预算支出类型所受影响大小的区别。以此研究异省毗邻城市间，在两种力量同时影响的情况下，其预算差异是否有特殊之处。</w:t>
      </w:r>
      <w:bookmarkEnd w:id="12"/>
      <w:bookmarkEnd w:id="13"/>
    </w:p>
    <w:p w14:paraId="1EF1247C" w14:textId="77777777" w:rsidR="004B7FEA" w:rsidRPr="00CF571C" w:rsidRDefault="004B7FEA" w:rsidP="004B4817">
      <w:pPr>
        <w:ind w:firstLine="420"/>
        <w:jc w:val="both"/>
        <w:rPr>
          <w:rFonts w:ascii="Times New Roman" w:hAnsi="Times New Roman" w:cs="Times New Roman"/>
          <w:color w:val="000000" w:themeColor="text1"/>
          <w:sz w:val="21"/>
          <w:szCs w:val="21"/>
        </w:rPr>
      </w:pPr>
      <w:r w:rsidRPr="00CF571C">
        <w:rPr>
          <w:rFonts w:ascii="Times New Roman" w:hAnsi="Times New Roman" w:cs="Times New Roman"/>
          <w:b/>
          <w:bCs/>
          <w:noProof/>
          <w:color w:val="000000" w:themeColor="text1"/>
          <w:sz w:val="21"/>
          <w:szCs w:val="21"/>
        </w:rPr>
        <w:lastRenderedPageBreak/>
        <w:drawing>
          <wp:anchor distT="0" distB="0" distL="114300" distR="114300" simplePos="0" relativeHeight="251664384" behindDoc="0" locked="0" layoutInCell="1" allowOverlap="1" wp14:anchorId="5DB4AFF6" wp14:editId="77CF4A0E">
            <wp:simplePos x="0" y="0"/>
            <wp:positionH relativeFrom="column">
              <wp:posOffset>5080</wp:posOffset>
            </wp:positionH>
            <wp:positionV relativeFrom="paragraph">
              <wp:posOffset>217805</wp:posOffset>
            </wp:positionV>
            <wp:extent cx="5349240" cy="266827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9240" cy="2668270"/>
                    </a:xfrm>
                    <a:prstGeom prst="rect">
                      <a:avLst/>
                    </a:prstGeom>
                  </pic:spPr>
                </pic:pic>
              </a:graphicData>
            </a:graphic>
          </wp:anchor>
        </w:drawing>
      </w:r>
    </w:p>
    <w:p w14:paraId="24115DCC" w14:textId="77777777" w:rsidR="00D31D73" w:rsidRPr="00CF571C" w:rsidRDefault="00D31D73" w:rsidP="00F63F96">
      <w:pPr>
        <w:adjustRightInd w:val="0"/>
        <w:snapToGrid w:val="0"/>
        <w:ind w:firstLineChars="200" w:firstLine="420"/>
        <w:jc w:val="center"/>
        <w:rPr>
          <w:rFonts w:ascii="Times New Roman" w:eastAsia="楷体" w:hAnsi="Times New Roman" w:cs="Times New Roman"/>
          <w:color w:val="000000" w:themeColor="text1"/>
          <w:sz w:val="21"/>
          <w:szCs w:val="21"/>
        </w:rPr>
      </w:pPr>
      <w:r w:rsidRPr="00CF571C">
        <w:rPr>
          <w:rFonts w:ascii="Times New Roman" w:eastAsia="楷体" w:hAnsi="Times New Roman" w:cs="Times New Roman"/>
          <w:color w:val="000000" w:themeColor="text1"/>
          <w:sz w:val="21"/>
          <w:szCs w:val="21"/>
        </w:rPr>
        <w:t>图</w:t>
      </w:r>
      <w:r w:rsidRPr="00CF571C">
        <w:rPr>
          <w:rFonts w:ascii="Times New Roman" w:eastAsia="楷体" w:hAnsi="Times New Roman" w:cs="Times New Roman"/>
          <w:color w:val="000000" w:themeColor="text1"/>
          <w:sz w:val="21"/>
          <w:szCs w:val="21"/>
        </w:rPr>
        <w:t xml:space="preserve">6    </w:t>
      </w:r>
      <w:r w:rsidRPr="00CF571C">
        <w:rPr>
          <w:rFonts w:ascii="Times New Roman" w:eastAsia="楷体" w:hAnsi="Times New Roman" w:cs="Times New Roman"/>
          <w:color w:val="000000" w:themeColor="text1"/>
          <w:sz w:val="21"/>
          <w:szCs w:val="21"/>
        </w:rPr>
        <w:t>匹配机制示意图</w:t>
      </w:r>
    </w:p>
    <w:p w14:paraId="49483027" w14:textId="77777777" w:rsidR="00D31D73" w:rsidRPr="00CF571C" w:rsidRDefault="00D31D73" w:rsidP="00741E5D">
      <w:pPr>
        <w:jc w:val="both"/>
        <w:rPr>
          <w:rFonts w:ascii="Times New Roman" w:hAnsi="Times New Roman" w:cs="Times New Roman"/>
          <w:b/>
          <w:bCs/>
          <w:color w:val="000000" w:themeColor="text1"/>
        </w:rPr>
      </w:pPr>
    </w:p>
    <w:p w14:paraId="716C2839" w14:textId="77777777" w:rsidR="00D31D73" w:rsidRPr="00CF571C" w:rsidRDefault="004E46D7"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（二）</w:t>
      </w:r>
      <w:r w:rsidR="00D31D73" w:rsidRPr="00CF571C">
        <w:rPr>
          <w:rFonts w:ascii="黑体" w:eastAsia="黑体" w:hAnsi="黑体" w:cs="Times New Roman" w:hint="eastAsia"/>
          <w:color w:val="000000" w:themeColor="text1"/>
          <w:sz w:val="21"/>
          <w:szCs w:val="21"/>
        </w:rPr>
        <w:t>模型构建</w:t>
      </w:r>
    </w:p>
    <w:p w14:paraId="5D500DAA" w14:textId="77777777" w:rsidR="00D31D73" w:rsidRPr="00CF571C" w:rsidRDefault="00D31D73" w:rsidP="00297C78">
      <w:pPr>
        <w:adjustRightInd w:val="0"/>
        <w:snapToGrid w:val="0"/>
        <w:ind w:firstLineChars="200" w:firstLine="422"/>
        <w:rPr>
          <w:rFonts w:ascii="Times New Roman" w:hAnsi="Times New Roman" w:cs="Times New Roman"/>
          <w:color w:val="000000" w:themeColor="text1"/>
          <w:sz w:val="21"/>
          <w:szCs w:val="21"/>
        </w:rPr>
      </w:pPr>
      <w:bookmarkStart w:id="14" w:name="OLE_LINK43"/>
      <w:bookmarkStart w:id="15" w:name="OLE_LINK44"/>
      <w:r w:rsidRPr="00CF571C">
        <w:rPr>
          <w:rFonts w:ascii="Times New Roman" w:hAnsi="Times New Roman" w:cs="Times New Roman" w:hint="eastAsia"/>
          <w:b/>
          <w:bCs/>
          <w:color w:val="000000" w:themeColor="text1"/>
          <w:sz w:val="21"/>
          <w:szCs w:val="21"/>
        </w:rPr>
        <w:t>1</w:t>
      </w:r>
      <w:r w:rsidRPr="00CF571C">
        <w:rPr>
          <w:rFonts w:ascii="Times New Roman" w:hAnsi="Times New Roman" w:cs="Times New Roman"/>
          <w:b/>
          <w:bCs/>
          <w:color w:val="000000" w:themeColor="text1"/>
          <w:sz w:val="21"/>
          <w:szCs w:val="21"/>
        </w:rPr>
        <w:t>.</w:t>
      </w:r>
      <w:r w:rsidRPr="00CF571C">
        <w:rPr>
          <w:rFonts w:ascii="Times New Roman" w:hAnsi="Times New Roman" w:cs="Times New Roman" w:hint="eastAsia"/>
          <w:b/>
          <w:bCs/>
          <w:color w:val="000000" w:themeColor="text1"/>
          <w:sz w:val="21"/>
          <w:szCs w:val="21"/>
        </w:rPr>
        <w:t>夏普利值分解法</w:t>
      </w:r>
      <w:r w:rsidR="00297C78" w:rsidRPr="00CF571C">
        <w:rPr>
          <w:rFonts w:ascii="Times New Roman" w:hAnsi="Times New Roman" w:cs="Times New Roman" w:hint="eastAsia"/>
          <w:b/>
          <w:bCs/>
          <w:color w:val="000000" w:themeColor="text1"/>
          <w:sz w:val="21"/>
          <w:szCs w:val="21"/>
        </w:rPr>
        <w:t>。</w:t>
      </w:r>
      <w:bookmarkStart w:id="16" w:name="OLE_LINK39"/>
      <w:bookmarkStart w:id="17" w:name="OLE_LINK40"/>
      <w:bookmarkEnd w:id="14"/>
      <w:bookmarkEnd w:id="15"/>
      <w:r w:rsidRPr="00CF571C">
        <w:rPr>
          <w:rFonts w:ascii="Times New Roman" w:hAnsi="Times New Roman" w:cs="Times New Roman" w:hint="eastAsia"/>
          <w:color w:val="000000" w:themeColor="text1"/>
          <w:sz w:val="21"/>
          <w:szCs w:val="21"/>
        </w:rPr>
        <w:t>本文使用的夏普利值分解法对纵向和横向两种影响的存在性予以确认。</w:t>
      </w:r>
      <w:bookmarkEnd w:id="16"/>
      <w:bookmarkEnd w:id="17"/>
      <w:r w:rsidRPr="00CF571C">
        <w:rPr>
          <w:rFonts w:ascii="Times New Roman" w:hAnsi="Times New Roman" w:cs="Times New Roman"/>
          <w:color w:val="000000" w:themeColor="text1"/>
          <w:sz w:val="21"/>
          <w:szCs w:val="21"/>
        </w:rPr>
        <w:t>根据</w:t>
      </w:r>
      <w:r w:rsidRPr="00CF571C">
        <w:rPr>
          <w:rFonts w:ascii="Times New Roman" w:hAnsi="Times New Roman" w:cs="Times New Roman"/>
          <w:color w:val="000000" w:themeColor="text1"/>
          <w:sz w:val="21"/>
          <w:szCs w:val="21"/>
        </w:rPr>
        <w:t>Shorrocks</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2013</w:t>
      </w:r>
      <w:r w:rsidRPr="00CF571C">
        <w:rPr>
          <w:rFonts w:ascii="Times New Roman" w:hAnsi="Times New Roman" w:cs="Times New Roman"/>
          <w:color w:val="000000" w:themeColor="text1"/>
          <w:sz w:val="21"/>
          <w:szCs w:val="21"/>
        </w:rPr>
        <w:t>），当一个指标</w:t>
      </w:r>
      <w:r w:rsidRPr="00CF571C">
        <w:rPr>
          <w:rFonts w:ascii="Times New Roman" w:hAnsi="Times New Roman" w:cs="Times New Roman"/>
          <w:color w:val="000000" w:themeColor="text1"/>
          <w:sz w:val="21"/>
          <w:szCs w:val="21"/>
        </w:rPr>
        <w:t>Y</w:t>
      </w:r>
      <w:r w:rsidRPr="00CF571C">
        <w:rPr>
          <w:rFonts w:ascii="Times New Roman" w:hAnsi="Times New Roman" w:cs="Times New Roman"/>
          <w:color w:val="000000" w:themeColor="text1"/>
          <w:sz w:val="21"/>
          <w:szCs w:val="21"/>
        </w:rPr>
        <w:t>，其指标数值由</w:t>
      </w:r>
      <w:r w:rsidRPr="00CF571C">
        <w:rPr>
          <w:rFonts w:ascii="Times New Roman" w:hAnsi="Times New Roman" w:cs="Times New Roman"/>
          <w:color w:val="000000" w:themeColor="text1"/>
          <w:sz w:val="21"/>
          <w:szCs w:val="21"/>
        </w:rPr>
        <w:t>n</w:t>
      </w:r>
      <w:r w:rsidRPr="00CF571C">
        <w:rPr>
          <w:rFonts w:ascii="Times New Roman" w:hAnsi="Times New Roman" w:cs="Times New Roman"/>
          <w:color w:val="000000" w:themeColor="text1"/>
          <w:sz w:val="21"/>
          <w:szCs w:val="21"/>
        </w:rPr>
        <w:t>个因素的集合</w:t>
      </w:r>
      <w:r w:rsidRPr="00CF571C">
        <w:rPr>
          <w:rFonts w:ascii="Times New Roman" w:hAnsi="Times New Roman" w:cs="Times New Roman" w:hint="eastAsia"/>
          <w:color w:val="000000" w:themeColor="text1"/>
          <w:sz w:val="21"/>
          <w:szCs w:val="21"/>
        </w:rPr>
        <w:t>Z</w:t>
      </w:r>
      <w:r w:rsidRPr="00CF571C">
        <w:rPr>
          <w:rFonts w:ascii="Times New Roman" w:hAnsi="Times New Roman" w:cs="Times New Roman"/>
          <w:color w:val="000000" w:themeColor="text1"/>
          <w:sz w:val="21"/>
          <w:szCs w:val="21"/>
        </w:rPr>
        <w:t>决定时，在集合</w:t>
      </w:r>
      <w:r w:rsidRPr="00CF571C">
        <w:rPr>
          <w:rFonts w:ascii="Times New Roman" w:hAnsi="Times New Roman" w:cs="Times New Roman"/>
          <w:color w:val="000000" w:themeColor="text1"/>
          <w:sz w:val="21"/>
          <w:szCs w:val="21"/>
        </w:rPr>
        <w:t>Z</w:t>
      </w:r>
      <w:r w:rsidRPr="00CF571C">
        <w:rPr>
          <w:rFonts w:ascii="Times New Roman" w:hAnsi="Times New Roman" w:cs="Times New Roman"/>
          <w:color w:val="000000" w:themeColor="text1"/>
          <w:sz w:val="21"/>
          <w:szCs w:val="21"/>
        </w:rPr>
        <w:t>中剔除任意一个因素都会对</w:t>
      </w:r>
      <w:r w:rsidRPr="00CF571C">
        <w:rPr>
          <w:rFonts w:ascii="Times New Roman" w:hAnsi="Times New Roman" w:cs="Times New Roman"/>
          <w:color w:val="000000" w:themeColor="text1"/>
          <w:sz w:val="21"/>
          <w:szCs w:val="21"/>
        </w:rPr>
        <w:t>Y</w:t>
      </w:r>
      <w:r w:rsidRPr="00CF571C">
        <w:rPr>
          <w:rFonts w:ascii="Times New Roman" w:hAnsi="Times New Roman" w:cs="Times New Roman"/>
          <w:color w:val="000000" w:themeColor="text1"/>
          <w:sz w:val="21"/>
          <w:szCs w:val="21"/>
        </w:rPr>
        <w:t>的差异产生边际贡献，将该因素所有剔除路径纳入考虑，其均值即为该因素对指标</w:t>
      </w:r>
      <w:r w:rsidRPr="00CF571C">
        <w:rPr>
          <w:rFonts w:ascii="Times New Roman" w:hAnsi="Times New Roman" w:cs="Times New Roman"/>
          <w:color w:val="000000" w:themeColor="text1"/>
          <w:sz w:val="21"/>
          <w:szCs w:val="21"/>
        </w:rPr>
        <w:t>Y</w:t>
      </w:r>
      <w:r w:rsidRPr="00CF571C">
        <w:rPr>
          <w:rFonts w:ascii="Times New Roman" w:hAnsi="Times New Roman" w:cs="Times New Roman"/>
          <w:color w:val="000000" w:themeColor="text1"/>
          <w:sz w:val="21"/>
          <w:szCs w:val="21"/>
        </w:rPr>
        <w:t>差异产生的贡献。</w:t>
      </w:r>
    </w:p>
    <w:p w14:paraId="63290F71" w14:textId="77777777" w:rsidR="00D31D73" w:rsidRPr="00CF571C" w:rsidRDefault="00D31D73" w:rsidP="00535625">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具体到本研究当中，</w:t>
      </w:r>
      <w:r w:rsidRPr="00CF571C">
        <w:rPr>
          <w:rFonts w:ascii="Times New Roman" w:hAnsi="Times New Roman" w:cs="Times New Roman" w:hint="eastAsia"/>
          <w:color w:val="000000" w:themeColor="text1"/>
          <w:sz w:val="21"/>
          <w:szCs w:val="21"/>
        </w:rPr>
        <w:t>我们通过地方预算支出差异影响方程得到一个预算支出影响因素集合</w:t>
      </w:r>
      <w:r w:rsidRPr="00CF571C">
        <w:rPr>
          <w:rFonts w:ascii="Times New Roman" w:hAnsi="Times New Roman" w:cs="Times New Roman"/>
          <w:color w:val="000000" w:themeColor="text1"/>
          <w:sz w:val="21"/>
          <w:szCs w:val="21"/>
        </w:rPr>
        <w:t>Z</w:t>
      </w:r>
      <w:r w:rsidRPr="00CF571C">
        <w:rPr>
          <w:rFonts w:ascii="Times New Roman" w:hAnsi="Times New Roman" w:cs="Times New Roman" w:hint="eastAsia"/>
          <w:color w:val="000000" w:themeColor="text1"/>
          <w:sz w:val="21"/>
          <w:szCs w:val="21"/>
        </w:rPr>
        <w:t>，其中包含市级因素指标</w:t>
      </w:r>
      <w:r w:rsidRPr="00CF571C">
        <w:rPr>
          <w:rFonts w:ascii="Times New Roman" w:hAnsi="Times New Roman" w:cs="Times New Roman"/>
          <w:color w:val="000000" w:themeColor="text1"/>
          <w:sz w:val="21"/>
          <w:szCs w:val="21"/>
        </w:rPr>
        <w:t>（以</w:t>
      </w:r>
      <w:r w:rsidRPr="00CF571C">
        <w:rPr>
          <w:rFonts w:ascii="Times New Roman" w:hAnsi="Times New Roman" w:cs="Times New Roman"/>
          <w:color w:val="000000" w:themeColor="text1"/>
          <w:sz w:val="21"/>
          <w:szCs w:val="21"/>
        </w:rPr>
        <w:t>X</w:t>
      </w:r>
      <w:r w:rsidRPr="00CF571C">
        <w:rPr>
          <w:rFonts w:ascii="Times New Roman" w:hAnsi="Times New Roman" w:cs="Times New Roman"/>
          <w:color w:val="000000" w:themeColor="text1"/>
          <w:sz w:val="21"/>
          <w:szCs w:val="21"/>
        </w:rPr>
        <w:t>代表）</w:t>
      </w:r>
      <w:r w:rsidRPr="00CF571C">
        <w:rPr>
          <w:rFonts w:ascii="Times New Roman" w:hAnsi="Times New Roman" w:cs="Times New Roman" w:hint="eastAsia"/>
          <w:color w:val="000000" w:themeColor="text1"/>
          <w:sz w:val="21"/>
          <w:szCs w:val="21"/>
        </w:rPr>
        <w:t>，省级因素指标（</w:t>
      </w:r>
      <w:r w:rsidRPr="00CF571C">
        <w:rPr>
          <w:rFonts w:ascii="Times New Roman" w:hAnsi="Times New Roman" w:cs="Times New Roman"/>
          <w:color w:val="000000" w:themeColor="text1"/>
          <w:sz w:val="21"/>
          <w:szCs w:val="21"/>
        </w:rPr>
        <w:t>以</w:t>
      </w:r>
      <w:r w:rsidRPr="00CF571C">
        <w:rPr>
          <w:rFonts w:ascii="Times New Roman" w:hAnsi="Times New Roman" w:cs="Times New Roman" w:hint="eastAsia"/>
          <w:color w:val="000000" w:themeColor="text1"/>
          <w:sz w:val="21"/>
          <w:szCs w:val="21"/>
        </w:rPr>
        <w:t>K</w:t>
      </w:r>
      <w:r w:rsidRPr="00CF571C">
        <w:rPr>
          <w:rFonts w:ascii="Times New Roman" w:hAnsi="Times New Roman" w:cs="Times New Roman" w:hint="eastAsia"/>
          <w:color w:val="000000" w:themeColor="text1"/>
          <w:sz w:val="21"/>
          <w:szCs w:val="21"/>
        </w:rPr>
        <w:t>为</w:t>
      </w:r>
      <w:r w:rsidRPr="00CF571C">
        <w:rPr>
          <w:rFonts w:ascii="Times New Roman" w:hAnsi="Times New Roman" w:cs="Times New Roman"/>
          <w:color w:val="000000" w:themeColor="text1"/>
          <w:sz w:val="21"/>
          <w:szCs w:val="21"/>
        </w:rPr>
        <w:t>代表</w:t>
      </w:r>
      <w:r w:rsidRPr="00CF571C">
        <w:rPr>
          <w:rFonts w:ascii="Times New Roman" w:hAnsi="Times New Roman" w:cs="Times New Roman" w:hint="eastAsia"/>
          <w:color w:val="000000" w:themeColor="text1"/>
          <w:sz w:val="21"/>
          <w:szCs w:val="21"/>
        </w:rPr>
        <w:t>），地理距离指标（以</w:t>
      </w:r>
      <w:r w:rsidRPr="00CF571C">
        <w:rPr>
          <w:rFonts w:ascii="Times New Roman" w:hAnsi="Times New Roman" w:cs="Times New Roman"/>
          <w:color w:val="000000" w:themeColor="text1"/>
          <w:sz w:val="21"/>
          <w:szCs w:val="21"/>
        </w:rPr>
        <w:t>A</w:t>
      </w:r>
      <w:r w:rsidRPr="00CF571C">
        <w:rPr>
          <w:rFonts w:ascii="Times New Roman" w:hAnsi="Times New Roman" w:cs="Times New Roman" w:hint="eastAsia"/>
          <w:color w:val="000000" w:themeColor="text1"/>
          <w:sz w:val="21"/>
          <w:szCs w:val="21"/>
        </w:rPr>
        <w:t>为代表）。则</w:t>
      </w:r>
      <w:r w:rsidRPr="00CF571C">
        <w:rPr>
          <w:rFonts w:ascii="Times New Roman" w:hAnsi="Times New Roman" w:hint="eastAsia"/>
          <w:color w:val="000000" w:themeColor="text1"/>
          <w:sz w:val="21"/>
          <w:szCs w:val="21"/>
        </w:rPr>
        <w:t>即</w:t>
      </w:r>
      <w:r w:rsidRPr="00CF571C">
        <w:rPr>
          <w:rFonts w:ascii="Times New Roman" w:hAnsi="Times New Roman"/>
          <w:color w:val="000000" w:themeColor="text1"/>
          <w:sz w:val="21"/>
          <w:szCs w:val="21"/>
        </w:rPr>
        <w:t>Z</w:t>
      </w:r>
      <w:r w:rsidRPr="00CF571C">
        <w:rPr>
          <w:rFonts w:ascii="Times New Roman" w:hAnsi="Times New Roman" w:hint="eastAsia"/>
          <w:color w:val="000000" w:themeColor="text1"/>
          <w:sz w:val="21"/>
          <w:szCs w:val="21"/>
        </w:rPr>
        <w:t>={</w:t>
      </w:r>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X</m:t>
            </m:r>
            <m:ctrlPr>
              <w:rPr>
                <w:rFonts w:ascii="Cambria Math" w:hAnsi="Cambria Math" w:hint="eastAsia"/>
                <w:color w:val="000000" w:themeColor="text1"/>
                <w:sz w:val="21"/>
                <w:szCs w:val="21"/>
              </w:rPr>
            </m:ctrlPr>
          </m:e>
          <m:sub>
            <m:r>
              <w:rPr>
                <w:rFonts w:ascii="Cambria Math" w:hAnsi="Cambria Math" w:hint="eastAsia"/>
                <w:color w:val="000000" w:themeColor="text1"/>
                <w:sz w:val="21"/>
                <w:szCs w:val="21"/>
              </w:rPr>
              <m:t>m</m:t>
            </m:r>
            <m:r>
              <w:rPr>
                <w:rFonts w:ascii="Cambria Math" w:hAnsi="Cambria Math"/>
                <w:color w:val="000000" w:themeColor="text1"/>
                <w:sz w:val="21"/>
                <w:szCs w:val="21"/>
              </w:rPr>
              <m:t>1</m:t>
            </m:r>
          </m:sub>
        </m:sSub>
        <m:r>
          <m:rPr>
            <m:sty m:val="p"/>
          </m:rPr>
          <w:rPr>
            <w:rFonts w:ascii="Cambria Math" w:hAnsi="Cambria Math"/>
            <w:color w:val="000000" w:themeColor="text1"/>
            <w:sz w:val="21"/>
            <w:szCs w:val="21"/>
          </w:rPr>
          <m:t>,</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X</m:t>
            </m:r>
          </m:e>
          <m:sub>
            <m:r>
              <w:rPr>
                <w:rFonts w:ascii="Cambria Math" w:hAnsi="Cambria Math"/>
                <w:color w:val="000000" w:themeColor="text1"/>
                <w:sz w:val="21"/>
                <w:szCs w:val="21"/>
              </w:rPr>
              <m:t>m2</m:t>
            </m:r>
          </m:sub>
        </m:sSub>
        <m:r>
          <m:rPr>
            <m:sty m:val="p"/>
          </m:rPr>
          <w:rPr>
            <w:rFonts w:ascii="Cambria Math" w:hAnsi="Cambria Math"/>
            <w:color w:val="000000" w:themeColor="text1"/>
            <w:sz w:val="21"/>
            <w:szCs w:val="21"/>
          </w:rPr>
          <m:t>,…,</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X</m:t>
            </m:r>
          </m:e>
          <m:sub>
            <m:r>
              <w:rPr>
                <w:rFonts w:ascii="Cambria Math" w:hAnsi="Cambria Math"/>
                <w:color w:val="000000" w:themeColor="text1"/>
                <w:sz w:val="21"/>
                <w:szCs w:val="21"/>
              </w:rPr>
              <m:t>m6</m:t>
            </m:r>
          </m:sub>
        </m:sSub>
        <m:r>
          <w:rPr>
            <w:rFonts w:ascii="Cambria Math" w:hAnsi="Cambria Math"/>
            <w:color w:val="000000" w:themeColor="text1"/>
            <w:sz w:val="21"/>
            <w:szCs w:val="21"/>
          </w:rPr>
          <m:t>,</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K</m:t>
            </m:r>
          </m:e>
          <m:sub>
            <m:r>
              <w:rPr>
                <w:rFonts w:ascii="Cambria Math" w:hAnsi="Cambria Math"/>
                <w:color w:val="000000" w:themeColor="text1"/>
                <w:sz w:val="21"/>
                <w:szCs w:val="21"/>
              </w:rPr>
              <m:t>m</m:t>
            </m:r>
            <m:r>
              <m:rPr>
                <m:sty m:val="p"/>
              </m:rPr>
              <w:rPr>
                <w:rFonts w:ascii="Cambria Math" w:hAnsi="Cambria Math"/>
                <w:color w:val="000000" w:themeColor="text1"/>
                <w:sz w:val="21"/>
                <w:szCs w:val="21"/>
              </w:rPr>
              <m:t>1</m:t>
            </m:r>
          </m:sub>
        </m:sSub>
        <m:r>
          <m:rPr>
            <m:sty m:val="p"/>
          </m:rPr>
          <w:rPr>
            <w:rFonts w:ascii="Cambria Math" w:hAnsi="Cambria Math"/>
            <w:color w:val="000000" w:themeColor="text1"/>
            <w:sz w:val="21"/>
            <w:szCs w:val="21"/>
          </w:rPr>
          <m:t>,</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K</m:t>
            </m:r>
          </m:e>
          <m:sub>
            <m:r>
              <w:rPr>
                <w:rFonts w:ascii="Cambria Math" w:hAnsi="Cambria Math"/>
                <w:color w:val="000000" w:themeColor="text1"/>
                <w:sz w:val="21"/>
                <w:szCs w:val="21"/>
              </w:rPr>
              <m:t>m2</m:t>
            </m:r>
            <m:ctrlPr>
              <w:rPr>
                <w:rFonts w:ascii="Cambria Math" w:hAnsi="Cambria Math" w:hint="eastAsia"/>
                <w:color w:val="000000" w:themeColor="text1"/>
                <w:sz w:val="21"/>
                <w:szCs w:val="21"/>
              </w:rPr>
            </m:ctrlPr>
          </m:sub>
        </m:sSub>
        <m:r>
          <m:rPr>
            <m:sty m:val="p"/>
          </m:rPr>
          <w:rPr>
            <w:rFonts w:ascii="Cambria Math" w:hAnsi="Cambria Math"/>
            <w:color w:val="000000" w:themeColor="text1"/>
            <w:sz w:val="21"/>
            <w:szCs w:val="21"/>
          </w:rPr>
          <m:t>,…</m:t>
        </m:r>
        <m:r>
          <m:rPr>
            <m:sty m:val="p"/>
          </m:rPr>
          <w:rPr>
            <w:rFonts w:ascii="Cambria Math" w:hAnsi="Cambria Math" w:hint="eastAsia"/>
            <w:color w:val="000000" w:themeColor="text1"/>
            <w:sz w:val="21"/>
            <w:szCs w:val="21"/>
          </w:rPr>
          <m:t>,</m:t>
        </m:r>
        <m:sSub>
          <m:sSubPr>
            <m:ctrlPr>
              <w:rPr>
                <w:rFonts w:ascii="Cambria Math" w:hAnsi="Cambria Math"/>
                <w:color w:val="000000" w:themeColor="text1"/>
                <w:sz w:val="21"/>
                <w:szCs w:val="21"/>
              </w:rPr>
            </m:ctrlPr>
          </m:sSubPr>
          <m:e>
            <m:r>
              <w:rPr>
                <w:rFonts w:ascii="Cambria Math" w:hAnsi="Cambria Math"/>
                <w:color w:val="000000" w:themeColor="text1"/>
                <w:sz w:val="21"/>
                <w:szCs w:val="21"/>
              </w:rPr>
              <m:t>K</m:t>
            </m:r>
          </m:e>
          <m:sub>
            <m:r>
              <w:rPr>
                <w:rFonts w:ascii="Cambria Math" w:hAnsi="Cambria Math"/>
                <w:color w:val="000000" w:themeColor="text1"/>
                <w:sz w:val="21"/>
                <w:szCs w:val="21"/>
              </w:rPr>
              <m:t>m5</m:t>
            </m:r>
          </m:sub>
        </m:sSub>
        <m:r>
          <w:rPr>
            <w:rFonts w:ascii="Cambria Math" w:hAnsi="Cambria Math"/>
            <w:color w:val="000000" w:themeColor="text1"/>
            <w:sz w:val="21"/>
            <w:szCs w:val="21"/>
          </w:rPr>
          <m:t>,</m:t>
        </m:r>
        <w:bookmarkStart w:id="18" w:name="OLE_LINK53"/>
        <w:bookmarkStart w:id="19" w:name="OLE_LINK54"/>
        <m:sSub>
          <m:sSubPr>
            <m:ctrlPr>
              <w:rPr>
                <w:rFonts w:ascii="Cambria Math" w:hAnsi="Cambria Math"/>
                <w:color w:val="000000" w:themeColor="text1"/>
                <w:sz w:val="21"/>
                <w:szCs w:val="21"/>
              </w:rPr>
            </m:ctrlPr>
          </m:sSubPr>
          <m:e>
            <m:r>
              <w:rPr>
                <w:rFonts w:ascii="Cambria Math" w:hAnsi="Cambria Math"/>
                <w:color w:val="000000" w:themeColor="text1"/>
                <w:sz w:val="21"/>
                <w:szCs w:val="21"/>
              </w:rPr>
              <m:t>A</m:t>
            </m:r>
          </m:e>
          <m:sub>
            <m:r>
              <w:rPr>
                <w:rFonts w:ascii="Cambria Math" w:hAnsi="Cambria Math"/>
                <w:color w:val="000000" w:themeColor="text1"/>
                <w:sz w:val="21"/>
                <w:szCs w:val="21"/>
              </w:rPr>
              <m:t>m</m:t>
            </m:r>
          </m:sub>
        </m:sSub>
      </m:oMath>
      <w:bookmarkEnd w:id="18"/>
      <w:bookmarkEnd w:id="19"/>
      <w:r w:rsidRPr="00CF571C">
        <w:rPr>
          <w:rFonts w:ascii="Times New Roman" w:hAnsi="Times New Roman" w:hint="eastAsia"/>
          <w:color w:val="000000" w:themeColor="text1"/>
          <w:sz w:val="21"/>
          <w:szCs w:val="21"/>
        </w:rPr>
        <w:t>}</w:t>
      </w:r>
      <w:r w:rsidRPr="00CF571C">
        <w:rPr>
          <w:rFonts w:ascii="Times New Roman" w:hAnsi="Times New Roman" w:cs="Times New Roman" w:hint="eastAsia"/>
          <w:color w:val="000000" w:themeColor="text1"/>
          <w:sz w:val="21"/>
          <w:szCs w:val="21"/>
        </w:rPr>
        <w:t>，其中</w:t>
      </w:r>
      <w:r w:rsidRPr="00CF571C">
        <w:rPr>
          <w:rFonts w:ascii="Times New Roman" w:hAnsi="Times New Roman" w:cs="Times New Roman"/>
          <w:color w:val="000000" w:themeColor="text1"/>
          <w:sz w:val="21"/>
          <w:szCs w:val="21"/>
        </w:rPr>
        <w:t>m</w:t>
      </w:r>
      <w:r w:rsidRPr="00CF571C">
        <w:rPr>
          <w:rFonts w:ascii="Times New Roman" w:hAnsi="Times New Roman" w:cs="Times New Roman" w:hint="eastAsia"/>
          <w:color w:val="000000" w:themeColor="text1"/>
          <w:sz w:val="21"/>
          <w:szCs w:val="21"/>
        </w:rPr>
        <w:t>为“城市对”个体。本文认为</w:t>
      </w:r>
      <w:r w:rsidRPr="00CF571C">
        <w:rPr>
          <w:rFonts w:ascii="Times New Roman" w:hAnsi="Times New Roman" w:cs="Times New Roman"/>
          <w:color w:val="000000" w:themeColor="text1"/>
          <w:sz w:val="21"/>
          <w:szCs w:val="21"/>
        </w:rPr>
        <w:t>集合</w:t>
      </w:r>
      <w:r w:rsidRPr="00CF571C">
        <w:rPr>
          <w:rFonts w:ascii="Times New Roman" w:hAnsi="Times New Roman" w:cs="Times New Roman"/>
          <w:color w:val="000000" w:themeColor="text1"/>
          <w:sz w:val="21"/>
          <w:szCs w:val="21"/>
        </w:rPr>
        <w:t>Z</w:t>
      </w:r>
      <w:r w:rsidRPr="00CF571C">
        <w:rPr>
          <w:rFonts w:ascii="Times New Roman" w:hAnsi="Times New Roman" w:cs="Times New Roman" w:hint="eastAsia"/>
          <w:color w:val="000000" w:themeColor="text1"/>
          <w:sz w:val="21"/>
          <w:szCs w:val="21"/>
        </w:rPr>
        <w:t>是影响地方预算支出差异的重要指标，</w:t>
      </w:r>
      <w:r w:rsidRPr="00CF571C">
        <w:rPr>
          <w:rFonts w:ascii="Times New Roman" w:hAnsi="Times New Roman" w:hint="eastAsia"/>
          <w:color w:val="000000" w:themeColor="text1"/>
          <w:sz w:val="21"/>
          <w:szCs w:val="21"/>
        </w:rPr>
        <w:t>并且任意集合</w:t>
      </w:r>
      <w:r w:rsidRPr="00CF571C">
        <w:rPr>
          <w:rFonts w:ascii="Times New Roman" w:hAnsi="Times New Roman"/>
          <w:color w:val="000000" w:themeColor="text1"/>
          <w:sz w:val="21"/>
          <w:szCs w:val="21"/>
        </w:rPr>
        <w:t>z</w:t>
      </w:r>
      <w:r w:rsidRPr="00CF571C">
        <w:rPr>
          <w:rFonts w:ascii="Times New Roman" w:hAnsi="Times New Roman" w:hint="eastAsia"/>
          <w:color w:val="000000" w:themeColor="text1"/>
          <w:sz w:val="21"/>
          <w:szCs w:val="21"/>
        </w:rPr>
        <w:t>∈</w:t>
      </w:r>
      <w:r w:rsidRPr="00CF571C">
        <w:rPr>
          <w:rFonts w:ascii="Times New Roman" w:hAnsi="Times New Roman"/>
          <w:color w:val="000000" w:themeColor="text1"/>
          <w:sz w:val="21"/>
          <w:szCs w:val="21"/>
        </w:rPr>
        <w:t>Z</w:t>
      </w:r>
      <w:r w:rsidRPr="00CF571C">
        <w:rPr>
          <w:rFonts w:ascii="Times New Roman" w:hAnsi="Times New Roman" w:hint="eastAsia"/>
          <w:color w:val="000000" w:themeColor="text1"/>
          <w:sz w:val="21"/>
          <w:szCs w:val="21"/>
        </w:rPr>
        <w:t>都会对应一个预算支出差异的贡献值。</w:t>
      </w:r>
    </w:p>
    <w:p w14:paraId="39425657" w14:textId="77777777" w:rsidR="00D31D73" w:rsidRPr="00CF571C" w:rsidRDefault="00D31D73" w:rsidP="004B4817">
      <w:pPr>
        <w:adjustRightInd w:val="0"/>
        <w:snapToGrid w:val="0"/>
        <w:ind w:firstLineChars="200" w:firstLine="420"/>
        <w:rPr>
          <w:rFonts w:ascii="Times New Roman" w:hAnsi="Times New Roman" w:cs="Times New Roman"/>
          <w:color w:val="000000" w:themeColor="text1"/>
          <w:sz w:val="21"/>
          <w:szCs w:val="21"/>
        </w:rPr>
      </w:pPr>
      <w:bookmarkStart w:id="20" w:name="OLE_LINK37"/>
      <w:bookmarkStart w:id="21" w:name="OLE_LINK38"/>
      <w:r w:rsidRPr="00CF571C">
        <w:rPr>
          <w:rFonts w:ascii="Times New Roman" w:hAnsi="Times New Roman" w:cs="Times New Roman"/>
          <w:color w:val="000000" w:themeColor="text1"/>
          <w:sz w:val="21"/>
          <w:szCs w:val="21"/>
        </w:rPr>
        <w:t>基于上述差异分解思路，本文构建</w:t>
      </w:r>
      <w:r w:rsidRPr="00CF571C">
        <w:rPr>
          <w:rFonts w:ascii="Times New Roman" w:hAnsi="Times New Roman" w:cs="Times New Roman" w:hint="eastAsia"/>
          <w:color w:val="000000" w:themeColor="text1"/>
          <w:sz w:val="21"/>
          <w:szCs w:val="21"/>
        </w:rPr>
        <w:t>地方预算支出差异影响方程</w:t>
      </w:r>
      <w:r w:rsidRPr="00CF571C">
        <w:rPr>
          <w:rFonts w:ascii="Times New Roman" w:hAnsi="Times New Roman" w:cs="Times New Roman"/>
          <w:color w:val="000000" w:themeColor="text1"/>
          <w:sz w:val="21"/>
          <w:szCs w:val="21"/>
        </w:rPr>
        <w:t>：</w:t>
      </w:r>
    </w:p>
    <w:p w14:paraId="40F71DD9" w14:textId="77777777" w:rsidR="00D31D73" w:rsidRPr="00CF571C" w:rsidRDefault="00D31D73" w:rsidP="004B4817">
      <w:pPr>
        <w:ind w:firstLineChars="200" w:firstLine="420"/>
        <w:jc w:val="right"/>
        <w:rPr>
          <w:rFonts w:ascii="Times New Roman" w:hAnsi="Times New Roman" w:cs="Times New Roman"/>
          <w:color w:val="000000" w:themeColor="text1"/>
          <w:sz w:val="21"/>
          <w:szCs w:val="21"/>
        </w:rPr>
      </w:pPr>
      <w:r w:rsidRPr="00CF571C">
        <w:rPr>
          <w:color w:val="000000" w:themeColor="text1"/>
          <w:sz w:val="21"/>
          <w:szCs w:val="21"/>
        </w:rPr>
        <w:t xml:space="preserve">       </w:t>
      </w:r>
      <m:oMath>
        <m:sSub>
          <m:sSubPr>
            <m:ctrlPr>
              <w:rPr>
                <w:rFonts w:ascii="Cambria Math" w:hAnsi="Cambria Math" w:cs="Times New Roman"/>
                <w:color w:val="000000" w:themeColor="text1"/>
                <w:sz w:val="21"/>
                <w:szCs w:val="21"/>
              </w:rPr>
            </m:ctrlPr>
          </m:sSubPr>
          <m:e>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PE</m:t>
            </m:r>
          </m:e>
          <m:sub>
            <m:r>
              <w:rPr>
                <w:rFonts w:ascii="Cambria Math" w:hAnsi="Cambria Math" w:cs="Times New Roman"/>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m:oMath>
      <w:r w:rsidRPr="00CF571C">
        <w:rPr>
          <w:rFonts w:ascii="Times New Roman" w:hAnsi="Times New Roman" w:cs="Times New Roman"/>
          <w:color w:val="000000" w:themeColor="text1"/>
          <w:sz w:val="21"/>
          <w:szCs w:val="21"/>
        </w:rPr>
        <w:t>=</w:t>
      </w:r>
      <m:oMath>
        <m:r>
          <w:rPr>
            <w:rFonts w:ascii="Cambria Math" w:hAnsi="Cambria Math" w:cs="Times New Roman"/>
            <w:color w:val="000000" w:themeColor="text1"/>
            <w:sz w:val="21"/>
            <w:szCs w:val="21"/>
          </w:rPr>
          <m:t>α</m:t>
        </m:r>
        <m:r>
          <m:rPr>
            <m:sty m:val="p"/>
          </m:rPr>
          <w:rPr>
            <w:rFonts w:ascii="Cambria Math" w:hAnsi="Cambria Math" w:cs="Times New Roman"/>
            <w:color w:val="000000" w:themeColor="text1"/>
            <w:sz w:val="21"/>
            <w:szCs w:val="21"/>
          </w:rPr>
          <m:t>+</m:t>
        </m:r>
        <w:bookmarkStart w:id="22" w:name="OLE_LINK51"/>
        <w:bookmarkStart w:id="23" w:name="OLE_LINK52"/>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β</m:t>
            </m:r>
          </m:e>
          <m:sub>
            <m:r>
              <m:rPr>
                <m:sty m:val="p"/>
              </m:rPr>
              <w:rPr>
                <w:rFonts w:ascii="Cambria Math" w:hAnsi="Cambria Math" w:cs="Times New Roman"/>
                <w:color w:val="000000" w:themeColor="text1"/>
                <w:sz w:val="21"/>
                <w:szCs w:val="21"/>
              </w:rPr>
              <m:t>1</m:t>
            </m:r>
          </m:sub>
        </m:sSub>
        <m:r>
          <m:rPr>
            <m:sty m:val="p"/>
          </m:rPr>
          <w:rPr>
            <w:rFonts w:ascii="Cambria Math" w:hAnsi="Cambria Math" w:cs="Times New Roman"/>
            <w:color w:val="000000" w:themeColor="text1"/>
            <w:sz w:val="21"/>
            <w:szCs w:val="21"/>
          </w:rPr>
          <m:t>∆</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w:rPr>
                <w:rFonts w:ascii="Cambria Math" w:hAnsi="Cambria Math" w:cs="Times New Roman"/>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w:bookmarkEnd w:id="22"/>
        <w:bookmarkEnd w:id="23"/>
        <m:r>
          <m:rPr>
            <m:sty m:val="p"/>
          </m:rPr>
          <w:rPr>
            <w:rFonts w:ascii="Cambria Math" w:hAnsi="Cambria Math" w:cs="Times New Roman"/>
            <w:color w:val="000000" w:themeColor="text1"/>
            <w:sz w:val="21"/>
            <w:szCs w:val="21"/>
          </w:rPr>
          <m:t>+</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β</m:t>
            </m:r>
          </m:e>
          <m:sub>
            <m:r>
              <m:rPr>
                <m:sty m:val="p"/>
              </m:rPr>
              <w:rPr>
                <w:rFonts w:ascii="Cambria Math" w:hAnsi="Cambria Math" w:cs="Times New Roman"/>
                <w:color w:val="000000" w:themeColor="text1"/>
                <w:sz w:val="21"/>
                <w:szCs w:val="21"/>
              </w:rPr>
              <m:t>2</m:t>
            </m:r>
          </m:sub>
        </m:sSub>
        <m:r>
          <m:rPr>
            <m:sty m:val="p"/>
          </m:rPr>
          <w:rPr>
            <w:rFonts w:ascii="Cambria Math" w:hAnsi="Cambria Math" w:cs="Times New Roman"/>
            <w:color w:val="000000" w:themeColor="text1"/>
            <w:sz w:val="21"/>
            <w:szCs w:val="21"/>
          </w:rPr>
          <m:t>∆</m:t>
        </m:r>
        <w:bookmarkStart w:id="24" w:name="OLE_LINK55"/>
        <w:bookmarkStart w:id="25" w:name="OLE_LINK56"/>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K</m:t>
            </m:r>
          </m:e>
          <m:sub>
            <m:r>
              <w:rPr>
                <w:rFonts w:ascii="Cambria Math" w:hAnsi="Cambria Math" w:cs="Times New Roman"/>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w:bookmarkEnd w:id="24"/>
        <w:bookmarkEnd w:id="25"/>
        <m:r>
          <m:rPr>
            <m:sty m:val="p"/>
          </m:rPr>
          <w:rPr>
            <w:rFonts w:ascii="Cambria Math" w:hAnsi="Cambria Math" w:cs="Times New Roman"/>
            <w:color w:val="000000" w:themeColor="text1"/>
            <w:sz w:val="21"/>
            <w:szCs w:val="21"/>
          </w:rPr>
          <m:t>+</m:t>
        </m:r>
        <w:bookmarkStart w:id="26" w:name="OLE_LINK57"/>
        <w:bookmarkStart w:id="27" w:name="OLE_LINK58"/>
        <m:sSub>
          <m:sSubPr>
            <m:ctrlPr>
              <w:rPr>
                <w:rFonts w:ascii="Cambria Math" w:hAnsi="Cambria Math"/>
                <w:color w:val="000000" w:themeColor="text1"/>
                <w:sz w:val="21"/>
                <w:szCs w:val="21"/>
              </w:rPr>
            </m:ctrlPr>
          </m:sSubPr>
          <m:e>
            <m:r>
              <w:rPr>
                <w:rFonts w:ascii="Cambria Math" w:hAnsi="Cambria Math"/>
                <w:color w:val="000000" w:themeColor="text1"/>
                <w:sz w:val="21"/>
                <w:szCs w:val="21"/>
              </w:rPr>
              <m:t>A</m:t>
            </m:r>
          </m:e>
          <m:sub>
            <m:r>
              <w:rPr>
                <w:rFonts w:ascii="Cambria Math" w:hAnsi="Cambria Math"/>
                <w:color w:val="000000" w:themeColor="text1"/>
                <w:sz w:val="21"/>
                <w:szCs w:val="21"/>
              </w:rPr>
              <m:t>m</m:t>
            </m:r>
          </m:sub>
        </m:sSub>
        <w:bookmarkEnd w:id="26"/>
        <w:bookmarkEnd w:id="27"/>
        <m:r>
          <m:rPr>
            <m:sty m:val="p"/>
          </m:rPr>
          <w:rPr>
            <w:rFonts w:ascii="Cambria Math" w:hAnsi="Cambria Math" w:cs="Times New Roman"/>
            <w:color w:val="000000" w:themeColor="text1"/>
            <w:sz w:val="21"/>
            <w:szCs w:val="21"/>
          </w:rPr>
          <m:t>+</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ε</m:t>
            </m:r>
          </m:e>
          <m:sub>
            <m:r>
              <w:rPr>
                <w:rFonts w:ascii="Cambria Math" w:hAnsi="Cambria Math" w:cs="Times New Roman"/>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m:oMath>
      <w:r w:rsidRPr="00CF571C">
        <w:rPr>
          <w:rFonts w:ascii="Times New Roman" w:hAnsi="Times New Roman" w:cs="Times New Roman" w:hint="eastAsia"/>
          <w:color w:val="000000" w:themeColor="text1"/>
          <w:sz w:val="21"/>
          <w:szCs w:val="21"/>
        </w:rPr>
        <w:t xml:space="preserve"> </w:t>
      </w:r>
      <w:r w:rsidRPr="00CF571C">
        <w:rPr>
          <w:rFonts w:ascii="Times New Roman" w:hAnsi="Times New Roman" w:cs="Times New Roman"/>
          <w:color w:val="000000" w:themeColor="text1"/>
          <w:sz w:val="21"/>
          <w:szCs w:val="21"/>
        </w:rPr>
        <w:t xml:space="preserve">                                </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1</w:t>
      </w:r>
      <w:r w:rsidRPr="00CF571C">
        <w:rPr>
          <w:rFonts w:ascii="Times New Roman" w:hAnsi="Times New Roman" w:cs="Times New Roman" w:hint="eastAsia"/>
          <w:color w:val="000000" w:themeColor="text1"/>
          <w:sz w:val="21"/>
          <w:szCs w:val="21"/>
        </w:rPr>
        <w:t>）</w:t>
      </w:r>
    </w:p>
    <w:bookmarkEnd w:id="20"/>
    <w:bookmarkEnd w:id="21"/>
    <w:p w14:paraId="6340EA4B" w14:textId="77777777" w:rsidR="00D31D73" w:rsidRPr="00CF571C" w:rsidRDefault="00D31D73" w:rsidP="00535625">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式（</w:t>
      </w:r>
      <w:r w:rsidRPr="00CF571C">
        <w:rPr>
          <w:rFonts w:ascii="Times New Roman" w:hAnsi="Times New Roman" w:cs="Times New Roman"/>
          <w:color w:val="000000" w:themeColor="text1"/>
          <w:sz w:val="21"/>
          <w:szCs w:val="21"/>
        </w:rPr>
        <w:t>1</w:t>
      </w:r>
      <w:r w:rsidRPr="00CF571C">
        <w:rPr>
          <w:rFonts w:ascii="Times New Roman" w:hAnsi="Times New Roman" w:cs="Times New Roman"/>
          <w:color w:val="000000" w:themeColor="text1"/>
          <w:sz w:val="21"/>
          <w:szCs w:val="21"/>
        </w:rPr>
        <w:t>）中，</w:t>
      </w:r>
      <m:oMath>
        <m:sSub>
          <m:sSubPr>
            <m:ctrlPr>
              <w:rPr>
                <w:rFonts w:ascii="Cambria Math" w:hAnsi="Cambria Math" w:cs="Times New Roman"/>
                <w:color w:val="000000" w:themeColor="text1"/>
                <w:sz w:val="21"/>
                <w:szCs w:val="21"/>
              </w:rPr>
            </m:ctrlPr>
          </m:sSubPr>
          <m:e>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PE</m:t>
            </m:r>
          </m:e>
          <m:sub>
            <m:r>
              <w:rPr>
                <w:rFonts w:ascii="Cambria Math" w:hAnsi="Cambria Math" w:cs="Times New Roman"/>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m:oMath>
      <w:r w:rsidRPr="00CF571C">
        <w:rPr>
          <w:rFonts w:ascii="Times New Roman" w:hAnsi="Times New Roman" w:cs="Times New Roman"/>
          <w:color w:val="000000" w:themeColor="text1"/>
          <w:sz w:val="21"/>
          <w:szCs w:val="21"/>
        </w:rPr>
        <w:t>代表</w:t>
      </w:r>
      <w:r w:rsidR="002B2F17"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2B2F17" w:rsidRPr="00CF571C">
        <w:rPr>
          <w:rFonts w:ascii="Times New Roman" w:hAnsi="Times New Roman" w:cs="Times New Roman" w:hint="eastAsia"/>
          <w:color w:val="000000" w:themeColor="text1"/>
          <w:sz w:val="21"/>
          <w:szCs w:val="21"/>
        </w:rPr>
        <w:t>”</w:t>
      </w:r>
      <m:oMath>
        <m:r>
          <w:rPr>
            <w:rFonts w:ascii="Cambria Math" w:hAnsi="Cambria Math" w:cs="Times New Roman"/>
            <w:color w:val="000000" w:themeColor="text1"/>
            <w:sz w:val="21"/>
            <w:szCs w:val="21"/>
          </w:rPr>
          <m:t>m</m:t>
        </m:r>
      </m:oMath>
      <w:r w:rsidRPr="00CF571C">
        <w:rPr>
          <w:rFonts w:ascii="Times New Roman" w:hAnsi="Times New Roman" w:cs="Times New Roman"/>
          <w:color w:val="000000" w:themeColor="text1"/>
          <w:sz w:val="21"/>
          <w:szCs w:val="21"/>
        </w:rPr>
        <w:t>在</w:t>
      </w:r>
      <m:oMath>
        <m:r>
          <w:rPr>
            <w:rFonts w:ascii="Cambria Math" w:hAnsi="Cambria Math" w:cs="Times New Roman"/>
            <w:color w:val="000000" w:themeColor="text1"/>
            <w:sz w:val="21"/>
            <w:szCs w:val="21"/>
          </w:rPr>
          <m:t>t</m:t>
        </m:r>
      </m:oMath>
      <w:r w:rsidRPr="00CF571C">
        <w:rPr>
          <w:rFonts w:ascii="Times New Roman" w:hAnsi="Times New Roman" w:cs="Times New Roman"/>
          <w:color w:val="000000" w:themeColor="text1"/>
          <w:sz w:val="21"/>
          <w:szCs w:val="21"/>
        </w:rPr>
        <w:t>年的民生</w:t>
      </w:r>
      <w:r w:rsidRPr="00CF571C">
        <w:rPr>
          <w:rFonts w:ascii="Times New Roman" w:hAnsi="Times New Roman" w:cs="Times New Roman" w:hint="eastAsia"/>
          <w:color w:val="000000" w:themeColor="text1"/>
          <w:sz w:val="21"/>
          <w:szCs w:val="21"/>
        </w:rPr>
        <w:t>性</w:t>
      </w:r>
      <w:r w:rsidRPr="00CF571C">
        <w:rPr>
          <w:rFonts w:ascii="Times New Roman" w:hAnsi="Times New Roman" w:cs="Times New Roman"/>
          <w:color w:val="000000" w:themeColor="text1"/>
          <w:sz w:val="21"/>
          <w:szCs w:val="21"/>
        </w:rPr>
        <w:t>预算支出占比的差异绝对值，</w:t>
      </w:r>
      <w:r w:rsidR="00096CCF" w:rsidRPr="00CF571C">
        <w:rPr>
          <w:rFonts w:ascii="Times New Roman" w:hAnsi="Times New Roman" w:cs="Times New Roman"/>
          <w:color w:val="000000" w:themeColor="text1"/>
          <w:sz w:val="21"/>
          <w:szCs w:val="21"/>
        </w:rPr>
        <w:t>例如城市</w:t>
      </w:r>
      <m:oMath>
        <m:r>
          <w:rPr>
            <w:rFonts w:ascii="Cambria Math" w:hAnsi="Cambria Math" w:cs="Times New Roman"/>
            <w:color w:val="000000" w:themeColor="text1"/>
            <w:sz w:val="21"/>
            <w:szCs w:val="21"/>
          </w:rPr>
          <m:t>i</m:t>
        </m:r>
      </m:oMath>
      <w:r w:rsidR="00096CCF" w:rsidRPr="00CF571C">
        <w:rPr>
          <w:rFonts w:ascii="Times New Roman" w:hAnsi="Times New Roman" w:cs="Times New Roman"/>
          <w:color w:val="000000" w:themeColor="text1"/>
          <w:sz w:val="21"/>
          <w:szCs w:val="21"/>
        </w:rPr>
        <w:t>和城市</w:t>
      </w:r>
      <m:oMath>
        <m:r>
          <w:rPr>
            <w:rFonts w:ascii="Cambria Math" w:hAnsi="Cambria Math" w:cs="Times New Roman"/>
            <w:color w:val="000000" w:themeColor="text1"/>
            <w:sz w:val="21"/>
            <w:szCs w:val="21"/>
          </w:rPr>
          <m:t>j</m:t>
        </m:r>
      </m:oMath>
      <w:r w:rsidR="00096CCF" w:rsidRPr="00CF571C">
        <w:rPr>
          <w:rFonts w:ascii="Times New Roman" w:hAnsi="Times New Roman" w:cs="Times New Roman"/>
          <w:color w:val="000000" w:themeColor="text1"/>
          <w:sz w:val="21"/>
          <w:szCs w:val="21"/>
        </w:rPr>
        <w:t>在</w:t>
      </w:r>
      <w:r w:rsidR="00096CCF" w:rsidRPr="00CF571C">
        <w:rPr>
          <w:rFonts w:ascii="Times New Roman" w:hAnsi="Times New Roman" w:cs="Times New Roman"/>
          <w:color w:val="000000" w:themeColor="text1"/>
          <w:sz w:val="21"/>
          <w:szCs w:val="21"/>
        </w:rPr>
        <w:t>2011</w:t>
      </w:r>
      <w:r w:rsidR="00096CCF" w:rsidRPr="00CF571C">
        <w:rPr>
          <w:rFonts w:ascii="Times New Roman" w:hAnsi="Times New Roman" w:cs="Times New Roman"/>
          <w:color w:val="000000" w:themeColor="text1"/>
          <w:sz w:val="21"/>
          <w:szCs w:val="21"/>
        </w:rPr>
        <w:t>年的教育支出占比差异绝对值，</w:t>
      </w:r>
      <w:r w:rsidRPr="00CF571C">
        <w:rPr>
          <w:rFonts w:ascii="Times New Roman" w:hAnsi="Times New Roman" w:cs="Times New Roman"/>
          <w:color w:val="000000" w:themeColor="text1"/>
          <w:sz w:val="21"/>
          <w:szCs w:val="21"/>
        </w:rPr>
        <w:t>包括教育支出占比、科技支出占比、医疗卫生支出占比、</w:t>
      </w:r>
      <w:r w:rsidRPr="00CF571C">
        <w:rPr>
          <w:rFonts w:ascii="Times New Roman" w:hAnsi="Times New Roman" w:cs="Times New Roman" w:hint="eastAsia"/>
          <w:color w:val="000000" w:themeColor="text1"/>
          <w:sz w:val="21"/>
          <w:szCs w:val="21"/>
        </w:rPr>
        <w:t>社会</w:t>
      </w:r>
      <w:r w:rsidRPr="00CF571C">
        <w:rPr>
          <w:rFonts w:ascii="Times New Roman" w:hAnsi="Times New Roman" w:cs="Times New Roman"/>
          <w:color w:val="000000" w:themeColor="text1"/>
          <w:sz w:val="21"/>
          <w:szCs w:val="21"/>
        </w:rPr>
        <w:t>保障支出占比四类。</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w:rPr>
                <w:rFonts w:ascii="Cambria Math" w:hAnsi="Cambria Math" w:cs="Times New Roman" w:hint="eastAsia"/>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m:oMath>
      <w:r w:rsidRPr="00CF571C">
        <w:rPr>
          <w:rFonts w:ascii="Times New Roman" w:hAnsi="Times New Roman" w:cs="Times New Roman"/>
          <w:color w:val="000000" w:themeColor="text1"/>
          <w:sz w:val="21"/>
          <w:szCs w:val="21"/>
        </w:rPr>
        <w:t>表示一系列影响地方预算支出结构</w:t>
      </w:r>
      <w:r w:rsidRPr="00CF571C">
        <w:rPr>
          <w:rFonts w:ascii="Times New Roman" w:hAnsi="Times New Roman" w:cs="Times New Roman" w:hint="eastAsia"/>
          <w:color w:val="000000" w:themeColor="text1"/>
          <w:sz w:val="21"/>
          <w:szCs w:val="21"/>
        </w:rPr>
        <w:t>的市级因素</w:t>
      </w:r>
      <w:r w:rsidRPr="00CF571C">
        <w:rPr>
          <w:rFonts w:ascii="Times New Roman" w:hAnsi="Times New Roman" w:cs="Times New Roman"/>
          <w:color w:val="000000" w:themeColor="text1"/>
          <w:sz w:val="21"/>
          <w:szCs w:val="21"/>
        </w:rPr>
        <w:t>，包括财政分权</w:t>
      </w:r>
      <w:r w:rsidRPr="00CF571C">
        <w:rPr>
          <w:rFonts w:ascii="Times New Roman" w:hAnsi="Times New Roman" w:cs="Times New Roman" w:hint="eastAsia"/>
          <w:color w:val="000000" w:themeColor="text1"/>
          <w:sz w:val="21"/>
          <w:szCs w:val="21"/>
        </w:rPr>
        <w:t>差异</w:t>
      </w:r>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人口密度差异、地方财力差异、平均工资差异、产业结构差异等</w:t>
      </w:r>
      <w:r w:rsidRPr="00CF571C">
        <w:rPr>
          <w:rFonts w:ascii="Times New Roman" w:hAnsi="Times New Roman" w:cs="Times New Roman"/>
          <w:color w:val="000000" w:themeColor="text1"/>
          <w:sz w:val="21"/>
          <w:szCs w:val="21"/>
        </w:rPr>
        <w:t>。</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K</m:t>
            </m:r>
          </m:e>
          <m:sub>
            <m:r>
              <w:rPr>
                <w:rFonts w:ascii="Cambria Math" w:hAnsi="Cambria Math" w:cs="Times New Roman"/>
                <w:color w:val="000000" w:themeColor="text1"/>
                <w:sz w:val="21"/>
                <w:szCs w:val="21"/>
              </w:rPr>
              <m:t>m</m:t>
            </m:r>
            <m:r>
              <m:rPr>
                <m:sty m:val="p"/>
              </m:rPr>
              <w:rPr>
                <w:rFonts w:ascii="Cambria Math" w:hAnsi="Cambria Math" w:cs="Times New Roman"/>
                <w:color w:val="000000" w:themeColor="text1"/>
                <w:sz w:val="21"/>
                <w:szCs w:val="21"/>
              </w:rPr>
              <m:t>,</m:t>
            </m:r>
            <m:r>
              <w:rPr>
                <w:rFonts w:ascii="Cambria Math" w:hAnsi="Cambria Math" w:cs="Times New Roman"/>
                <w:color w:val="000000" w:themeColor="text1"/>
                <w:sz w:val="21"/>
                <w:szCs w:val="21"/>
              </w:rPr>
              <m:t>t</m:t>
            </m:r>
          </m:sub>
        </m:sSub>
      </m:oMath>
      <w:r w:rsidRPr="00CF571C">
        <w:rPr>
          <w:rFonts w:ascii="Times New Roman" w:hAnsi="Times New Roman" w:cs="Times New Roman" w:hint="eastAsia"/>
          <w:color w:val="000000" w:themeColor="text1"/>
          <w:sz w:val="21"/>
          <w:szCs w:val="21"/>
        </w:rPr>
        <w:t>表示一系列影响地方预算支出结构的省级因素，包括省级财政分权差异、人口密度差异、地方财力差异、产业结构差异以及“城市对”异省虚拟变量指标等。</w:t>
      </w:r>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A</m:t>
            </m:r>
          </m:e>
          <m:sub>
            <m:r>
              <w:rPr>
                <w:rFonts w:ascii="Cambria Math" w:hAnsi="Cambria Math"/>
                <w:color w:val="000000" w:themeColor="text1"/>
                <w:sz w:val="21"/>
                <w:szCs w:val="21"/>
              </w:rPr>
              <m:t>m</m:t>
            </m:r>
          </m:sub>
        </m:sSub>
      </m:oMath>
      <w:r w:rsidRPr="00CF571C">
        <w:rPr>
          <w:rFonts w:ascii="Times New Roman" w:hAnsi="Times New Roman" w:cs="Times New Roman" w:hint="eastAsia"/>
          <w:color w:val="000000" w:themeColor="text1"/>
          <w:sz w:val="21"/>
          <w:szCs w:val="21"/>
        </w:rPr>
        <w:t>表示“城市对”间的地理距离，反映城市之间的临近程度。</w:t>
      </w:r>
    </w:p>
    <w:p w14:paraId="4C691EA1" w14:textId="77777777" w:rsidR="00D31D73" w:rsidRPr="00CF571C" w:rsidRDefault="00D31D73" w:rsidP="00535625">
      <w:pPr>
        <w:ind w:firstLineChars="200" w:firstLine="420"/>
        <w:jc w:val="both"/>
        <w:rPr>
          <w:rFonts w:ascii="Times New Roman" w:hAnsi="Times New Roman" w:cs="Times New Roman"/>
          <w:color w:val="000000" w:themeColor="text1"/>
          <w:sz w:val="21"/>
          <w:szCs w:val="21"/>
        </w:rPr>
      </w:pPr>
      <w:bookmarkStart w:id="28" w:name="OLE_LINK41"/>
      <w:bookmarkStart w:id="29" w:name="OLE_LINK42"/>
      <w:r w:rsidRPr="00CF571C">
        <w:rPr>
          <w:rFonts w:ascii="Times New Roman" w:hAnsi="Times New Roman" w:cs="Times New Roman" w:hint="eastAsia"/>
          <w:color w:val="000000" w:themeColor="text1"/>
          <w:sz w:val="21"/>
          <w:szCs w:val="21"/>
        </w:rPr>
        <w:t>基于上述模型，经计算可得出某类因素指标</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w:rPr>
                <w:rFonts w:ascii="Cambria Math" w:hAnsi="Cambria Math" w:cs="Times New Roman" w:hint="eastAsia"/>
                <w:color w:val="000000" w:themeColor="text1"/>
                <w:sz w:val="21"/>
                <w:szCs w:val="21"/>
              </w:rPr>
              <m:t>i</m:t>
            </m:r>
          </m:sub>
        </m:sSub>
      </m:oMath>
      <w:r w:rsidRPr="00CF571C">
        <w:rPr>
          <w:rFonts w:ascii="Times New Roman" w:hAnsi="Times New Roman" w:cs="Times New Roman" w:hint="eastAsia"/>
          <w:color w:val="000000" w:themeColor="text1"/>
          <w:sz w:val="21"/>
          <w:szCs w:val="21"/>
        </w:rPr>
        <w:t>在一种剔除路径下对地方预算支出差异的边际贡献为</w:t>
      </w:r>
      <m:oMath>
        <m:sSub>
          <m:sSubPr>
            <m:ctrlPr>
              <w:rPr>
                <w:rFonts w:ascii="Cambria Math" w:hAnsi="Cambria Math" w:cs="Times New Roman"/>
                <w:i/>
                <w:color w:val="000000" w:themeColor="text1"/>
                <w:sz w:val="21"/>
                <w:szCs w:val="21"/>
              </w:rPr>
            </m:ctrlPr>
          </m:sSubPr>
          <m:e>
            <m:r>
              <w:rPr>
                <w:rFonts w:ascii="Cambria Math" w:hAnsi="Cambria Math" w:cs="Times New Roman"/>
                <w:color w:val="000000" w:themeColor="text1"/>
                <w:sz w:val="21"/>
                <w:szCs w:val="21"/>
              </w:rPr>
              <m:t>SV</m:t>
            </m:r>
          </m:e>
          <m:sub>
            <m:r>
              <w:rPr>
                <w:rFonts w:ascii="Cambria Math" w:hAnsi="Cambria Math" w:cs="Times New Roman" w:hint="eastAsia"/>
                <w:color w:val="000000" w:themeColor="text1"/>
                <w:sz w:val="21"/>
                <w:szCs w:val="21"/>
              </w:rPr>
              <m:t>i</m:t>
            </m:r>
          </m:sub>
        </m:sSub>
      </m:oMath>
      <w:r w:rsidRPr="00CF571C">
        <w:rPr>
          <w:rFonts w:ascii="Times New Roman" w:hAnsi="Times New Roman" w:cs="Times New Roman" w:hint="eastAsia"/>
          <w:color w:val="000000" w:themeColor="text1"/>
          <w:sz w:val="21"/>
          <w:szCs w:val="21"/>
        </w:rPr>
        <w:t>，通过计算</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w:rPr>
                <w:rFonts w:ascii="Cambria Math" w:hAnsi="Cambria Math" w:cs="Times New Roman" w:hint="eastAsia"/>
                <w:color w:val="000000" w:themeColor="text1"/>
                <w:sz w:val="21"/>
                <w:szCs w:val="21"/>
              </w:rPr>
              <m:t>i</m:t>
            </m:r>
          </m:sub>
        </m:sSub>
      </m:oMath>
      <w:r w:rsidRPr="00CF571C">
        <w:rPr>
          <w:rFonts w:ascii="Times New Roman" w:hAnsi="Times New Roman" w:cs="Times New Roman"/>
          <w:color w:val="000000" w:themeColor="text1"/>
          <w:sz w:val="21"/>
          <w:szCs w:val="21"/>
        </w:rPr>
        <w:t>对差异的边际贡献与所有</w:t>
      </w:r>
      <w:r w:rsidRPr="00CF571C">
        <w:rPr>
          <w:rFonts w:ascii="Times New Roman" w:hAnsi="Times New Roman" w:cs="Times New Roman" w:hint="eastAsia"/>
          <w:color w:val="000000" w:themeColor="text1"/>
          <w:sz w:val="21"/>
          <w:szCs w:val="21"/>
        </w:rPr>
        <w:t>指标</w:t>
      </w:r>
      <w:r w:rsidRPr="00CF571C">
        <w:rPr>
          <w:rFonts w:ascii="Times New Roman" w:hAnsi="Times New Roman" w:cs="Times New Roman"/>
          <w:color w:val="000000" w:themeColor="text1"/>
          <w:sz w:val="21"/>
          <w:szCs w:val="21"/>
        </w:rPr>
        <w:t>边际贡献之和</w:t>
      </w:r>
      <w:r w:rsidRPr="00CF571C">
        <w:rPr>
          <w:rFonts w:ascii="Times New Roman" w:hAnsi="Times New Roman" w:cs="Times New Roman" w:hint="eastAsia"/>
          <w:color w:val="000000" w:themeColor="text1"/>
          <w:sz w:val="21"/>
          <w:szCs w:val="21"/>
        </w:rPr>
        <w:t>的比值</w:t>
      </w:r>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即可得出影响</w:t>
      </w:r>
      <w:r w:rsidRPr="00CF571C">
        <w:rPr>
          <w:rFonts w:ascii="Times New Roman" w:hAnsi="Times New Roman" w:cs="Times New Roman"/>
          <w:color w:val="000000" w:themeColor="text1"/>
          <w:sz w:val="21"/>
          <w:szCs w:val="21"/>
        </w:rPr>
        <w:t>因素</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w:rPr>
                <w:rFonts w:ascii="Cambria Math" w:hAnsi="Cambria Math" w:cs="Times New Roman" w:hint="eastAsia"/>
                <w:color w:val="000000" w:themeColor="text1"/>
                <w:sz w:val="21"/>
                <w:szCs w:val="21"/>
              </w:rPr>
              <m:t>i</m:t>
            </m:r>
          </m:sub>
        </m:sSub>
      </m:oMath>
      <w:r w:rsidRPr="00CF571C">
        <w:rPr>
          <w:rFonts w:ascii="Times New Roman" w:hAnsi="Times New Roman" w:cs="Times New Roman"/>
          <w:color w:val="000000" w:themeColor="text1"/>
          <w:sz w:val="21"/>
          <w:szCs w:val="21"/>
        </w:rPr>
        <w:t>的相对贡献度</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RC</m:t>
            </m:r>
          </m:e>
          <m:sub>
            <m:r>
              <w:rPr>
                <w:rFonts w:ascii="Cambria Math" w:hAnsi="Cambria Math" w:cs="Times New Roman" w:hint="eastAsia"/>
                <w:color w:val="000000" w:themeColor="text1"/>
                <w:sz w:val="21"/>
                <w:szCs w:val="21"/>
              </w:rPr>
              <m:t>i</m:t>
            </m:r>
          </m:sub>
        </m:sSub>
      </m:oMath>
      <w:r w:rsidRPr="00CF571C">
        <w:rPr>
          <w:rFonts w:ascii="Times New Roman" w:hAnsi="Times New Roman" w:cs="Times New Roman" w:hint="eastAsia"/>
          <w:color w:val="000000" w:themeColor="text1"/>
          <w:sz w:val="21"/>
          <w:szCs w:val="21"/>
        </w:rPr>
        <w:t>，即夏普利值</w:t>
      </w:r>
      <w:r w:rsidRPr="00CF571C">
        <w:rPr>
          <w:rFonts w:ascii="Times New Roman" w:hAnsi="Times New Roman" w:cs="Times New Roman"/>
          <w:color w:val="000000" w:themeColor="text1"/>
          <w:sz w:val="21"/>
          <w:szCs w:val="21"/>
        </w:rPr>
        <w:t>。</w:t>
      </w:r>
    </w:p>
    <w:p w14:paraId="77C8E917" w14:textId="77777777" w:rsidR="00D31D73" w:rsidRPr="00CF571C" w:rsidRDefault="00000000" w:rsidP="004B4817">
      <w:pPr>
        <w:ind w:firstLineChars="200" w:firstLine="420"/>
        <w:jc w:val="right"/>
        <w:rPr>
          <w:rFonts w:ascii="Times New Roman" w:hAnsi="Times New Roman" w:cs="Times New Roman"/>
          <w:color w:val="000000" w:themeColor="text1"/>
          <w:sz w:val="21"/>
          <w:szCs w:val="21"/>
        </w:rPr>
      </w:pP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RC</m:t>
            </m:r>
          </m:e>
          <m:sub>
            <m:r>
              <w:rPr>
                <w:rFonts w:ascii="Cambria Math" w:hAnsi="Cambria Math" w:cs="Times New Roman" w:hint="eastAsia"/>
                <w:color w:val="000000" w:themeColor="text1"/>
                <w:sz w:val="21"/>
                <w:szCs w:val="21"/>
              </w:rPr>
              <m:t>i</m:t>
            </m:r>
          </m:sub>
        </m:sSub>
      </m:oMath>
      <w:r w:rsidR="00D31D73" w:rsidRPr="00CF571C">
        <w:rPr>
          <w:rFonts w:ascii="Times New Roman" w:hAnsi="Times New Roman" w:cs="Times New Roman"/>
          <w:color w:val="000000" w:themeColor="text1"/>
          <w:sz w:val="21"/>
          <w:szCs w:val="21"/>
        </w:rPr>
        <w:t>=</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SV</m:t>
            </m:r>
          </m:e>
          <m:sub>
            <m:r>
              <w:rPr>
                <w:rFonts w:ascii="Cambria Math" w:hAnsi="Cambria Math" w:cs="Times New Roman"/>
                <w:color w:val="000000" w:themeColor="text1"/>
                <w:sz w:val="21"/>
                <w:szCs w:val="21"/>
              </w:rPr>
              <m:t>i</m:t>
            </m:r>
          </m:sub>
        </m:sSub>
        <m:r>
          <m:rPr>
            <m:sty m:val="p"/>
          </m:rPr>
          <w:rPr>
            <w:rFonts w:ascii="Cambria Math" w:hAnsi="Cambria Math" w:cs="Times New Roman"/>
            <w:color w:val="000000" w:themeColor="text1"/>
            <w:sz w:val="21"/>
            <w:szCs w:val="21"/>
          </w:rPr>
          <m:t>/Σ</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SV</m:t>
            </m:r>
          </m:e>
          <m:sub>
            <m:r>
              <w:rPr>
                <w:rFonts w:ascii="Cambria Math" w:hAnsi="Cambria Math" w:cs="Times New Roman"/>
                <w:color w:val="000000" w:themeColor="text1"/>
                <w:sz w:val="21"/>
                <w:szCs w:val="21"/>
              </w:rPr>
              <m:t>i</m:t>
            </m:r>
          </m:sub>
        </m:sSub>
      </m:oMath>
      <w:r w:rsidR="00D31D73" w:rsidRPr="00CF571C">
        <w:rPr>
          <w:rFonts w:ascii="Times New Roman" w:hAnsi="Times New Roman" w:cs="Times New Roman" w:hint="eastAsia"/>
          <w:color w:val="000000" w:themeColor="text1"/>
          <w:sz w:val="21"/>
          <w:szCs w:val="21"/>
        </w:rPr>
        <w:t xml:space="preserve"> </w:t>
      </w:r>
      <w:r w:rsidR="00D31D73" w:rsidRPr="00CF571C">
        <w:rPr>
          <w:rFonts w:ascii="Times New Roman" w:hAnsi="Times New Roman" w:cs="Times New Roman"/>
          <w:color w:val="000000" w:themeColor="text1"/>
          <w:sz w:val="21"/>
          <w:szCs w:val="21"/>
        </w:rPr>
        <w:t xml:space="preserve">                                                       </w:t>
      </w:r>
      <w:r w:rsidR="00D31D73"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2</w:t>
      </w:r>
      <w:r w:rsidR="00D31D73" w:rsidRPr="00CF571C">
        <w:rPr>
          <w:rFonts w:ascii="Times New Roman" w:hAnsi="Times New Roman" w:cs="Times New Roman" w:hint="eastAsia"/>
          <w:color w:val="000000" w:themeColor="text1"/>
          <w:sz w:val="21"/>
          <w:szCs w:val="21"/>
        </w:rPr>
        <w:t>）</w:t>
      </w:r>
    </w:p>
    <w:bookmarkEnd w:id="28"/>
    <w:bookmarkEnd w:id="29"/>
    <w:p w14:paraId="71A3190E" w14:textId="77777777" w:rsidR="00D31D73" w:rsidRPr="00CF571C" w:rsidRDefault="00D31D73" w:rsidP="00297C78">
      <w:pPr>
        <w:adjustRightInd w:val="0"/>
        <w:snapToGrid w:val="0"/>
        <w:ind w:firstLineChars="200" w:firstLine="422"/>
        <w:rPr>
          <w:rFonts w:ascii="Times New Roman" w:hAnsi="Times New Roman" w:cs="Times New Roman"/>
          <w:color w:val="000000" w:themeColor="text1"/>
          <w:sz w:val="21"/>
          <w:szCs w:val="21"/>
        </w:rPr>
      </w:pPr>
      <w:r w:rsidRPr="00CF571C">
        <w:rPr>
          <w:rFonts w:ascii="Times New Roman" w:hAnsi="Times New Roman" w:cs="Times New Roman"/>
          <w:b/>
          <w:bCs/>
          <w:color w:val="000000" w:themeColor="text1"/>
          <w:sz w:val="21"/>
          <w:szCs w:val="21"/>
        </w:rPr>
        <w:t>2.</w:t>
      </w:r>
      <w:r w:rsidRPr="00CF571C">
        <w:rPr>
          <w:rFonts w:ascii="Times New Roman" w:hAnsi="Times New Roman" w:cs="Times New Roman" w:hint="eastAsia"/>
          <w:b/>
          <w:bCs/>
          <w:color w:val="000000" w:themeColor="text1"/>
          <w:sz w:val="21"/>
          <w:szCs w:val="21"/>
        </w:rPr>
        <w:t>倾向得分匹配法</w:t>
      </w:r>
      <w:r w:rsidR="00297C78" w:rsidRPr="00CF571C">
        <w:rPr>
          <w:rFonts w:ascii="Times New Roman" w:hAnsi="Times New Roman" w:cs="Times New Roman" w:hint="eastAsia"/>
          <w:b/>
          <w:bCs/>
          <w:color w:val="000000" w:themeColor="text1"/>
          <w:sz w:val="21"/>
          <w:szCs w:val="21"/>
        </w:rPr>
        <w:t>。</w:t>
      </w:r>
      <w:bookmarkStart w:id="30" w:name="OLE_LINK45"/>
      <w:bookmarkStart w:id="31" w:name="OLE_LINK46"/>
      <w:r w:rsidRPr="00CF571C">
        <w:rPr>
          <w:rFonts w:ascii="Times New Roman" w:hAnsi="Times New Roman" w:cs="Times New Roman" w:hint="eastAsia"/>
          <w:color w:val="000000" w:themeColor="text1"/>
          <w:sz w:val="21"/>
          <w:szCs w:val="21"/>
        </w:rPr>
        <w:t>在本文第二步中，需要针对异省毗邻“城市对”这类特殊样本展开研究。本文</w:t>
      </w:r>
      <w:r w:rsidRPr="00CF571C">
        <w:rPr>
          <w:rFonts w:ascii="Times New Roman" w:hAnsi="Times New Roman" w:cs="Times New Roman"/>
          <w:color w:val="000000" w:themeColor="text1"/>
          <w:sz w:val="21"/>
          <w:szCs w:val="21"/>
        </w:rPr>
        <w:t>采用倾向得分匹配法对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进行一对一匹配。</w:t>
      </w:r>
      <w:bookmarkEnd w:id="30"/>
      <w:bookmarkEnd w:id="31"/>
      <w:r w:rsidRPr="00CF571C">
        <w:rPr>
          <w:rFonts w:ascii="Times New Roman" w:hAnsi="Times New Roman" w:cs="Times New Roman"/>
          <w:color w:val="000000" w:themeColor="text1"/>
          <w:sz w:val="21"/>
          <w:szCs w:val="21"/>
        </w:rPr>
        <w:t>具体做法是，</w:t>
      </w:r>
      <w:r w:rsidRPr="00CF571C">
        <w:rPr>
          <w:rFonts w:ascii="Times New Roman" w:hAnsi="Times New Roman" w:cs="Times New Roman" w:hint="eastAsia"/>
          <w:color w:val="000000" w:themeColor="text1"/>
          <w:sz w:val="21"/>
          <w:szCs w:val="21"/>
        </w:rPr>
        <w:t>在所有“城市对”样本中，</w:t>
      </w:r>
      <w:r w:rsidRPr="00CF571C">
        <w:rPr>
          <w:rFonts w:ascii="Times New Roman" w:hAnsi="Times New Roman" w:cs="Times New Roman"/>
          <w:color w:val="000000" w:themeColor="text1"/>
          <w:sz w:val="21"/>
          <w:szCs w:val="21"/>
        </w:rPr>
        <w:t>以</w:t>
      </w:r>
      <w:r w:rsidRPr="00CF571C">
        <w:rPr>
          <w:rFonts w:ascii="Times New Roman" w:hAnsi="Times New Roman" w:cs="Times New Roman" w:hint="eastAsia"/>
          <w:color w:val="000000" w:themeColor="text1"/>
          <w:sz w:val="21"/>
          <w:szCs w:val="21"/>
        </w:rPr>
        <w:t>异省且</w:t>
      </w:r>
      <w:r w:rsidRPr="00CF571C">
        <w:rPr>
          <w:rFonts w:ascii="Times New Roman" w:hAnsi="Times New Roman" w:cs="Times New Roman"/>
          <w:color w:val="000000" w:themeColor="text1"/>
          <w:sz w:val="21"/>
          <w:szCs w:val="21"/>
        </w:rPr>
        <w:t>毗邻</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为处理组，</w:t>
      </w:r>
      <w:r w:rsidRPr="00CF571C">
        <w:rPr>
          <w:rFonts w:ascii="Times New Roman" w:hAnsi="Times New Roman" w:cs="Times New Roman" w:hint="eastAsia"/>
          <w:color w:val="000000" w:themeColor="text1"/>
          <w:sz w:val="21"/>
          <w:szCs w:val="21"/>
        </w:rPr>
        <w:t>为分别测度省级纵向影响和毗邻的横向影响，本文从</w:t>
      </w:r>
      <w:r w:rsidRPr="00CF571C">
        <w:rPr>
          <w:rFonts w:ascii="Times New Roman" w:hAnsi="Times New Roman" w:cs="Times New Roman"/>
          <w:color w:val="000000" w:themeColor="text1"/>
          <w:sz w:val="21"/>
          <w:szCs w:val="21"/>
        </w:rPr>
        <w:t>数据中</w:t>
      </w:r>
      <w:r w:rsidRPr="00CF571C">
        <w:rPr>
          <w:rFonts w:ascii="Times New Roman" w:hAnsi="Times New Roman" w:cs="Times New Roman" w:hint="eastAsia"/>
          <w:color w:val="000000" w:themeColor="text1"/>
          <w:sz w:val="21"/>
          <w:szCs w:val="21"/>
        </w:rPr>
        <w:t>分别选择同省</w:t>
      </w:r>
      <w:r w:rsidRPr="00CF571C">
        <w:rPr>
          <w:rFonts w:ascii="Times New Roman" w:hAnsi="Times New Roman" w:cs="Times New Roman"/>
          <w:color w:val="000000" w:themeColor="text1"/>
          <w:sz w:val="21"/>
          <w:szCs w:val="21"/>
        </w:rPr>
        <w:t>毗邻</w:t>
      </w:r>
      <w:r w:rsidR="002B2F17"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2B2F17"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和异省不毗邻“城市对”</w:t>
      </w:r>
      <w:r w:rsidRPr="00CF571C">
        <w:rPr>
          <w:rFonts w:ascii="Times New Roman" w:hAnsi="Times New Roman" w:cs="Times New Roman"/>
          <w:color w:val="000000" w:themeColor="text1"/>
          <w:sz w:val="21"/>
          <w:szCs w:val="21"/>
        </w:rPr>
        <w:t>作为控制组，通过产业结构差异、人均</w:t>
      </w:r>
      <w:r w:rsidRPr="00CF571C">
        <w:rPr>
          <w:rFonts w:ascii="Times New Roman" w:hAnsi="Times New Roman" w:cs="Times New Roman"/>
          <w:color w:val="000000" w:themeColor="text1"/>
          <w:sz w:val="21"/>
          <w:szCs w:val="21"/>
        </w:rPr>
        <w:t>FDI</w:t>
      </w:r>
      <w:r w:rsidRPr="00CF571C">
        <w:rPr>
          <w:rFonts w:ascii="Times New Roman" w:hAnsi="Times New Roman" w:cs="Times New Roman"/>
          <w:color w:val="000000" w:themeColor="text1"/>
          <w:sz w:val="21"/>
          <w:szCs w:val="21"/>
        </w:rPr>
        <w:t>差异、人均</w:t>
      </w:r>
      <w:r w:rsidRPr="00CF571C">
        <w:rPr>
          <w:rFonts w:ascii="Times New Roman" w:hAnsi="Times New Roman" w:cs="Times New Roman"/>
          <w:color w:val="000000" w:themeColor="text1"/>
          <w:sz w:val="21"/>
          <w:szCs w:val="21"/>
        </w:rPr>
        <w:t>GDP</w:t>
      </w:r>
      <w:r w:rsidRPr="00CF571C">
        <w:rPr>
          <w:rFonts w:ascii="Times New Roman" w:hAnsi="Times New Roman" w:cs="Times New Roman"/>
          <w:color w:val="000000" w:themeColor="text1"/>
          <w:sz w:val="21"/>
          <w:szCs w:val="21"/>
        </w:rPr>
        <w:t>差异、普通高等学校数差异、工业二氧化碳排放量差异等</w:t>
      </w:r>
      <m:oMath>
        <m:r>
          <w:rPr>
            <w:rFonts w:ascii="Cambria Math" w:hAnsi="Cambria Math" w:cs="Times New Roman"/>
            <w:color w:val="000000" w:themeColor="text1"/>
            <w:sz w:val="21"/>
            <w:szCs w:val="21"/>
          </w:rPr>
          <m:t>n</m:t>
        </m:r>
      </m:oMath>
      <w:r w:rsidRPr="00CF571C">
        <w:rPr>
          <w:rFonts w:ascii="Times New Roman" w:hAnsi="Times New Roman" w:cs="Times New Roman"/>
          <w:color w:val="000000" w:themeColor="text1"/>
          <w:sz w:val="21"/>
          <w:szCs w:val="21"/>
        </w:rPr>
        <w:t>个可观测的</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特征协变量（具体变量参见</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数据描述性统计部分），</w:t>
      </w:r>
      <w:r w:rsidRPr="00CF571C">
        <w:rPr>
          <w:rFonts w:ascii="Times New Roman" w:hAnsi="Times New Roman" w:cs="Times New Roman" w:hint="eastAsia"/>
          <w:color w:val="000000" w:themeColor="text1"/>
          <w:sz w:val="21"/>
          <w:szCs w:val="21"/>
        </w:rPr>
        <w:t>测算与同省毗邻和异省不毗邻两种不同控制组匹配后</w:t>
      </w:r>
      <w:r w:rsidRPr="00CF571C">
        <w:rPr>
          <w:rFonts w:ascii="Times New Roman" w:hAnsi="Times New Roman" w:cs="Times New Roman"/>
          <w:color w:val="000000" w:themeColor="text1"/>
          <w:sz w:val="21"/>
          <w:szCs w:val="21"/>
        </w:rPr>
        <w:t>，</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因</w:t>
      </w:r>
      <w:r w:rsidRPr="00CF571C">
        <w:rPr>
          <w:rFonts w:ascii="Times New Roman" w:hAnsi="Times New Roman" w:cs="Times New Roman"/>
          <w:color w:val="000000" w:themeColor="text1"/>
          <w:sz w:val="21"/>
          <w:szCs w:val="21"/>
        </w:rPr>
        <w:lastRenderedPageBreak/>
        <w:t>上述特征相近而被假定</w:t>
      </w:r>
      <w:r w:rsidRPr="00CF571C">
        <w:rPr>
          <w:rFonts w:ascii="Times New Roman" w:hAnsi="Times New Roman" w:cs="Times New Roman" w:hint="eastAsia"/>
          <w:color w:val="000000" w:themeColor="text1"/>
          <w:sz w:val="21"/>
          <w:szCs w:val="21"/>
        </w:rPr>
        <w:t>异省毗邻</w:t>
      </w:r>
      <w:r w:rsidRPr="00CF571C">
        <w:rPr>
          <w:rFonts w:ascii="Times New Roman" w:hAnsi="Times New Roman" w:cs="Times New Roman"/>
          <w:color w:val="000000" w:themeColor="text1"/>
          <w:sz w:val="21"/>
          <w:szCs w:val="21"/>
        </w:rPr>
        <w:t>的概率</w:t>
      </w:r>
      <w:r w:rsidR="00096CCF" w:rsidRPr="00CF571C">
        <w:rPr>
          <w:rFonts w:ascii="Times New Roman" w:hAnsi="Times New Roman" w:cs="Times New Roman"/>
          <w:color w:val="000000" w:themeColor="text1"/>
          <w:sz w:val="21"/>
          <w:szCs w:val="21"/>
        </w:rPr>
        <w:t>为</w:t>
      </w:r>
      <m:oMath>
        <m:r>
          <w:rPr>
            <w:rFonts w:ascii="Cambria Math" w:hAnsi="Cambria Math" w:cs="Times New Roman"/>
            <w:color w:val="000000" w:themeColor="text1"/>
            <w:sz w:val="21"/>
            <w:szCs w:val="21"/>
          </w:rPr>
          <m:t>p</m:t>
        </m:r>
      </m:oMath>
      <w:r w:rsidRPr="00CF571C">
        <w:rPr>
          <w:rFonts w:ascii="Times New Roman" w:hAnsi="Times New Roman" w:cs="Times New Roman"/>
          <w:color w:val="000000" w:themeColor="text1"/>
          <w:sz w:val="21"/>
          <w:szCs w:val="21"/>
        </w:rPr>
        <w:t>，</w:t>
      </w:r>
      <w:r w:rsidRPr="00CF571C">
        <w:rPr>
          <w:rFonts w:ascii="Times New Roman" w:hAnsi="Times New Roman" w:cs="Times New Roman" w:hint="eastAsia"/>
          <w:color w:val="000000" w:themeColor="text1"/>
          <w:sz w:val="21"/>
          <w:szCs w:val="21"/>
        </w:rPr>
        <w:t>并据此比较预算支出结构差异的变动，</w:t>
      </w:r>
      <w:bookmarkStart w:id="32" w:name="OLE_LINK47"/>
      <w:bookmarkStart w:id="33" w:name="OLE_LINK48"/>
      <w:r w:rsidRPr="00CF571C">
        <w:rPr>
          <w:rFonts w:ascii="Times New Roman" w:hAnsi="Times New Roman" w:cs="Times New Roman" w:hint="eastAsia"/>
          <w:color w:val="000000" w:themeColor="text1"/>
          <w:sz w:val="21"/>
          <w:szCs w:val="21"/>
        </w:rPr>
        <w:t>具</w:t>
      </w:r>
      <w:r w:rsidRPr="00CF571C">
        <w:rPr>
          <w:rFonts w:ascii="Times New Roman" w:hAnsi="Times New Roman" w:cs="Times New Roman"/>
          <w:color w:val="000000" w:themeColor="text1"/>
          <w:sz w:val="21"/>
          <w:szCs w:val="21"/>
        </w:rPr>
        <w:t>体参见式（</w:t>
      </w:r>
      <w:r w:rsidRPr="00CF571C">
        <w:rPr>
          <w:rFonts w:ascii="Times New Roman" w:hAnsi="Times New Roman" w:cs="Times New Roman" w:hint="eastAsia"/>
          <w:color w:val="000000" w:themeColor="text1"/>
          <w:sz w:val="21"/>
          <w:szCs w:val="21"/>
        </w:rPr>
        <w:t>3</w:t>
      </w:r>
      <w:r w:rsidRPr="00CF571C">
        <w:rPr>
          <w:rFonts w:ascii="Times New Roman" w:hAnsi="Times New Roman" w:cs="Times New Roman"/>
          <w:color w:val="000000" w:themeColor="text1"/>
          <w:sz w:val="21"/>
          <w:szCs w:val="21"/>
        </w:rPr>
        <w:t>）。</w:t>
      </w:r>
    </w:p>
    <w:p w14:paraId="1905181D" w14:textId="77777777" w:rsidR="00D31D73" w:rsidRPr="00CF571C" w:rsidRDefault="00D31D73" w:rsidP="004B4817">
      <w:pPr>
        <w:ind w:firstLineChars="400" w:firstLine="840"/>
        <w:jc w:val="right"/>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              </w:t>
      </w:r>
      <m:oMath>
        <m:r>
          <m:rPr>
            <m:sty m:val="p"/>
          </m:rPr>
          <w:rPr>
            <w:rFonts w:ascii="Cambria Math" w:hAnsi="Cambria Math" w:cs="Times New Roman"/>
            <w:color w:val="000000" w:themeColor="text1"/>
            <w:sz w:val="21"/>
            <w:szCs w:val="21"/>
          </w:rPr>
          <m:t>ln</m:t>
        </m:r>
        <m:f>
          <m:fPr>
            <m:ctrlPr>
              <w:rPr>
                <w:rFonts w:ascii="Cambria Math" w:hAnsi="Cambria Math" w:cs="Times New Roman"/>
                <w:i/>
                <w:iCs/>
                <w:color w:val="000000" w:themeColor="text1"/>
                <w:sz w:val="21"/>
                <w:szCs w:val="21"/>
              </w:rPr>
            </m:ctrlPr>
          </m:fPr>
          <m:num>
            <m:r>
              <w:rPr>
                <w:rFonts w:ascii="Cambria Math" w:hAnsi="Cambria Math" w:cs="Times New Roman"/>
                <w:color w:val="000000" w:themeColor="text1"/>
                <w:sz w:val="21"/>
                <w:szCs w:val="21"/>
              </w:rPr>
              <m:t>p</m:t>
            </m:r>
          </m:num>
          <m:den>
            <m:r>
              <w:rPr>
                <w:rFonts w:ascii="Cambria Math" w:hAnsi="Cambria Math" w:cs="Times New Roman"/>
                <w:color w:val="000000" w:themeColor="text1"/>
                <w:sz w:val="21"/>
                <w:szCs w:val="21"/>
              </w:rPr>
              <m:t>1-p</m:t>
            </m:r>
          </m:den>
        </m:f>
      </m:oMath>
      <w:r w:rsidRPr="00CF571C">
        <w:rPr>
          <w:rFonts w:ascii="Times New Roman" w:hAnsi="Times New Roman" w:cs="Times New Roman"/>
          <w:color w:val="000000" w:themeColor="text1"/>
          <w:sz w:val="21"/>
          <w:szCs w:val="21"/>
        </w:rPr>
        <w:t>=</w:t>
      </w:r>
      <m:oMath>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a</m:t>
            </m:r>
          </m:e>
          <m:sub>
            <m:r>
              <m:rPr>
                <m:sty m:val="p"/>
              </m:rPr>
              <w:rPr>
                <w:rFonts w:ascii="Cambria Math" w:hAnsi="Cambria Math" w:cs="Times New Roman"/>
                <w:color w:val="000000" w:themeColor="text1"/>
                <w:sz w:val="21"/>
                <w:szCs w:val="21"/>
              </w:rPr>
              <m:t>0</m:t>
            </m:r>
          </m:sub>
        </m:sSub>
        <m:r>
          <m:rPr>
            <m:sty m:val="p"/>
          </m:rPr>
          <w:rPr>
            <w:rFonts w:ascii="Cambria Math" w:hAnsi="Cambria Math" w:cs="Times New Roman"/>
            <w:color w:val="000000" w:themeColor="text1"/>
            <w:sz w:val="21"/>
            <w:szCs w:val="21"/>
          </w:rPr>
          <m:t>+</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a</m:t>
            </m:r>
          </m:e>
          <m:sub>
            <m:r>
              <m:rPr>
                <m:sty m:val="p"/>
              </m:rPr>
              <w:rPr>
                <w:rFonts w:ascii="Cambria Math" w:hAnsi="Cambria Math" w:cs="Times New Roman"/>
                <w:color w:val="000000" w:themeColor="text1"/>
                <w:sz w:val="21"/>
                <w:szCs w:val="21"/>
              </w:rPr>
              <m:t>1</m:t>
            </m:r>
          </m:sub>
        </m:sSub>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m:rPr>
                <m:sty m:val="p"/>
              </m:rPr>
              <w:rPr>
                <w:rFonts w:ascii="Cambria Math" w:hAnsi="Cambria Math" w:cs="Times New Roman"/>
                <w:color w:val="000000" w:themeColor="text1"/>
                <w:sz w:val="21"/>
                <w:szCs w:val="21"/>
              </w:rPr>
              <m:t>1</m:t>
            </m:r>
          </m:sub>
        </m:sSub>
        <m:r>
          <m:rPr>
            <m:sty m:val="p"/>
          </m:rPr>
          <w:rPr>
            <w:rFonts w:ascii="Cambria Math" w:hAnsi="Cambria Math" w:cs="Times New Roman"/>
            <w:color w:val="000000" w:themeColor="text1"/>
            <w:sz w:val="21"/>
            <w:szCs w:val="21"/>
          </w:rPr>
          <m:t>+</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a</m:t>
            </m:r>
          </m:e>
          <m:sub>
            <m:r>
              <m:rPr>
                <m:sty m:val="p"/>
              </m:rPr>
              <w:rPr>
                <w:rFonts w:ascii="Cambria Math" w:hAnsi="Cambria Math" w:cs="Times New Roman"/>
                <w:color w:val="000000" w:themeColor="text1"/>
                <w:sz w:val="21"/>
                <w:szCs w:val="21"/>
              </w:rPr>
              <m:t>2</m:t>
            </m:r>
          </m:sub>
        </m:sSub>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m:rPr>
                <m:sty m:val="p"/>
              </m:rPr>
              <w:rPr>
                <w:rFonts w:ascii="Cambria Math" w:hAnsi="Cambria Math" w:cs="Times New Roman"/>
                <w:color w:val="000000" w:themeColor="text1"/>
                <w:sz w:val="21"/>
                <w:szCs w:val="21"/>
              </w:rPr>
              <m:t>2</m:t>
            </m:r>
          </m:sub>
        </m:sSub>
        <m:r>
          <m:rPr>
            <m:sty m:val="p"/>
          </m:rPr>
          <w:rPr>
            <w:rFonts w:ascii="Cambria Math" w:hAnsi="Cambria Math" w:cs="Times New Roman"/>
            <w:color w:val="000000" w:themeColor="text1"/>
            <w:sz w:val="21"/>
            <w:szCs w:val="21"/>
          </w:rPr>
          <m:t>+…+</m:t>
        </m:r>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a</m:t>
            </m:r>
          </m:e>
          <m:sub>
            <m:r>
              <w:rPr>
                <w:rFonts w:ascii="Cambria Math" w:hAnsi="Cambria Math" w:cs="Times New Roman"/>
                <w:color w:val="000000" w:themeColor="text1"/>
                <w:sz w:val="21"/>
                <w:szCs w:val="21"/>
              </w:rPr>
              <m:t>m</m:t>
            </m:r>
          </m:sub>
        </m:sSub>
        <m:sSub>
          <m:sSubPr>
            <m:ctrlPr>
              <w:rPr>
                <w:rFonts w:ascii="Cambria Math" w:hAnsi="Cambria Math" w:cs="Times New Roman"/>
                <w:color w:val="000000" w:themeColor="text1"/>
                <w:sz w:val="21"/>
                <w:szCs w:val="21"/>
              </w:rPr>
            </m:ctrlPr>
          </m:sSubPr>
          <m:e>
            <m:r>
              <w:rPr>
                <w:rFonts w:ascii="Cambria Math" w:hAnsi="Cambria Math" w:cs="Times New Roman"/>
                <w:color w:val="000000" w:themeColor="text1"/>
                <w:sz w:val="21"/>
                <w:szCs w:val="21"/>
              </w:rPr>
              <m:t>x</m:t>
            </m:r>
          </m:e>
          <m:sub>
            <m:r>
              <w:rPr>
                <w:rFonts w:ascii="Cambria Math" w:hAnsi="Cambria Math" w:cs="Times New Roman"/>
                <w:color w:val="000000" w:themeColor="text1"/>
                <w:sz w:val="21"/>
                <w:szCs w:val="21"/>
              </w:rPr>
              <m:t>m</m:t>
            </m:r>
          </m:sub>
        </m:sSub>
      </m:oMath>
      <w:r w:rsidRPr="00CF571C">
        <w:rPr>
          <w:rFonts w:ascii="Times New Roman" w:hAnsi="Times New Roman" w:cs="Times New Roman"/>
          <w:color w:val="000000" w:themeColor="text1"/>
          <w:sz w:val="21"/>
          <w:szCs w:val="21"/>
        </w:rPr>
        <w:t xml:space="preserve">                                  </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3</w:t>
      </w:r>
      <w:r w:rsidRPr="00CF571C">
        <w:rPr>
          <w:rFonts w:ascii="Times New Roman" w:hAnsi="Times New Roman" w:cs="Times New Roman" w:hint="eastAsia"/>
          <w:color w:val="000000" w:themeColor="text1"/>
          <w:sz w:val="21"/>
          <w:szCs w:val="21"/>
        </w:rPr>
        <w:t>）</w:t>
      </w:r>
    </w:p>
    <w:bookmarkEnd w:id="32"/>
    <w:bookmarkEnd w:id="33"/>
    <w:p w14:paraId="737AC4E8" w14:textId="77777777" w:rsidR="00D31D73" w:rsidRPr="00CF571C" w:rsidRDefault="004E46D7" w:rsidP="0075508C">
      <w:pPr>
        <w:ind w:firstLineChars="200" w:firstLine="422"/>
        <w:jc w:val="both"/>
        <w:rPr>
          <w:rFonts w:ascii="黑体" w:eastAsia="黑体" w:hAnsi="黑体" w:cs="Times New Roman"/>
          <w:b/>
          <w:bCs/>
          <w:color w:val="000000" w:themeColor="text1"/>
          <w:sz w:val="21"/>
          <w:szCs w:val="21"/>
        </w:rPr>
      </w:pPr>
      <w:r w:rsidRPr="00CF571C">
        <w:rPr>
          <w:rFonts w:ascii="黑体" w:eastAsia="黑体" w:hAnsi="黑体" w:cs="Times New Roman" w:hint="eastAsia"/>
          <w:b/>
          <w:bCs/>
          <w:color w:val="000000" w:themeColor="text1"/>
          <w:sz w:val="21"/>
          <w:szCs w:val="21"/>
        </w:rPr>
        <w:t>（三）</w:t>
      </w:r>
      <w:r w:rsidR="00D31D73" w:rsidRPr="00CF571C">
        <w:rPr>
          <w:rFonts w:ascii="黑体" w:eastAsia="黑体" w:hAnsi="黑体" w:cs="Times New Roman"/>
          <w:b/>
          <w:bCs/>
          <w:color w:val="000000" w:themeColor="text1"/>
          <w:sz w:val="21"/>
          <w:szCs w:val="21"/>
        </w:rPr>
        <w:t>数据与变量</w:t>
      </w:r>
    </w:p>
    <w:p w14:paraId="47E0F736" w14:textId="77777777" w:rsidR="00D31D73" w:rsidRPr="00CF571C" w:rsidRDefault="00D31D73" w:rsidP="00536E76">
      <w:pPr>
        <w:adjustRightInd w:val="0"/>
        <w:snapToGrid w:val="0"/>
        <w:ind w:firstLineChars="200" w:firstLine="420"/>
        <w:jc w:val="both"/>
        <w:rPr>
          <w:rFonts w:ascii="Times New Roman" w:hAnsi="Times New Roman" w:cs="Times New Roman"/>
          <w:b/>
          <w:bCs/>
          <w:color w:val="000000" w:themeColor="text1"/>
          <w:sz w:val="21"/>
          <w:szCs w:val="21"/>
        </w:rPr>
      </w:pPr>
      <w:r w:rsidRPr="00CF571C">
        <w:rPr>
          <w:rFonts w:ascii="Times New Roman" w:hAnsi="Times New Roman" w:cs="Times New Roman"/>
          <w:color w:val="000000" w:themeColor="text1"/>
          <w:sz w:val="21"/>
          <w:szCs w:val="21"/>
        </w:rPr>
        <w:t>本文使用</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8B4F66"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数据集进行研究，使用的变量指标如表</w:t>
      </w:r>
      <w:r w:rsidR="00A73455" w:rsidRPr="00CF571C">
        <w:rPr>
          <w:rFonts w:ascii="Times New Roman" w:hAnsi="Times New Roman" w:cs="Times New Roman"/>
          <w:color w:val="000000" w:themeColor="text1"/>
          <w:sz w:val="21"/>
          <w:szCs w:val="21"/>
        </w:rPr>
        <w:t>2</w:t>
      </w:r>
      <w:r w:rsidRPr="00CF571C">
        <w:rPr>
          <w:rFonts w:ascii="Times New Roman" w:hAnsi="Times New Roman" w:cs="Times New Roman"/>
          <w:color w:val="000000" w:themeColor="text1"/>
          <w:sz w:val="21"/>
          <w:szCs w:val="21"/>
        </w:rPr>
        <w:t>所示。本文的被解释变量是</w:t>
      </w:r>
      <w:r w:rsidR="00F40321"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F40321"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间教育、科学技术、医疗卫生、社会保障与就业支出占一般公共预算支出的比例差异。控制变量分为核心控制变量与特征匹配变量，包括了地级市六个维度的特征指标：地方财政状况、地方财政支出目标特征、地方经济状况、地方地理特征、地方民生状况与地方环境特征。其中，核心控制变量为研究地方预算支出结构差异来源的主要控制指标</w:t>
      </w:r>
      <w:r w:rsidRPr="00CF571C">
        <w:rPr>
          <w:rStyle w:val="ac"/>
          <w:rFonts w:ascii="Times New Roman" w:hAnsi="Times New Roman" w:cs="Times New Roman"/>
          <w:color w:val="000000" w:themeColor="text1"/>
          <w:sz w:val="21"/>
          <w:szCs w:val="21"/>
        </w:rPr>
        <w:footnoteReference w:id="5"/>
      </w:r>
      <w:r w:rsidRPr="00CF571C">
        <w:rPr>
          <w:rFonts w:ascii="Times New Roman" w:hAnsi="Times New Roman" w:cs="Times New Roman"/>
          <w:color w:val="000000" w:themeColor="text1"/>
          <w:sz w:val="21"/>
          <w:szCs w:val="21"/>
        </w:rPr>
        <w:t>，特征匹配变量为</w:t>
      </w:r>
      <w:r w:rsidR="00F40321"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F40321"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进行倾向得分匹配的补充控制变量，目的是更好地匹配特征相似的</w:t>
      </w:r>
      <w:r w:rsidR="00F40321"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F40321"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样本。</w:t>
      </w:r>
    </w:p>
    <w:p w14:paraId="1C78A112" w14:textId="77777777" w:rsidR="00D31D73" w:rsidRPr="00CF571C" w:rsidRDefault="00096CCF" w:rsidP="00536E76">
      <w:pPr>
        <w:ind w:firstLineChars="200" w:firstLine="420"/>
        <w:jc w:val="both"/>
        <w:rPr>
          <w:rFonts w:ascii="Times New Roman" w:hAnsi="Times New Roman" w:cs="Times New Roman"/>
          <w:color w:val="000000" w:themeColor="text1"/>
          <w:sz w:val="21"/>
          <w:szCs w:val="21"/>
        </w:rPr>
      </w:pPr>
      <w:r w:rsidRPr="00CF571C">
        <w:rPr>
          <w:rFonts w:ascii="Times New Roman" w:eastAsia="楷体" w:hAnsi="Times New Roman" w:cs="Times New Roman"/>
          <w:bCs/>
          <w:color w:val="000000" w:themeColor="text1"/>
          <w:sz w:val="21"/>
          <w:szCs w:val="21"/>
        </w:rPr>
        <w:t>1.</w:t>
      </w:r>
      <w:r w:rsidR="00D31D73" w:rsidRPr="00CF571C">
        <w:rPr>
          <w:rFonts w:ascii="Times New Roman" w:eastAsia="楷体" w:hAnsi="Times New Roman" w:cs="Times New Roman" w:hint="eastAsia"/>
          <w:bCs/>
          <w:color w:val="000000" w:themeColor="text1"/>
          <w:sz w:val="21"/>
          <w:szCs w:val="21"/>
        </w:rPr>
        <w:t>地方财政状况包括财政分权差异与地方财力差异。</w:t>
      </w:r>
      <w:r w:rsidR="00D31D73" w:rsidRPr="00CF571C">
        <w:rPr>
          <w:rFonts w:ascii="Times New Roman" w:hAnsi="Times New Roman" w:cs="Times New Roman"/>
          <w:color w:val="000000" w:themeColor="text1"/>
          <w:sz w:val="21"/>
          <w:szCs w:val="21"/>
        </w:rPr>
        <w:t>财政分权理论提出财政分权程度可以影响地方财政支出（</w:t>
      </w:r>
      <w:r w:rsidR="00D31D73" w:rsidRPr="00CF571C">
        <w:rPr>
          <w:rFonts w:ascii="Times New Roman" w:hAnsi="Times New Roman" w:cs="Times New Roman"/>
          <w:color w:val="000000" w:themeColor="text1"/>
          <w:sz w:val="21"/>
          <w:szCs w:val="21"/>
        </w:rPr>
        <w:t>Keen &amp; Marchand</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1997</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Qian &amp; Roland</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1998</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Heine</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2006</w:t>
      </w:r>
      <w:r w:rsidR="00D31D73" w:rsidRPr="00CF571C">
        <w:rPr>
          <w:rFonts w:ascii="Times New Roman" w:hAnsi="Times New Roman" w:cs="Times New Roman"/>
          <w:color w:val="000000" w:themeColor="text1"/>
          <w:sz w:val="21"/>
          <w:szCs w:val="21"/>
        </w:rPr>
        <w:t>）。当前度量财政分权主要分为收入分权、支出分权、税收分成率三种（毛捷等，</w:t>
      </w:r>
      <w:r w:rsidR="00D31D73" w:rsidRPr="00CF571C">
        <w:rPr>
          <w:rFonts w:ascii="Times New Roman" w:hAnsi="Times New Roman" w:cs="Times New Roman"/>
          <w:color w:val="000000" w:themeColor="text1"/>
          <w:sz w:val="21"/>
          <w:szCs w:val="21"/>
        </w:rPr>
        <w:t>2018</w:t>
      </w:r>
      <w:r w:rsidR="00D31D73" w:rsidRPr="00CF571C">
        <w:rPr>
          <w:rFonts w:ascii="Times New Roman" w:hAnsi="Times New Roman" w:cs="Times New Roman"/>
          <w:color w:val="000000" w:themeColor="text1"/>
          <w:sz w:val="21"/>
          <w:szCs w:val="21"/>
        </w:rPr>
        <w:t>），本文使用的支出分权指标反映了中央与各地方政府在支出责任划分上的差异。地方财力则衡量了地方政府可以调用的财政资源，根据包含政府支出的内生增长理论（</w:t>
      </w:r>
      <w:r w:rsidR="00D31D73" w:rsidRPr="00CF571C">
        <w:rPr>
          <w:rFonts w:ascii="Times New Roman" w:hAnsi="Times New Roman" w:cs="Times New Roman"/>
          <w:color w:val="000000" w:themeColor="text1"/>
          <w:sz w:val="21"/>
          <w:szCs w:val="21"/>
        </w:rPr>
        <w:t>Barro</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1990</w:t>
      </w:r>
      <w:r w:rsidR="00D31D73" w:rsidRPr="00CF571C">
        <w:rPr>
          <w:rFonts w:ascii="Times New Roman" w:hAnsi="Times New Roman" w:cs="Times New Roman"/>
          <w:color w:val="000000" w:themeColor="text1"/>
          <w:sz w:val="21"/>
          <w:szCs w:val="21"/>
        </w:rPr>
        <w:t>），当政府通过税收来满足财政支出时</w:t>
      </w:r>
      <w:r w:rsidR="00FD7C7F"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税收水平的高低会直接影响财政支出的经济增长效应，因而一个直观的推论是：地方政府会因为地方财力高低改变而调整财政支出。因此，本文采用人均财政收入予以刻画地方财力指标。</w:t>
      </w:r>
    </w:p>
    <w:p w14:paraId="5AC7E9D5" w14:textId="77777777" w:rsidR="00D31D73" w:rsidRPr="00CF571C" w:rsidRDefault="00096CCF" w:rsidP="00536E76">
      <w:pPr>
        <w:ind w:firstLineChars="200" w:firstLine="420"/>
        <w:jc w:val="both"/>
        <w:rPr>
          <w:rFonts w:ascii="Times New Roman" w:hAnsi="Times New Roman" w:cs="Times New Roman"/>
          <w:color w:val="000000" w:themeColor="text1"/>
          <w:sz w:val="21"/>
          <w:szCs w:val="21"/>
        </w:rPr>
      </w:pPr>
      <w:r w:rsidRPr="00CF571C">
        <w:rPr>
          <w:rFonts w:ascii="Times New Roman" w:eastAsia="楷体" w:hAnsi="Times New Roman" w:cs="Times New Roman"/>
          <w:bCs/>
          <w:color w:val="000000" w:themeColor="text1"/>
          <w:sz w:val="21"/>
          <w:szCs w:val="21"/>
        </w:rPr>
        <w:t>2.</w:t>
      </w:r>
      <w:r w:rsidR="00D31D73" w:rsidRPr="00CF571C">
        <w:rPr>
          <w:rFonts w:ascii="Times New Roman" w:eastAsia="楷体" w:hAnsi="Times New Roman" w:cs="Times New Roman" w:hint="eastAsia"/>
          <w:bCs/>
          <w:color w:val="000000" w:themeColor="text1"/>
          <w:sz w:val="21"/>
          <w:szCs w:val="21"/>
        </w:rPr>
        <w:t>地方支出目标特征包括人口密度差异与职工平均工资差异。</w:t>
      </w:r>
      <w:r w:rsidR="00D31D73" w:rsidRPr="00CF571C">
        <w:rPr>
          <w:rFonts w:ascii="Times New Roman" w:hAnsi="Times New Roman" w:cs="Times New Roman"/>
          <w:color w:val="000000" w:themeColor="text1"/>
          <w:sz w:val="21"/>
          <w:szCs w:val="21"/>
        </w:rPr>
        <w:t>对于人口密度这一指标，在瓦格纳法则中，</w:t>
      </w:r>
      <w:r w:rsidR="00D31D73" w:rsidRPr="00CF571C">
        <w:rPr>
          <w:rFonts w:ascii="Times New Roman" w:hAnsi="Times New Roman" w:cs="Times New Roman"/>
          <w:color w:val="000000" w:themeColor="text1"/>
          <w:sz w:val="21"/>
          <w:szCs w:val="21"/>
        </w:rPr>
        <w:t>Wagner</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1958</w:t>
      </w:r>
      <w:r w:rsidR="00D31D73" w:rsidRPr="00CF571C">
        <w:rPr>
          <w:rFonts w:ascii="Times New Roman" w:hAnsi="Times New Roman" w:cs="Times New Roman"/>
          <w:color w:val="000000" w:themeColor="text1"/>
          <w:sz w:val="21"/>
          <w:szCs w:val="21"/>
        </w:rPr>
        <w:t>）认为高居住密度产生的负外部性，如人员拥挤等问题会增加政府的财政支出。黄国平（</w:t>
      </w:r>
      <w:r w:rsidR="00D31D73" w:rsidRPr="00CF571C">
        <w:rPr>
          <w:rFonts w:ascii="Times New Roman" w:hAnsi="Times New Roman" w:cs="Times New Roman"/>
          <w:color w:val="000000" w:themeColor="text1"/>
          <w:sz w:val="21"/>
          <w:szCs w:val="21"/>
        </w:rPr>
        <w:t>2013</w:t>
      </w:r>
      <w:r w:rsidR="00D31D73" w:rsidRPr="00CF571C">
        <w:rPr>
          <w:rFonts w:ascii="Times New Roman" w:hAnsi="Times New Roman" w:cs="Times New Roman"/>
          <w:color w:val="000000" w:themeColor="text1"/>
          <w:sz w:val="21"/>
          <w:szCs w:val="21"/>
        </w:rPr>
        <w:t>）同样发现地区人口密度越高，地方政府的基础建设支出比重越小。对于职工平均工资这一指标，因财政对于就业促进方面有重要作用，政府常根据实际经济情况调整财政政策，以调节职工平均工资，保证居民的生活稳定。</w:t>
      </w:r>
    </w:p>
    <w:p w14:paraId="4262765B" w14:textId="77777777" w:rsidR="00D31D73" w:rsidRPr="00CF571C" w:rsidRDefault="00096CCF" w:rsidP="00536E76">
      <w:pPr>
        <w:ind w:firstLineChars="200" w:firstLine="420"/>
        <w:jc w:val="both"/>
        <w:rPr>
          <w:rFonts w:ascii="Times New Roman" w:hAnsi="Times New Roman" w:cs="Times New Roman"/>
          <w:color w:val="000000" w:themeColor="text1"/>
          <w:sz w:val="21"/>
          <w:szCs w:val="21"/>
        </w:rPr>
      </w:pPr>
      <w:r w:rsidRPr="00CF571C">
        <w:rPr>
          <w:rFonts w:ascii="Times New Roman" w:eastAsia="楷体" w:hAnsi="Times New Roman" w:cs="Times New Roman"/>
          <w:bCs/>
          <w:color w:val="000000" w:themeColor="text1"/>
          <w:sz w:val="21"/>
          <w:szCs w:val="21"/>
        </w:rPr>
        <w:t>3.</w:t>
      </w:r>
      <w:r w:rsidR="00D31D73" w:rsidRPr="00CF571C">
        <w:rPr>
          <w:rFonts w:ascii="Times New Roman" w:eastAsia="楷体" w:hAnsi="Times New Roman" w:cs="Times New Roman" w:hint="eastAsia"/>
          <w:bCs/>
          <w:color w:val="000000" w:themeColor="text1"/>
          <w:sz w:val="21"/>
          <w:szCs w:val="21"/>
        </w:rPr>
        <w:t>地方经济状况包括产业结构比重差异、人均</w:t>
      </w:r>
      <w:r w:rsidR="00D31D73" w:rsidRPr="00CF571C">
        <w:rPr>
          <w:rFonts w:ascii="Times New Roman" w:eastAsia="楷体" w:hAnsi="Times New Roman" w:cs="Times New Roman"/>
          <w:bCs/>
          <w:color w:val="000000" w:themeColor="text1"/>
          <w:sz w:val="21"/>
          <w:szCs w:val="21"/>
        </w:rPr>
        <w:t>FDI</w:t>
      </w:r>
      <w:r w:rsidR="00D31D73" w:rsidRPr="00CF571C">
        <w:rPr>
          <w:rFonts w:ascii="Times New Roman" w:eastAsia="楷体" w:hAnsi="Times New Roman" w:cs="Times New Roman" w:hint="eastAsia"/>
          <w:bCs/>
          <w:color w:val="000000" w:themeColor="text1"/>
          <w:sz w:val="21"/>
          <w:szCs w:val="21"/>
        </w:rPr>
        <w:t>差异、人均</w:t>
      </w:r>
      <w:r w:rsidR="00D31D73" w:rsidRPr="00CF571C">
        <w:rPr>
          <w:rFonts w:ascii="Times New Roman" w:eastAsia="楷体" w:hAnsi="Times New Roman" w:cs="Times New Roman"/>
          <w:bCs/>
          <w:color w:val="000000" w:themeColor="text1"/>
          <w:sz w:val="21"/>
          <w:szCs w:val="21"/>
        </w:rPr>
        <w:t>GDP</w:t>
      </w:r>
      <w:r w:rsidR="00D31D73" w:rsidRPr="00CF571C">
        <w:rPr>
          <w:rFonts w:ascii="Times New Roman" w:eastAsia="楷体" w:hAnsi="Times New Roman" w:cs="Times New Roman" w:hint="eastAsia"/>
          <w:bCs/>
          <w:color w:val="000000" w:themeColor="text1"/>
          <w:sz w:val="21"/>
          <w:szCs w:val="21"/>
        </w:rPr>
        <w:t>差异、规模以上工业企业数量差异、规模以上工业总产值差异。</w:t>
      </w:r>
      <w:r w:rsidR="00D31D73" w:rsidRPr="00CF571C">
        <w:rPr>
          <w:rFonts w:ascii="Times New Roman" w:hAnsi="Times New Roman" w:cs="Times New Roman"/>
          <w:color w:val="000000" w:themeColor="text1"/>
          <w:sz w:val="21"/>
          <w:szCs w:val="21"/>
        </w:rPr>
        <w:t>Wagner</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1958</w:t>
      </w:r>
      <w:r w:rsidR="00D31D73" w:rsidRPr="00CF571C">
        <w:rPr>
          <w:rFonts w:ascii="Times New Roman" w:hAnsi="Times New Roman" w:cs="Times New Roman"/>
          <w:color w:val="000000" w:themeColor="text1"/>
          <w:sz w:val="21"/>
          <w:szCs w:val="21"/>
        </w:rPr>
        <w:t>）指出政府对经济活动的干预和直接从事的生产性活动会随着经济结构的变化而变化，换言之，产业产值和结构的变动能够影响政府的支出，因此，本文使用第一产业比重、第二产业比重以及规模以上工业企业的数量和产值指标来控制地级市的经济结构差异，另外，</w:t>
      </w:r>
      <w:r w:rsidR="00D31D73" w:rsidRPr="00CF571C">
        <w:rPr>
          <w:rFonts w:ascii="Times New Roman" w:hAnsi="Times New Roman" w:cs="Times New Roman"/>
          <w:color w:val="000000" w:themeColor="text1"/>
          <w:sz w:val="21"/>
          <w:szCs w:val="21"/>
        </w:rPr>
        <w:t>FDI</w:t>
      </w:r>
      <w:r w:rsidR="00D31D73" w:rsidRPr="00CF571C">
        <w:rPr>
          <w:rFonts w:ascii="Times New Roman" w:hAnsi="Times New Roman" w:cs="Times New Roman"/>
          <w:color w:val="000000" w:themeColor="text1"/>
          <w:sz w:val="21"/>
          <w:szCs w:val="21"/>
        </w:rPr>
        <w:t>的流入</w:t>
      </w:r>
      <w:r w:rsidR="00D31D73"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为各地区经济发展注入了资本，有利于弥补各地区经济发展的资本缺口，也会对政府财政收支产生影响（王德祥</w:t>
      </w:r>
      <w:r w:rsidR="003F73D6"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张权，</w:t>
      </w:r>
      <w:r w:rsidR="00D31D73" w:rsidRPr="00CF571C">
        <w:rPr>
          <w:rFonts w:ascii="Times New Roman" w:hAnsi="Times New Roman" w:cs="Times New Roman"/>
          <w:color w:val="000000" w:themeColor="text1"/>
          <w:sz w:val="21"/>
          <w:szCs w:val="21"/>
        </w:rPr>
        <w:t>2011</w:t>
      </w:r>
      <w:r w:rsidR="00D31D73" w:rsidRPr="00CF571C">
        <w:rPr>
          <w:rFonts w:ascii="Times New Roman" w:hAnsi="Times New Roman" w:cs="Times New Roman"/>
          <w:color w:val="000000" w:themeColor="text1"/>
          <w:sz w:val="21"/>
          <w:szCs w:val="21"/>
        </w:rPr>
        <w:t>）。地方人均</w:t>
      </w:r>
      <w:r w:rsidR="00D31D73" w:rsidRPr="00CF571C">
        <w:rPr>
          <w:rFonts w:ascii="Times New Roman" w:hAnsi="Times New Roman" w:cs="Times New Roman"/>
          <w:color w:val="000000" w:themeColor="text1"/>
          <w:sz w:val="21"/>
          <w:szCs w:val="21"/>
        </w:rPr>
        <w:t>GDP</w:t>
      </w:r>
      <w:r w:rsidR="00D31D73" w:rsidRPr="00CF571C">
        <w:rPr>
          <w:rFonts w:ascii="Times New Roman" w:hAnsi="Times New Roman" w:cs="Times New Roman"/>
          <w:color w:val="000000" w:themeColor="text1"/>
          <w:sz w:val="21"/>
          <w:szCs w:val="21"/>
        </w:rPr>
        <w:t>则是衡量地方经济发展状况最为直接的宏观指标，根据瓦格纳法则，随着经济发展，政府财政支出会不断增加，具体表现是政府财政支出随人均</w:t>
      </w:r>
      <w:r w:rsidR="00D31D73" w:rsidRPr="00CF571C">
        <w:rPr>
          <w:rFonts w:ascii="Times New Roman" w:hAnsi="Times New Roman" w:cs="Times New Roman"/>
          <w:color w:val="000000" w:themeColor="text1"/>
          <w:sz w:val="21"/>
          <w:szCs w:val="21"/>
        </w:rPr>
        <w:t>GDP</w:t>
      </w:r>
      <w:r w:rsidR="00D31D73" w:rsidRPr="00CF571C">
        <w:rPr>
          <w:rFonts w:ascii="Times New Roman" w:hAnsi="Times New Roman" w:cs="Times New Roman"/>
          <w:color w:val="000000" w:themeColor="text1"/>
          <w:sz w:val="21"/>
          <w:szCs w:val="21"/>
        </w:rPr>
        <w:t>上升而提高</w:t>
      </w:r>
      <w:r w:rsidR="00D31D73"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Peacock &amp; Scott</w:t>
      </w:r>
      <w:r w:rsidR="00D31D73" w:rsidRPr="00CF571C">
        <w:rPr>
          <w:rFonts w:ascii="Times New Roman" w:hAnsi="Times New Roman" w:cs="Times New Roman"/>
          <w:color w:val="000000" w:themeColor="text1"/>
          <w:sz w:val="21"/>
          <w:szCs w:val="21"/>
        </w:rPr>
        <w:t>，</w:t>
      </w:r>
      <w:r w:rsidR="00D31D73" w:rsidRPr="00CF571C">
        <w:rPr>
          <w:rFonts w:ascii="Times New Roman" w:hAnsi="Times New Roman" w:cs="Times New Roman"/>
          <w:color w:val="000000" w:themeColor="text1"/>
          <w:sz w:val="21"/>
          <w:szCs w:val="21"/>
        </w:rPr>
        <w:t>2000</w:t>
      </w:r>
      <w:r w:rsidR="00D31D73"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w:t>
      </w:r>
    </w:p>
    <w:p w14:paraId="56636310" w14:textId="77777777" w:rsidR="00D31D73" w:rsidRPr="00CF571C" w:rsidRDefault="00096CCF" w:rsidP="00536E76">
      <w:pPr>
        <w:ind w:firstLineChars="200" w:firstLine="420"/>
        <w:jc w:val="both"/>
        <w:rPr>
          <w:rFonts w:ascii="Times New Roman" w:hAnsi="Times New Roman" w:cs="Times New Roman"/>
          <w:color w:val="000000" w:themeColor="text1"/>
          <w:sz w:val="21"/>
          <w:szCs w:val="21"/>
        </w:rPr>
      </w:pPr>
      <w:r w:rsidRPr="00CF571C">
        <w:rPr>
          <w:rFonts w:ascii="Times New Roman" w:eastAsia="楷体" w:hAnsi="Times New Roman" w:cs="Times New Roman"/>
          <w:bCs/>
          <w:color w:val="000000" w:themeColor="text1"/>
          <w:sz w:val="21"/>
          <w:szCs w:val="21"/>
        </w:rPr>
        <w:t>4.</w:t>
      </w:r>
      <w:r w:rsidR="00D31D73" w:rsidRPr="00CF571C">
        <w:rPr>
          <w:rFonts w:ascii="Times New Roman" w:eastAsia="楷体" w:hAnsi="Times New Roman" w:cs="Times New Roman" w:hint="eastAsia"/>
          <w:bCs/>
          <w:color w:val="000000" w:themeColor="text1"/>
          <w:sz w:val="21"/>
          <w:szCs w:val="21"/>
        </w:rPr>
        <w:t>地</w:t>
      </w:r>
      <w:r w:rsidR="00D31D73" w:rsidRPr="00CF571C">
        <w:rPr>
          <w:rFonts w:ascii="楷体" w:eastAsia="楷体" w:hAnsi="楷体" w:cs="Times New Roman" w:hint="eastAsia"/>
          <w:bCs/>
          <w:color w:val="000000" w:themeColor="text1"/>
          <w:sz w:val="21"/>
          <w:szCs w:val="21"/>
        </w:rPr>
        <w:t>方地理特征包括两市地理距离与行政区域面积差异。</w:t>
      </w:r>
      <w:r w:rsidR="00D31D73" w:rsidRPr="00CF571C">
        <w:rPr>
          <w:rFonts w:ascii="Times New Roman" w:hAnsi="Times New Roman" w:cs="Times New Roman"/>
          <w:color w:val="000000" w:themeColor="text1"/>
          <w:sz w:val="21"/>
          <w:szCs w:val="21"/>
        </w:rPr>
        <w:t>财政支出具有较为明显的空间溢出效应，地理距离邻近的城市一方面可能直接导致相邻地方政府的支出竞争（</w:t>
      </w:r>
      <w:r w:rsidR="00D31D73" w:rsidRPr="00CF571C">
        <w:rPr>
          <w:rFonts w:ascii="Times New Roman" w:hAnsi="Times New Roman" w:cs="Times New Roman"/>
          <w:color w:val="000000" w:themeColor="text1"/>
          <w:sz w:val="21"/>
          <w:szCs w:val="21"/>
        </w:rPr>
        <w:t>Case</w:t>
      </w:r>
      <w:r w:rsidR="00FD7C7F"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1993</w:t>
      </w:r>
      <w:r w:rsidR="00D31D73" w:rsidRPr="00CF571C">
        <w:rPr>
          <w:rFonts w:ascii="Times New Roman" w:hAnsi="Times New Roman" w:cs="Times New Roman"/>
          <w:color w:val="000000" w:themeColor="text1"/>
          <w:sz w:val="21"/>
          <w:szCs w:val="21"/>
        </w:rPr>
        <w:t>），另一方面也会因地貌等自然环境特征的类似，从而间接导致支出结构的类似。同时，地区区域面积因对人口密度有直接影响，同样可能导致支出结构的差异。因此，本文选取地理距离和行政区域面积来对</w:t>
      </w:r>
      <w:r w:rsidR="002B2F17"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城市对</w:t>
      </w:r>
      <w:r w:rsidR="002B2F17" w:rsidRPr="00CF571C">
        <w:rPr>
          <w:rFonts w:ascii="Times New Roman" w:hAnsi="Times New Roman" w:cs="Times New Roman" w:hint="eastAsia"/>
          <w:color w:val="000000" w:themeColor="text1"/>
          <w:sz w:val="21"/>
          <w:szCs w:val="21"/>
        </w:rPr>
        <w:t>”</w:t>
      </w:r>
      <w:r w:rsidR="00D31D73" w:rsidRPr="00CF571C">
        <w:rPr>
          <w:rFonts w:ascii="Times New Roman" w:hAnsi="Times New Roman" w:cs="Times New Roman"/>
          <w:color w:val="000000" w:themeColor="text1"/>
          <w:sz w:val="21"/>
          <w:szCs w:val="21"/>
        </w:rPr>
        <w:t>地理特征差异进行控制。</w:t>
      </w:r>
    </w:p>
    <w:p w14:paraId="3DDC4D21" w14:textId="77777777" w:rsidR="00D31D73" w:rsidRPr="00CF571C" w:rsidRDefault="00D31D73" w:rsidP="003F73D6">
      <w:pPr>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此外，</w:t>
      </w:r>
      <w:r w:rsidRPr="00CF571C">
        <w:rPr>
          <w:rFonts w:ascii="Times New Roman" w:hAnsi="Times New Roman" w:cs="Times New Roman" w:hint="eastAsia"/>
          <w:color w:val="000000" w:themeColor="text1"/>
          <w:sz w:val="21"/>
          <w:szCs w:val="21"/>
        </w:rPr>
        <w:t>本文还对地方民生状况包括普通高等学校数差异与医院个数差异，以及反映地方环境状况的工业二氧化硫排放量差异</w:t>
      </w:r>
      <w:r w:rsidRPr="00CF571C">
        <w:rPr>
          <w:rFonts w:ascii="Times New Roman" w:hAnsi="Times New Roman" w:cs="Times New Roman"/>
          <w:color w:val="000000" w:themeColor="text1"/>
          <w:sz w:val="21"/>
          <w:szCs w:val="21"/>
        </w:rPr>
        <w:t>指标进行控制。其与本文选取的四类预算支出有直</w:t>
      </w:r>
      <w:r w:rsidRPr="00CF571C">
        <w:rPr>
          <w:rFonts w:ascii="Times New Roman" w:hAnsi="Times New Roman" w:cs="Times New Roman"/>
          <w:color w:val="000000" w:themeColor="text1"/>
          <w:sz w:val="21"/>
          <w:szCs w:val="21"/>
        </w:rPr>
        <w:lastRenderedPageBreak/>
        <w:t>接的相关关系，影响政府在教育、医疗卫生、社会保障以及环境保护等方面的直接投入规模。</w:t>
      </w:r>
    </w:p>
    <w:p w14:paraId="4787CF8B" w14:textId="77777777" w:rsidR="003F73D6" w:rsidRPr="00CF571C" w:rsidRDefault="003F73D6" w:rsidP="003F73D6">
      <w:pPr>
        <w:ind w:firstLineChars="200" w:firstLine="420"/>
        <w:jc w:val="both"/>
        <w:rPr>
          <w:rFonts w:ascii="Times New Roman" w:hAnsi="Times New Roman" w:cs="Times New Roman"/>
          <w:color w:val="000000" w:themeColor="text1"/>
          <w:sz w:val="21"/>
          <w:szCs w:val="21"/>
        </w:rPr>
      </w:pPr>
    </w:p>
    <w:p w14:paraId="4031D832" w14:textId="77777777" w:rsidR="00D31D73" w:rsidRPr="00CF571C" w:rsidRDefault="00D31D73" w:rsidP="00535625">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2</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变量定义表</w:t>
      </w:r>
    </w:p>
    <w:tbl>
      <w:tblPr>
        <w:tblW w:w="10571" w:type="dxa"/>
        <w:jc w:val="center"/>
        <w:tblLook w:val="04A0" w:firstRow="1" w:lastRow="0" w:firstColumn="1" w:lastColumn="0" w:noHBand="0" w:noVBand="1"/>
      </w:tblPr>
      <w:tblGrid>
        <w:gridCol w:w="1560"/>
        <w:gridCol w:w="2835"/>
        <w:gridCol w:w="4509"/>
        <w:gridCol w:w="1667"/>
      </w:tblGrid>
      <w:tr w:rsidR="00CF571C" w:rsidRPr="00CF571C" w14:paraId="6ABCD709" w14:textId="77777777" w:rsidTr="00857977">
        <w:trPr>
          <w:trHeight w:val="266"/>
          <w:jc w:val="center"/>
        </w:trPr>
        <w:tc>
          <w:tcPr>
            <w:tcW w:w="1560" w:type="dxa"/>
            <w:tcBorders>
              <w:top w:val="single" w:sz="8" w:space="0" w:color="auto"/>
              <w:left w:val="nil"/>
              <w:bottom w:val="single" w:sz="4" w:space="0" w:color="auto"/>
              <w:right w:val="nil"/>
            </w:tcBorders>
            <w:shd w:val="clear" w:color="auto" w:fill="auto"/>
            <w:noWrap/>
            <w:vAlign w:val="center"/>
            <w:hideMark/>
          </w:tcPr>
          <w:p w14:paraId="533FC1B1" w14:textId="77777777" w:rsidR="00D31D73" w:rsidRPr="00CF571C" w:rsidRDefault="00D31D73" w:rsidP="00B636FD">
            <w:pPr>
              <w:jc w:val="center"/>
              <w:rPr>
                <w:rFonts w:ascii="Times New Roman" w:hAnsi="Times New Roman" w:cs="Times New Roman"/>
                <w:b/>
                <w:bCs/>
                <w:color w:val="000000" w:themeColor="text1"/>
                <w:sz w:val="18"/>
                <w:szCs w:val="18"/>
              </w:rPr>
            </w:pPr>
            <w:r w:rsidRPr="00CF571C">
              <w:rPr>
                <w:rFonts w:ascii="Times New Roman" w:hAnsi="Times New Roman" w:cs="Times New Roman"/>
                <w:b/>
                <w:bCs/>
                <w:color w:val="000000" w:themeColor="text1"/>
                <w:sz w:val="18"/>
                <w:szCs w:val="18"/>
              </w:rPr>
              <w:t>变量分类</w:t>
            </w:r>
          </w:p>
        </w:tc>
        <w:tc>
          <w:tcPr>
            <w:tcW w:w="2835" w:type="dxa"/>
            <w:tcBorders>
              <w:top w:val="single" w:sz="8" w:space="0" w:color="auto"/>
              <w:left w:val="nil"/>
              <w:bottom w:val="single" w:sz="4" w:space="0" w:color="auto"/>
              <w:right w:val="nil"/>
            </w:tcBorders>
            <w:shd w:val="clear" w:color="auto" w:fill="auto"/>
            <w:noWrap/>
            <w:vAlign w:val="center"/>
            <w:hideMark/>
          </w:tcPr>
          <w:p w14:paraId="4FF680BC" w14:textId="77777777" w:rsidR="00D31D73" w:rsidRPr="00CF571C" w:rsidRDefault="00D31D73" w:rsidP="00B636FD">
            <w:pPr>
              <w:jc w:val="center"/>
              <w:rPr>
                <w:rFonts w:ascii="Times New Roman" w:hAnsi="Times New Roman" w:cs="Times New Roman"/>
                <w:b/>
                <w:bCs/>
                <w:color w:val="000000" w:themeColor="text1"/>
                <w:sz w:val="18"/>
                <w:szCs w:val="18"/>
              </w:rPr>
            </w:pPr>
            <w:r w:rsidRPr="00CF571C">
              <w:rPr>
                <w:rFonts w:ascii="Times New Roman" w:hAnsi="Times New Roman" w:cs="Times New Roman"/>
                <w:b/>
                <w:bCs/>
                <w:color w:val="000000" w:themeColor="text1"/>
                <w:sz w:val="18"/>
                <w:szCs w:val="18"/>
              </w:rPr>
              <w:t>指标</w:t>
            </w:r>
          </w:p>
        </w:tc>
        <w:tc>
          <w:tcPr>
            <w:tcW w:w="4509" w:type="dxa"/>
            <w:tcBorders>
              <w:top w:val="single" w:sz="8" w:space="0" w:color="auto"/>
              <w:left w:val="nil"/>
              <w:bottom w:val="single" w:sz="4" w:space="0" w:color="auto"/>
              <w:right w:val="nil"/>
            </w:tcBorders>
            <w:shd w:val="clear" w:color="auto" w:fill="auto"/>
            <w:noWrap/>
            <w:vAlign w:val="center"/>
            <w:hideMark/>
          </w:tcPr>
          <w:p w14:paraId="3EB5998B" w14:textId="77777777" w:rsidR="00D31D73" w:rsidRPr="00CF571C" w:rsidRDefault="00D31D73" w:rsidP="00B636FD">
            <w:pPr>
              <w:jc w:val="center"/>
              <w:rPr>
                <w:rFonts w:ascii="Times New Roman" w:hAnsi="Times New Roman" w:cs="Times New Roman"/>
                <w:b/>
                <w:bCs/>
                <w:color w:val="000000" w:themeColor="text1"/>
                <w:sz w:val="18"/>
                <w:szCs w:val="18"/>
              </w:rPr>
            </w:pPr>
            <w:r w:rsidRPr="00CF571C">
              <w:rPr>
                <w:rFonts w:ascii="Times New Roman" w:hAnsi="Times New Roman" w:cs="Times New Roman"/>
                <w:b/>
                <w:bCs/>
                <w:color w:val="000000" w:themeColor="text1"/>
                <w:sz w:val="18"/>
                <w:szCs w:val="18"/>
              </w:rPr>
              <w:t>内含变量定义</w:t>
            </w:r>
          </w:p>
        </w:tc>
        <w:tc>
          <w:tcPr>
            <w:tcW w:w="1667" w:type="dxa"/>
            <w:tcBorders>
              <w:top w:val="single" w:sz="8" w:space="0" w:color="auto"/>
              <w:left w:val="nil"/>
              <w:bottom w:val="single" w:sz="4" w:space="0" w:color="auto"/>
              <w:right w:val="nil"/>
            </w:tcBorders>
            <w:shd w:val="clear" w:color="auto" w:fill="auto"/>
            <w:noWrap/>
            <w:vAlign w:val="center"/>
            <w:hideMark/>
          </w:tcPr>
          <w:p w14:paraId="57D03CE4" w14:textId="77777777" w:rsidR="00D31D73" w:rsidRPr="00CF571C" w:rsidRDefault="00D31D73" w:rsidP="00B636FD">
            <w:pPr>
              <w:jc w:val="center"/>
              <w:rPr>
                <w:rFonts w:ascii="Times New Roman" w:hAnsi="Times New Roman" w:cs="Times New Roman"/>
                <w:b/>
                <w:bCs/>
                <w:color w:val="000000" w:themeColor="text1"/>
                <w:sz w:val="18"/>
                <w:szCs w:val="18"/>
              </w:rPr>
            </w:pPr>
            <w:r w:rsidRPr="00CF571C">
              <w:rPr>
                <w:rFonts w:ascii="Times New Roman" w:hAnsi="Times New Roman" w:cs="Times New Roman"/>
                <w:b/>
                <w:bCs/>
                <w:color w:val="000000" w:themeColor="text1"/>
                <w:sz w:val="18"/>
                <w:szCs w:val="18"/>
              </w:rPr>
              <w:t>类别</w:t>
            </w:r>
          </w:p>
        </w:tc>
      </w:tr>
      <w:tr w:rsidR="00CF571C" w:rsidRPr="00CF571C" w14:paraId="2094EE5D" w14:textId="77777777" w:rsidTr="00857977">
        <w:trPr>
          <w:trHeight w:val="266"/>
          <w:jc w:val="center"/>
        </w:trPr>
        <w:tc>
          <w:tcPr>
            <w:tcW w:w="1560" w:type="dxa"/>
            <w:vMerge w:val="restart"/>
            <w:tcBorders>
              <w:top w:val="single" w:sz="4" w:space="0" w:color="auto"/>
              <w:left w:val="nil"/>
              <w:bottom w:val="nil"/>
              <w:right w:val="nil"/>
            </w:tcBorders>
            <w:shd w:val="clear" w:color="auto" w:fill="auto"/>
            <w:noWrap/>
            <w:vAlign w:val="center"/>
            <w:hideMark/>
          </w:tcPr>
          <w:p w14:paraId="699256C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被解释变量</w:t>
            </w:r>
          </w:p>
        </w:tc>
        <w:tc>
          <w:tcPr>
            <w:tcW w:w="2835" w:type="dxa"/>
            <w:tcBorders>
              <w:top w:val="single" w:sz="4" w:space="0" w:color="auto"/>
              <w:left w:val="nil"/>
              <w:bottom w:val="nil"/>
              <w:right w:val="nil"/>
            </w:tcBorders>
            <w:shd w:val="clear" w:color="auto" w:fill="auto"/>
            <w:noWrap/>
            <w:vAlign w:val="center"/>
            <w:hideMark/>
          </w:tcPr>
          <w:p w14:paraId="2E18CAD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教育支出比重差异</w:t>
            </w:r>
          </w:p>
        </w:tc>
        <w:tc>
          <w:tcPr>
            <w:tcW w:w="4509" w:type="dxa"/>
            <w:tcBorders>
              <w:top w:val="single" w:sz="4" w:space="0" w:color="auto"/>
              <w:left w:val="nil"/>
              <w:bottom w:val="nil"/>
              <w:right w:val="nil"/>
            </w:tcBorders>
            <w:shd w:val="clear" w:color="auto" w:fill="auto"/>
            <w:noWrap/>
            <w:vAlign w:val="center"/>
            <w:hideMark/>
          </w:tcPr>
          <w:p w14:paraId="082A882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教育支出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一般公共预算支出</w:t>
            </w:r>
          </w:p>
        </w:tc>
        <w:tc>
          <w:tcPr>
            <w:tcW w:w="1667" w:type="dxa"/>
            <w:vMerge w:val="restart"/>
            <w:tcBorders>
              <w:top w:val="single" w:sz="4" w:space="0" w:color="auto"/>
              <w:left w:val="nil"/>
              <w:bottom w:val="single" w:sz="4" w:space="0" w:color="auto"/>
              <w:right w:val="nil"/>
            </w:tcBorders>
            <w:shd w:val="clear" w:color="auto" w:fill="auto"/>
            <w:noWrap/>
            <w:vAlign w:val="center"/>
            <w:hideMark/>
          </w:tcPr>
          <w:p w14:paraId="62B6F9A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地级市预算支出结构差异</w:t>
            </w:r>
          </w:p>
        </w:tc>
      </w:tr>
      <w:tr w:rsidR="00CF571C" w:rsidRPr="00CF571C" w14:paraId="04BBBF80" w14:textId="77777777" w:rsidTr="00857977">
        <w:trPr>
          <w:trHeight w:val="266"/>
          <w:jc w:val="center"/>
        </w:trPr>
        <w:tc>
          <w:tcPr>
            <w:tcW w:w="1560" w:type="dxa"/>
            <w:vMerge/>
            <w:tcBorders>
              <w:top w:val="nil"/>
              <w:left w:val="nil"/>
              <w:bottom w:val="nil"/>
              <w:right w:val="nil"/>
            </w:tcBorders>
            <w:vAlign w:val="center"/>
            <w:hideMark/>
          </w:tcPr>
          <w:p w14:paraId="0C892614"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nil"/>
              <w:right w:val="nil"/>
            </w:tcBorders>
            <w:shd w:val="clear" w:color="auto" w:fill="auto"/>
            <w:noWrap/>
            <w:vAlign w:val="center"/>
            <w:hideMark/>
          </w:tcPr>
          <w:p w14:paraId="04867AE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科技支出比重差异</w:t>
            </w:r>
          </w:p>
        </w:tc>
        <w:tc>
          <w:tcPr>
            <w:tcW w:w="4509" w:type="dxa"/>
            <w:tcBorders>
              <w:top w:val="nil"/>
              <w:left w:val="nil"/>
              <w:bottom w:val="nil"/>
              <w:right w:val="nil"/>
            </w:tcBorders>
            <w:shd w:val="clear" w:color="auto" w:fill="auto"/>
            <w:noWrap/>
            <w:vAlign w:val="center"/>
            <w:hideMark/>
          </w:tcPr>
          <w:p w14:paraId="362594C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科技支出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一般公共预算支出</w:t>
            </w:r>
          </w:p>
        </w:tc>
        <w:tc>
          <w:tcPr>
            <w:tcW w:w="1667" w:type="dxa"/>
            <w:vMerge/>
            <w:tcBorders>
              <w:top w:val="nil"/>
              <w:left w:val="nil"/>
              <w:bottom w:val="single" w:sz="4" w:space="0" w:color="auto"/>
              <w:right w:val="nil"/>
            </w:tcBorders>
            <w:vAlign w:val="center"/>
            <w:hideMark/>
          </w:tcPr>
          <w:p w14:paraId="5AC9A495"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1B0207B0" w14:textId="77777777" w:rsidTr="00857977">
        <w:trPr>
          <w:trHeight w:val="266"/>
          <w:jc w:val="center"/>
        </w:trPr>
        <w:tc>
          <w:tcPr>
            <w:tcW w:w="1560" w:type="dxa"/>
            <w:vMerge/>
            <w:tcBorders>
              <w:top w:val="nil"/>
              <w:left w:val="nil"/>
              <w:bottom w:val="nil"/>
              <w:right w:val="nil"/>
            </w:tcBorders>
            <w:vAlign w:val="center"/>
            <w:hideMark/>
          </w:tcPr>
          <w:p w14:paraId="31AE3D09"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nil"/>
              <w:right w:val="nil"/>
            </w:tcBorders>
            <w:shd w:val="clear" w:color="auto" w:fill="auto"/>
            <w:noWrap/>
            <w:vAlign w:val="center"/>
            <w:hideMark/>
          </w:tcPr>
          <w:p w14:paraId="04684A3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医疗卫生支出比重差异</w:t>
            </w:r>
          </w:p>
        </w:tc>
        <w:tc>
          <w:tcPr>
            <w:tcW w:w="4509" w:type="dxa"/>
            <w:tcBorders>
              <w:top w:val="nil"/>
              <w:left w:val="nil"/>
              <w:bottom w:val="nil"/>
              <w:right w:val="nil"/>
            </w:tcBorders>
            <w:shd w:val="clear" w:color="auto" w:fill="auto"/>
            <w:noWrap/>
            <w:vAlign w:val="center"/>
            <w:hideMark/>
          </w:tcPr>
          <w:p w14:paraId="2FF36EC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医疗卫生支出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一般公共预算支出</w:t>
            </w:r>
          </w:p>
        </w:tc>
        <w:tc>
          <w:tcPr>
            <w:tcW w:w="1667" w:type="dxa"/>
            <w:vMerge/>
            <w:tcBorders>
              <w:top w:val="nil"/>
              <w:left w:val="nil"/>
              <w:bottom w:val="single" w:sz="4" w:space="0" w:color="auto"/>
              <w:right w:val="nil"/>
            </w:tcBorders>
            <w:vAlign w:val="center"/>
            <w:hideMark/>
          </w:tcPr>
          <w:p w14:paraId="28ECAEFE"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6C65C85A" w14:textId="77777777" w:rsidTr="00857977">
        <w:trPr>
          <w:trHeight w:val="266"/>
          <w:jc w:val="center"/>
        </w:trPr>
        <w:tc>
          <w:tcPr>
            <w:tcW w:w="1560" w:type="dxa"/>
            <w:vMerge/>
            <w:tcBorders>
              <w:top w:val="nil"/>
              <w:left w:val="nil"/>
              <w:bottom w:val="single" w:sz="4" w:space="0" w:color="auto"/>
              <w:right w:val="nil"/>
            </w:tcBorders>
            <w:vAlign w:val="center"/>
            <w:hideMark/>
          </w:tcPr>
          <w:p w14:paraId="37EDB45E"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single" w:sz="4" w:space="0" w:color="auto"/>
              <w:right w:val="nil"/>
            </w:tcBorders>
            <w:shd w:val="clear" w:color="auto" w:fill="auto"/>
            <w:noWrap/>
            <w:vAlign w:val="center"/>
            <w:hideMark/>
          </w:tcPr>
          <w:p w14:paraId="352D544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社会保障支出比重差异</w:t>
            </w:r>
          </w:p>
        </w:tc>
        <w:tc>
          <w:tcPr>
            <w:tcW w:w="4509" w:type="dxa"/>
            <w:tcBorders>
              <w:top w:val="nil"/>
              <w:left w:val="nil"/>
              <w:bottom w:val="single" w:sz="4" w:space="0" w:color="auto"/>
              <w:right w:val="nil"/>
            </w:tcBorders>
            <w:shd w:val="clear" w:color="auto" w:fill="auto"/>
            <w:noWrap/>
            <w:vAlign w:val="center"/>
            <w:hideMark/>
          </w:tcPr>
          <w:p w14:paraId="2707621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社会保障支出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一般公共预算支出</w:t>
            </w:r>
          </w:p>
        </w:tc>
        <w:tc>
          <w:tcPr>
            <w:tcW w:w="1667" w:type="dxa"/>
            <w:vMerge/>
            <w:tcBorders>
              <w:top w:val="nil"/>
              <w:left w:val="nil"/>
              <w:bottom w:val="single" w:sz="4" w:space="0" w:color="auto"/>
              <w:right w:val="nil"/>
            </w:tcBorders>
            <w:vAlign w:val="center"/>
            <w:hideMark/>
          </w:tcPr>
          <w:p w14:paraId="6149EF14"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591EF5EE" w14:textId="77777777" w:rsidTr="00857977">
        <w:trPr>
          <w:trHeight w:val="266"/>
          <w:jc w:val="center"/>
        </w:trPr>
        <w:tc>
          <w:tcPr>
            <w:tcW w:w="1560" w:type="dxa"/>
            <w:vMerge w:val="restart"/>
            <w:tcBorders>
              <w:top w:val="single" w:sz="4" w:space="0" w:color="auto"/>
              <w:left w:val="nil"/>
              <w:right w:val="nil"/>
            </w:tcBorders>
            <w:shd w:val="clear" w:color="auto" w:fill="auto"/>
            <w:noWrap/>
            <w:vAlign w:val="center"/>
          </w:tcPr>
          <w:p w14:paraId="17C408B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解释变量</w:t>
            </w:r>
          </w:p>
        </w:tc>
        <w:tc>
          <w:tcPr>
            <w:tcW w:w="2835" w:type="dxa"/>
            <w:tcBorders>
              <w:top w:val="single" w:sz="4" w:space="0" w:color="auto"/>
              <w:left w:val="nil"/>
              <w:bottom w:val="nil"/>
              <w:right w:val="nil"/>
            </w:tcBorders>
            <w:shd w:val="clear" w:color="auto" w:fill="auto"/>
            <w:noWrap/>
            <w:vAlign w:val="center"/>
          </w:tcPr>
          <w:p w14:paraId="568F8DE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异省</w:t>
            </w:r>
          </w:p>
        </w:tc>
        <w:tc>
          <w:tcPr>
            <w:tcW w:w="4509" w:type="dxa"/>
            <w:tcBorders>
              <w:top w:val="single" w:sz="4" w:space="0" w:color="auto"/>
              <w:left w:val="nil"/>
              <w:bottom w:val="nil"/>
              <w:right w:val="nil"/>
            </w:tcBorders>
            <w:shd w:val="clear" w:color="auto" w:fill="auto"/>
            <w:noWrap/>
            <w:vAlign w:val="center"/>
          </w:tcPr>
          <w:p w14:paraId="5C44AC71" w14:textId="77777777" w:rsidR="00D31D73" w:rsidRPr="00CF571C" w:rsidRDefault="002B2F17" w:rsidP="00B636FD">
            <w:pPr>
              <w:jc w:val="cente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w:t>
            </w:r>
            <w:r w:rsidR="00D31D73" w:rsidRPr="00CF571C">
              <w:rPr>
                <w:rFonts w:ascii="Times New Roman" w:hAnsi="Times New Roman" w:cs="Times New Roman"/>
                <w:color w:val="000000" w:themeColor="text1"/>
                <w:sz w:val="18"/>
                <w:szCs w:val="18"/>
              </w:rPr>
              <w:t>城市对</w:t>
            </w:r>
            <w:r w:rsidRPr="00CF571C">
              <w:rPr>
                <w:rFonts w:ascii="Times New Roman" w:hAnsi="Times New Roman" w:cs="Times New Roman" w:hint="eastAsia"/>
                <w:color w:val="000000" w:themeColor="text1"/>
                <w:sz w:val="18"/>
                <w:szCs w:val="18"/>
              </w:rPr>
              <w:t>”</w:t>
            </w:r>
            <w:r w:rsidR="00D31D73" w:rsidRPr="00CF571C">
              <w:rPr>
                <w:rFonts w:ascii="Times New Roman" w:hAnsi="Times New Roman" w:cs="Times New Roman"/>
                <w:color w:val="000000" w:themeColor="text1"/>
                <w:sz w:val="18"/>
                <w:szCs w:val="18"/>
              </w:rPr>
              <w:t>是否跨省</w:t>
            </w:r>
          </w:p>
        </w:tc>
        <w:tc>
          <w:tcPr>
            <w:tcW w:w="1667" w:type="dxa"/>
            <w:vMerge w:val="restart"/>
            <w:tcBorders>
              <w:top w:val="single" w:sz="4" w:space="0" w:color="auto"/>
              <w:left w:val="nil"/>
              <w:right w:val="nil"/>
            </w:tcBorders>
            <w:shd w:val="clear" w:color="auto" w:fill="auto"/>
            <w:noWrap/>
            <w:vAlign w:val="center"/>
          </w:tcPr>
          <w:p w14:paraId="519841B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两市空间关系</w:t>
            </w:r>
          </w:p>
        </w:tc>
      </w:tr>
      <w:tr w:rsidR="00CF571C" w:rsidRPr="00CF571C" w14:paraId="24B77C07" w14:textId="77777777" w:rsidTr="00857977">
        <w:trPr>
          <w:trHeight w:val="266"/>
          <w:jc w:val="center"/>
        </w:trPr>
        <w:tc>
          <w:tcPr>
            <w:tcW w:w="1560" w:type="dxa"/>
            <w:vMerge/>
            <w:tcBorders>
              <w:left w:val="nil"/>
              <w:bottom w:val="nil"/>
              <w:right w:val="nil"/>
            </w:tcBorders>
            <w:shd w:val="clear" w:color="auto" w:fill="auto"/>
            <w:noWrap/>
            <w:vAlign w:val="center"/>
          </w:tcPr>
          <w:p w14:paraId="13CD987C" w14:textId="77777777" w:rsidR="00D31D73" w:rsidRPr="00CF571C" w:rsidRDefault="00D31D73" w:rsidP="00B636FD">
            <w:pPr>
              <w:jc w:val="center"/>
              <w:rPr>
                <w:rFonts w:ascii="Times New Roman" w:hAnsi="Times New Roman" w:cs="Times New Roman"/>
                <w:color w:val="000000" w:themeColor="text1"/>
                <w:sz w:val="18"/>
                <w:szCs w:val="18"/>
              </w:rPr>
            </w:pPr>
          </w:p>
        </w:tc>
        <w:tc>
          <w:tcPr>
            <w:tcW w:w="2835" w:type="dxa"/>
            <w:tcBorders>
              <w:top w:val="single" w:sz="4" w:space="0" w:color="auto"/>
              <w:left w:val="nil"/>
              <w:bottom w:val="nil"/>
              <w:right w:val="nil"/>
            </w:tcBorders>
            <w:shd w:val="clear" w:color="auto" w:fill="auto"/>
            <w:noWrap/>
            <w:vAlign w:val="center"/>
          </w:tcPr>
          <w:p w14:paraId="515F8B8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毗邻</w:t>
            </w:r>
          </w:p>
        </w:tc>
        <w:tc>
          <w:tcPr>
            <w:tcW w:w="4509" w:type="dxa"/>
            <w:tcBorders>
              <w:top w:val="single" w:sz="4" w:space="0" w:color="auto"/>
              <w:left w:val="nil"/>
              <w:bottom w:val="nil"/>
              <w:right w:val="nil"/>
            </w:tcBorders>
            <w:shd w:val="clear" w:color="auto" w:fill="auto"/>
            <w:noWrap/>
            <w:vAlign w:val="center"/>
          </w:tcPr>
          <w:p w14:paraId="5978F357" w14:textId="77777777" w:rsidR="00D31D73" w:rsidRPr="00CF571C" w:rsidRDefault="002B2F17" w:rsidP="00B636FD">
            <w:pPr>
              <w:jc w:val="cente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w:t>
            </w:r>
            <w:r w:rsidR="00D31D73" w:rsidRPr="00CF571C">
              <w:rPr>
                <w:rFonts w:ascii="Times New Roman" w:hAnsi="Times New Roman" w:cs="Times New Roman"/>
                <w:color w:val="000000" w:themeColor="text1"/>
                <w:sz w:val="18"/>
                <w:szCs w:val="18"/>
              </w:rPr>
              <w:t>城市对</w:t>
            </w:r>
            <w:r w:rsidRPr="00CF571C">
              <w:rPr>
                <w:rFonts w:ascii="Times New Roman" w:hAnsi="Times New Roman" w:cs="Times New Roman" w:hint="eastAsia"/>
                <w:color w:val="000000" w:themeColor="text1"/>
                <w:sz w:val="18"/>
                <w:szCs w:val="18"/>
              </w:rPr>
              <w:t>”</w:t>
            </w:r>
            <w:r w:rsidR="00D31D73" w:rsidRPr="00CF571C">
              <w:rPr>
                <w:rFonts w:ascii="Times New Roman" w:hAnsi="Times New Roman" w:cs="Times New Roman"/>
                <w:color w:val="000000" w:themeColor="text1"/>
                <w:sz w:val="18"/>
                <w:szCs w:val="18"/>
              </w:rPr>
              <w:t>是否毗邻</w:t>
            </w:r>
          </w:p>
        </w:tc>
        <w:tc>
          <w:tcPr>
            <w:tcW w:w="1667" w:type="dxa"/>
            <w:vMerge/>
            <w:tcBorders>
              <w:left w:val="nil"/>
              <w:bottom w:val="nil"/>
              <w:right w:val="nil"/>
            </w:tcBorders>
            <w:shd w:val="clear" w:color="auto" w:fill="auto"/>
            <w:noWrap/>
            <w:vAlign w:val="center"/>
          </w:tcPr>
          <w:p w14:paraId="101C3204" w14:textId="77777777" w:rsidR="00D31D73" w:rsidRPr="00CF571C" w:rsidRDefault="00D31D73" w:rsidP="00B636FD">
            <w:pPr>
              <w:jc w:val="center"/>
              <w:rPr>
                <w:rFonts w:ascii="Times New Roman" w:hAnsi="Times New Roman" w:cs="Times New Roman"/>
                <w:color w:val="000000" w:themeColor="text1"/>
                <w:sz w:val="18"/>
                <w:szCs w:val="18"/>
              </w:rPr>
            </w:pPr>
          </w:p>
        </w:tc>
      </w:tr>
      <w:tr w:rsidR="00CF571C" w:rsidRPr="00CF571C" w14:paraId="15799D0E" w14:textId="77777777" w:rsidTr="00857977">
        <w:trPr>
          <w:trHeight w:val="266"/>
          <w:jc w:val="center"/>
        </w:trPr>
        <w:tc>
          <w:tcPr>
            <w:tcW w:w="1560" w:type="dxa"/>
            <w:vMerge w:val="restart"/>
            <w:tcBorders>
              <w:top w:val="single" w:sz="4" w:space="0" w:color="auto"/>
              <w:left w:val="nil"/>
              <w:bottom w:val="nil"/>
              <w:right w:val="nil"/>
            </w:tcBorders>
            <w:shd w:val="clear" w:color="auto" w:fill="auto"/>
            <w:noWrap/>
            <w:vAlign w:val="center"/>
            <w:hideMark/>
          </w:tcPr>
          <w:p w14:paraId="2E1DD15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核心控制变量</w:t>
            </w:r>
          </w:p>
        </w:tc>
        <w:tc>
          <w:tcPr>
            <w:tcW w:w="2835" w:type="dxa"/>
            <w:tcBorders>
              <w:top w:val="single" w:sz="4" w:space="0" w:color="auto"/>
              <w:left w:val="nil"/>
              <w:bottom w:val="nil"/>
              <w:right w:val="nil"/>
            </w:tcBorders>
            <w:shd w:val="clear" w:color="auto" w:fill="auto"/>
            <w:noWrap/>
            <w:vAlign w:val="center"/>
            <w:hideMark/>
          </w:tcPr>
          <w:p w14:paraId="48F4C44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财政分权差异</w:t>
            </w:r>
          </w:p>
        </w:tc>
        <w:tc>
          <w:tcPr>
            <w:tcW w:w="4509" w:type="dxa"/>
            <w:tcBorders>
              <w:top w:val="single" w:sz="4" w:space="0" w:color="auto"/>
              <w:left w:val="nil"/>
              <w:bottom w:val="nil"/>
              <w:right w:val="nil"/>
            </w:tcBorders>
            <w:shd w:val="clear" w:color="auto" w:fill="auto"/>
            <w:noWrap/>
            <w:vAlign w:val="center"/>
            <w:hideMark/>
          </w:tcPr>
          <w:p w14:paraId="711BCC0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本市人均本级财政支出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（本市人均本级财政支出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本省人均财政支出</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中央人均财政支出）</w:t>
            </w:r>
          </w:p>
        </w:tc>
        <w:tc>
          <w:tcPr>
            <w:tcW w:w="1667" w:type="dxa"/>
            <w:vMerge w:val="restart"/>
            <w:tcBorders>
              <w:top w:val="single" w:sz="4" w:space="0" w:color="auto"/>
              <w:left w:val="nil"/>
              <w:bottom w:val="nil"/>
              <w:right w:val="nil"/>
            </w:tcBorders>
            <w:shd w:val="clear" w:color="auto" w:fill="auto"/>
            <w:noWrap/>
            <w:vAlign w:val="center"/>
            <w:hideMark/>
          </w:tcPr>
          <w:p w14:paraId="526F5E1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地方财政状况</w:t>
            </w:r>
          </w:p>
        </w:tc>
      </w:tr>
      <w:tr w:rsidR="00CF571C" w:rsidRPr="00CF571C" w14:paraId="716A2D9D" w14:textId="77777777" w:rsidTr="00857977">
        <w:trPr>
          <w:trHeight w:val="266"/>
          <w:jc w:val="center"/>
        </w:trPr>
        <w:tc>
          <w:tcPr>
            <w:tcW w:w="1560" w:type="dxa"/>
            <w:vMerge/>
            <w:tcBorders>
              <w:top w:val="nil"/>
              <w:left w:val="nil"/>
              <w:bottom w:val="nil"/>
              <w:right w:val="nil"/>
            </w:tcBorders>
            <w:vAlign w:val="center"/>
            <w:hideMark/>
          </w:tcPr>
          <w:p w14:paraId="758AEFDC"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single" w:sz="4" w:space="0" w:color="auto"/>
              <w:right w:val="nil"/>
            </w:tcBorders>
            <w:shd w:val="clear" w:color="auto" w:fill="auto"/>
            <w:noWrap/>
            <w:vAlign w:val="center"/>
            <w:hideMark/>
          </w:tcPr>
          <w:p w14:paraId="6E20B99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地方财力差异</w:t>
            </w:r>
          </w:p>
        </w:tc>
        <w:tc>
          <w:tcPr>
            <w:tcW w:w="4509" w:type="dxa"/>
            <w:tcBorders>
              <w:top w:val="nil"/>
              <w:left w:val="nil"/>
              <w:bottom w:val="single" w:sz="4" w:space="0" w:color="auto"/>
              <w:right w:val="nil"/>
            </w:tcBorders>
            <w:shd w:val="clear" w:color="auto" w:fill="auto"/>
            <w:noWrap/>
            <w:vAlign w:val="center"/>
            <w:hideMark/>
          </w:tcPr>
          <w:p w14:paraId="787CBAA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财政收入</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总人口数量</w:t>
            </w:r>
          </w:p>
        </w:tc>
        <w:tc>
          <w:tcPr>
            <w:tcW w:w="1667" w:type="dxa"/>
            <w:vMerge/>
            <w:tcBorders>
              <w:top w:val="nil"/>
              <w:left w:val="nil"/>
              <w:bottom w:val="single" w:sz="4" w:space="0" w:color="auto"/>
              <w:right w:val="nil"/>
            </w:tcBorders>
            <w:vAlign w:val="center"/>
            <w:hideMark/>
          </w:tcPr>
          <w:p w14:paraId="6410BE87"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23CE26EB" w14:textId="77777777" w:rsidTr="00857977">
        <w:trPr>
          <w:trHeight w:val="266"/>
          <w:jc w:val="center"/>
        </w:trPr>
        <w:tc>
          <w:tcPr>
            <w:tcW w:w="1560" w:type="dxa"/>
            <w:vMerge/>
            <w:tcBorders>
              <w:top w:val="nil"/>
              <w:left w:val="nil"/>
              <w:bottom w:val="nil"/>
              <w:right w:val="nil"/>
            </w:tcBorders>
            <w:vAlign w:val="center"/>
            <w:hideMark/>
          </w:tcPr>
          <w:p w14:paraId="1164C172"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single" w:sz="4" w:space="0" w:color="auto"/>
              <w:left w:val="nil"/>
              <w:bottom w:val="nil"/>
              <w:right w:val="nil"/>
            </w:tcBorders>
            <w:shd w:val="clear" w:color="auto" w:fill="auto"/>
            <w:noWrap/>
            <w:vAlign w:val="center"/>
            <w:hideMark/>
          </w:tcPr>
          <w:p w14:paraId="615DEAF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人口密度差异</w:t>
            </w:r>
          </w:p>
        </w:tc>
        <w:tc>
          <w:tcPr>
            <w:tcW w:w="4509" w:type="dxa"/>
            <w:tcBorders>
              <w:top w:val="single" w:sz="4" w:space="0" w:color="auto"/>
              <w:left w:val="nil"/>
              <w:bottom w:val="nil"/>
              <w:right w:val="nil"/>
            </w:tcBorders>
            <w:shd w:val="clear" w:color="auto" w:fill="auto"/>
            <w:noWrap/>
            <w:vAlign w:val="center"/>
            <w:hideMark/>
          </w:tcPr>
          <w:p w14:paraId="6B0CA4B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总人口数量</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市总面积</w:t>
            </w:r>
          </w:p>
        </w:tc>
        <w:tc>
          <w:tcPr>
            <w:tcW w:w="1667" w:type="dxa"/>
            <w:vMerge w:val="restart"/>
            <w:tcBorders>
              <w:top w:val="single" w:sz="4" w:space="0" w:color="auto"/>
              <w:left w:val="nil"/>
              <w:bottom w:val="single" w:sz="4" w:space="0" w:color="auto"/>
              <w:right w:val="nil"/>
            </w:tcBorders>
            <w:shd w:val="clear" w:color="auto" w:fill="auto"/>
            <w:noWrap/>
            <w:vAlign w:val="center"/>
            <w:hideMark/>
          </w:tcPr>
          <w:p w14:paraId="5F17817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财政支出目标特征</w:t>
            </w:r>
          </w:p>
        </w:tc>
      </w:tr>
      <w:tr w:rsidR="00CF571C" w:rsidRPr="00CF571C" w14:paraId="2D6805FA" w14:textId="77777777" w:rsidTr="00857977">
        <w:trPr>
          <w:trHeight w:val="266"/>
          <w:jc w:val="center"/>
        </w:trPr>
        <w:tc>
          <w:tcPr>
            <w:tcW w:w="1560" w:type="dxa"/>
            <w:vMerge/>
            <w:tcBorders>
              <w:top w:val="nil"/>
              <w:left w:val="nil"/>
              <w:bottom w:val="nil"/>
              <w:right w:val="nil"/>
            </w:tcBorders>
            <w:vAlign w:val="center"/>
            <w:hideMark/>
          </w:tcPr>
          <w:p w14:paraId="36B7CECD"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single" w:sz="4" w:space="0" w:color="auto"/>
              <w:right w:val="nil"/>
            </w:tcBorders>
            <w:shd w:val="clear" w:color="auto" w:fill="auto"/>
            <w:noWrap/>
            <w:vAlign w:val="center"/>
            <w:hideMark/>
          </w:tcPr>
          <w:p w14:paraId="4485689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职工平均工资差异</w:t>
            </w:r>
            <w:r w:rsidR="00857977"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万</w:t>
            </w:r>
            <w:r w:rsidR="00857977" w:rsidRPr="00CF571C">
              <w:rPr>
                <w:rFonts w:ascii="Times New Roman" w:hAnsi="Times New Roman" w:cs="Times New Roman" w:hint="eastAsia"/>
                <w:color w:val="000000" w:themeColor="text1"/>
                <w:sz w:val="18"/>
                <w:szCs w:val="18"/>
              </w:rPr>
              <w:t>）</w:t>
            </w:r>
          </w:p>
        </w:tc>
        <w:tc>
          <w:tcPr>
            <w:tcW w:w="4509" w:type="dxa"/>
            <w:tcBorders>
              <w:top w:val="nil"/>
              <w:left w:val="nil"/>
              <w:bottom w:val="single" w:sz="4" w:space="0" w:color="auto"/>
              <w:right w:val="nil"/>
            </w:tcBorders>
            <w:shd w:val="clear" w:color="auto" w:fill="auto"/>
            <w:noWrap/>
            <w:vAlign w:val="center"/>
            <w:hideMark/>
          </w:tcPr>
          <w:p w14:paraId="4D0B163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本市在职员工平均工资</w:t>
            </w:r>
          </w:p>
        </w:tc>
        <w:tc>
          <w:tcPr>
            <w:tcW w:w="1667" w:type="dxa"/>
            <w:vMerge/>
            <w:tcBorders>
              <w:top w:val="nil"/>
              <w:left w:val="nil"/>
              <w:bottom w:val="single" w:sz="4" w:space="0" w:color="auto"/>
              <w:right w:val="nil"/>
            </w:tcBorders>
            <w:vAlign w:val="center"/>
            <w:hideMark/>
          </w:tcPr>
          <w:p w14:paraId="3D602B40"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6B3875ED" w14:textId="77777777" w:rsidTr="00857977">
        <w:trPr>
          <w:trHeight w:val="266"/>
          <w:jc w:val="center"/>
        </w:trPr>
        <w:tc>
          <w:tcPr>
            <w:tcW w:w="1560" w:type="dxa"/>
            <w:vMerge/>
            <w:tcBorders>
              <w:top w:val="nil"/>
              <w:left w:val="nil"/>
              <w:bottom w:val="nil"/>
              <w:right w:val="nil"/>
            </w:tcBorders>
            <w:vAlign w:val="center"/>
            <w:hideMark/>
          </w:tcPr>
          <w:p w14:paraId="0ABA057D"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single" w:sz="4" w:space="0" w:color="auto"/>
              <w:left w:val="nil"/>
              <w:bottom w:val="nil"/>
              <w:right w:val="nil"/>
            </w:tcBorders>
            <w:shd w:val="clear" w:color="auto" w:fill="auto"/>
            <w:noWrap/>
            <w:vAlign w:val="center"/>
            <w:hideMark/>
          </w:tcPr>
          <w:p w14:paraId="1D7152B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第二产业比重差异</w:t>
            </w:r>
          </w:p>
        </w:tc>
        <w:tc>
          <w:tcPr>
            <w:tcW w:w="4509" w:type="dxa"/>
            <w:tcBorders>
              <w:top w:val="single" w:sz="4" w:space="0" w:color="auto"/>
              <w:left w:val="nil"/>
              <w:bottom w:val="nil"/>
              <w:right w:val="nil"/>
            </w:tcBorders>
            <w:shd w:val="clear" w:color="auto" w:fill="auto"/>
            <w:noWrap/>
            <w:vAlign w:val="center"/>
            <w:hideMark/>
          </w:tcPr>
          <w:p w14:paraId="1F7E38A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第二产业产值</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总产值</w:t>
            </w:r>
          </w:p>
        </w:tc>
        <w:tc>
          <w:tcPr>
            <w:tcW w:w="1667" w:type="dxa"/>
            <w:vMerge w:val="restart"/>
            <w:tcBorders>
              <w:top w:val="single" w:sz="4" w:space="0" w:color="auto"/>
              <w:left w:val="nil"/>
              <w:bottom w:val="single" w:sz="4" w:space="0" w:color="auto"/>
              <w:right w:val="nil"/>
            </w:tcBorders>
            <w:shd w:val="clear" w:color="auto" w:fill="auto"/>
            <w:noWrap/>
            <w:vAlign w:val="center"/>
            <w:hideMark/>
          </w:tcPr>
          <w:p w14:paraId="48511FA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地方经济状况</w:t>
            </w:r>
          </w:p>
        </w:tc>
      </w:tr>
      <w:tr w:rsidR="00CF571C" w:rsidRPr="00CF571C" w14:paraId="0B0AD3BE" w14:textId="77777777" w:rsidTr="00857977">
        <w:trPr>
          <w:trHeight w:val="266"/>
          <w:jc w:val="center"/>
        </w:trPr>
        <w:tc>
          <w:tcPr>
            <w:tcW w:w="1560" w:type="dxa"/>
            <w:vMerge/>
            <w:tcBorders>
              <w:top w:val="nil"/>
              <w:left w:val="nil"/>
              <w:bottom w:val="nil"/>
              <w:right w:val="nil"/>
            </w:tcBorders>
            <w:vAlign w:val="center"/>
            <w:hideMark/>
          </w:tcPr>
          <w:p w14:paraId="7010F5A3"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single" w:sz="4" w:space="0" w:color="auto"/>
              <w:right w:val="nil"/>
            </w:tcBorders>
            <w:shd w:val="clear" w:color="auto" w:fill="auto"/>
            <w:noWrap/>
            <w:vAlign w:val="center"/>
            <w:hideMark/>
          </w:tcPr>
          <w:p w14:paraId="55AC67D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第一产业比重差异</w:t>
            </w:r>
          </w:p>
        </w:tc>
        <w:tc>
          <w:tcPr>
            <w:tcW w:w="4509" w:type="dxa"/>
            <w:tcBorders>
              <w:top w:val="nil"/>
              <w:left w:val="nil"/>
              <w:bottom w:val="single" w:sz="4" w:space="0" w:color="auto"/>
              <w:right w:val="nil"/>
            </w:tcBorders>
            <w:shd w:val="clear" w:color="auto" w:fill="auto"/>
            <w:noWrap/>
            <w:vAlign w:val="center"/>
            <w:hideMark/>
          </w:tcPr>
          <w:p w14:paraId="5217DBF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第一产业产值</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总产值</w:t>
            </w:r>
          </w:p>
        </w:tc>
        <w:tc>
          <w:tcPr>
            <w:tcW w:w="1667" w:type="dxa"/>
            <w:vMerge/>
            <w:tcBorders>
              <w:top w:val="nil"/>
              <w:left w:val="nil"/>
              <w:bottom w:val="single" w:sz="4" w:space="0" w:color="auto"/>
              <w:right w:val="nil"/>
            </w:tcBorders>
            <w:vAlign w:val="center"/>
            <w:hideMark/>
          </w:tcPr>
          <w:p w14:paraId="785FB760"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169B03CE" w14:textId="77777777" w:rsidTr="00857977">
        <w:trPr>
          <w:trHeight w:val="266"/>
          <w:jc w:val="center"/>
        </w:trPr>
        <w:tc>
          <w:tcPr>
            <w:tcW w:w="1560" w:type="dxa"/>
            <w:vMerge/>
            <w:tcBorders>
              <w:top w:val="nil"/>
              <w:left w:val="nil"/>
              <w:bottom w:val="single" w:sz="4" w:space="0" w:color="auto"/>
              <w:right w:val="nil"/>
            </w:tcBorders>
            <w:vAlign w:val="center"/>
            <w:hideMark/>
          </w:tcPr>
          <w:p w14:paraId="3969C8DC"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single" w:sz="4" w:space="0" w:color="auto"/>
              <w:left w:val="nil"/>
              <w:bottom w:val="single" w:sz="4" w:space="0" w:color="auto"/>
              <w:right w:val="nil"/>
            </w:tcBorders>
            <w:shd w:val="clear" w:color="auto" w:fill="auto"/>
            <w:noWrap/>
            <w:vAlign w:val="center"/>
            <w:hideMark/>
          </w:tcPr>
          <w:p w14:paraId="2A4B798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两市地理距离</w:t>
            </w:r>
            <w:r w:rsidR="00857977"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千米</w:t>
            </w:r>
            <w:r w:rsidR="00857977" w:rsidRPr="00CF571C">
              <w:rPr>
                <w:rFonts w:ascii="Times New Roman" w:hAnsi="Times New Roman" w:cs="Times New Roman" w:hint="eastAsia"/>
                <w:color w:val="000000" w:themeColor="text1"/>
                <w:sz w:val="18"/>
                <w:szCs w:val="18"/>
              </w:rPr>
              <w:t>）</w:t>
            </w:r>
          </w:p>
        </w:tc>
        <w:tc>
          <w:tcPr>
            <w:tcW w:w="4509" w:type="dxa"/>
            <w:tcBorders>
              <w:top w:val="single" w:sz="4" w:space="0" w:color="auto"/>
              <w:left w:val="nil"/>
              <w:bottom w:val="single" w:sz="4" w:space="0" w:color="auto"/>
              <w:right w:val="nil"/>
            </w:tcBorders>
            <w:shd w:val="clear" w:color="auto" w:fill="auto"/>
            <w:noWrap/>
            <w:vAlign w:val="center"/>
            <w:hideMark/>
          </w:tcPr>
          <w:p w14:paraId="2C825FE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两市距离</w:t>
            </w:r>
          </w:p>
        </w:tc>
        <w:tc>
          <w:tcPr>
            <w:tcW w:w="1667" w:type="dxa"/>
            <w:tcBorders>
              <w:top w:val="single" w:sz="4" w:space="0" w:color="auto"/>
              <w:left w:val="nil"/>
              <w:bottom w:val="single" w:sz="4" w:space="0" w:color="auto"/>
              <w:right w:val="nil"/>
            </w:tcBorders>
            <w:shd w:val="clear" w:color="auto" w:fill="auto"/>
            <w:noWrap/>
            <w:vAlign w:val="center"/>
            <w:hideMark/>
          </w:tcPr>
          <w:p w14:paraId="20A5E04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地方地理特征</w:t>
            </w:r>
          </w:p>
        </w:tc>
      </w:tr>
      <w:tr w:rsidR="00CF571C" w:rsidRPr="00CF571C" w14:paraId="5EF32EAA" w14:textId="77777777" w:rsidTr="00857977">
        <w:trPr>
          <w:trHeight w:val="266"/>
          <w:jc w:val="center"/>
        </w:trPr>
        <w:tc>
          <w:tcPr>
            <w:tcW w:w="1560" w:type="dxa"/>
            <w:vMerge w:val="restart"/>
            <w:tcBorders>
              <w:top w:val="single" w:sz="4" w:space="0" w:color="auto"/>
              <w:left w:val="nil"/>
              <w:bottom w:val="nil"/>
              <w:right w:val="nil"/>
            </w:tcBorders>
            <w:shd w:val="clear" w:color="auto" w:fill="auto"/>
            <w:noWrap/>
            <w:vAlign w:val="center"/>
            <w:hideMark/>
          </w:tcPr>
          <w:p w14:paraId="53EDA5C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特征匹配变量</w:t>
            </w:r>
          </w:p>
        </w:tc>
        <w:tc>
          <w:tcPr>
            <w:tcW w:w="2835" w:type="dxa"/>
            <w:tcBorders>
              <w:top w:val="single" w:sz="4" w:space="0" w:color="auto"/>
              <w:left w:val="nil"/>
              <w:bottom w:val="single" w:sz="4" w:space="0" w:color="auto"/>
              <w:right w:val="nil"/>
            </w:tcBorders>
            <w:shd w:val="clear" w:color="auto" w:fill="auto"/>
            <w:noWrap/>
            <w:vAlign w:val="center"/>
            <w:hideMark/>
          </w:tcPr>
          <w:p w14:paraId="5EFE19D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行政区域面积差异</w:t>
            </w:r>
          </w:p>
        </w:tc>
        <w:tc>
          <w:tcPr>
            <w:tcW w:w="4509" w:type="dxa"/>
            <w:tcBorders>
              <w:top w:val="single" w:sz="4" w:space="0" w:color="auto"/>
              <w:left w:val="nil"/>
              <w:bottom w:val="single" w:sz="4" w:space="0" w:color="auto"/>
              <w:right w:val="nil"/>
            </w:tcBorders>
            <w:shd w:val="clear" w:color="auto" w:fill="auto"/>
            <w:noWrap/>
            <w:vAlign w:val="center"/>
            <w:hideMark/>
          </w:tcPr>
          <w:p w14:paraId="55311BD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本市行政区域面积</w:t>
            </w:r>
          </w:p>
        </w:tc>
        <w:tc>
          <w:tcPr>
            <w:tcW w:w="1667" w:type="dxa"/>
            <w:tcBorders>
              <w:top w:val="single" w:sz="4" w:space="0" w:color="auto"/>
              <w:left w:val="nil"/>
              <w:bottom w:val="single" w:sz="4" w:space="0" w:color="auto"/>
              <w:right w:val="nil"/>
            </w:tcBorders>
            <w:shd w:val="clear" w:color="auto" w:fill="auto"/>
            <w:noWrap/>
            <w:vAlign w:val="center"/>
            <w:hideMark/>
          </w:tcPr>
          <w:p w14:paraId="580550A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地方地理特征</w:t>
            </w:r>
          </w:p>
        </w:tc>
      </w:tr>
      <w:tr w:rsidR="00CF571C" w:rsidRPr="00CF571C" w14:paraId="42C6F665" w14:textId="77777777" w:rsidTr="00857977">
        <w:trPr>
          <w:trHeight w:val="266"/>
          <w:jc w:val="center"/>
        </w:trPr>
        <w:tc>
          <w:tcPr>
            <w:tcW w:w="1560" w:type="dxa"/>
            <w:vMerge/>
            <w:tcBorders>
              <w:top w:val="nil"/>
              <w:left w:val="nil"/>
              <w:bottom w:val="nil"/>
              <w:right w:val="nil"/>
            </w:tcBorders>
            <w:vAlign w:val="center"/>
            <w:hideMark/>
          </w:tcPr>
          <w:p w14:paraId="32522B77"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single" w:sz="4" w:space="0" w:color="auto"/>
              <w:left w:val="nil"/>
              <w:bottom w:val="nil"/>
              <w:right w:val="nil"/>
            </w:tcBorders>
            <w:shd w:val="clear" w:color="auto" w:fill="auto"/>
            <w:noWrap/>
            <w:vAlign w:val="center"/>
            <w:hideMark/>
          </w:tcPr>
          <w:p w14:paraId="155A49C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人均</w:t>
            </w:r>
            <w:r w:rsidRPr="00CF571C">
              <w:rPr>
                <w:rFonts w:ascii="Times New Roman" w:hAnsi="Times New Roman" w:cs="Times New Roman"/>
                <w:color w:val="000000" w:themeColor="text1"/>
                <w:sz w:val="18"/>
                <w:szCs w:val="18"/>
              </w:rPr>
              <w:t>FDI</w:t>
            </w:r>
            <w:r w:rsidRPr="00CF571C">
              <w:rPr>
                <w:rFonts w:ascii="Times New Roman" w:hAnsi="Times New Roman" w:cs="Times New Roman"/>
                <w:color w:val="000000" w:themeColor="text1"/>
                <w:sz w:val="18"/>
                <w:szCs w:val="18"/>
              </w:rPr>
              <w:t>差异</w:t>
            </w:r>
          </w:p>
        </w:tc>
        <w:tc>
          <w:tcPr>
            <w:tcW w:w="4509" w:type="dxa"/>
            <w:tcBorders>
              <w:top w:val="single" w:sz="4" w:space="0" w:color="auto"/>
              <w:left w:val="nil"/>
              <w:bottom w:val="nil"/>
              <w:right w:val="nil"/>
            </w:tcBorders>
            <w:shd w:val="clear" w:color="auto" w:fill="auto"/>
            <w:noWrap/>
            <w:vAlign w:val="center"/>
            <w:hideMark/>
          </w:tcPr>
          <w:p w14:paraId="43CE019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外国直接投资</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总人口数量</w:t>
            </w:r>
          </w:p>
        </w:tc>
        <w:tc>
          <w:tcPr>
            <w:tcW w:w="1667" w:type="dxa"/>
            <w:vMerge w:val="restart"/>
            <w:tcBorders>
              <w:top w:val="single" w:sz="4" w:space="0" w:color="auto"/>
              <w:left w:val="nil"/>
              <w:bottom w:val="single" w:sz="4" w:space="0" w:color="auto"/>
              <w:right w:val="nil"/>
            </w:tcBorders>
            <w:shd w:val="clear" w:color="auto" w:fill="auto"/>
            <w:noWrap/>
            <w:vAlign w:val="center"/>
            <w:hideMark/>
          </w:tcPr>
          <w:p w14:paraId="511F8F3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地方经济状况</w:t>
            </w:r>
          </w:p>
        </w:tc>
      </w:tr>
      <w:tr w:rsidR="00CF571C" w:rsidRPr="00CF571C" w14:paraId="7347E344" w14:textId="77777777" w:rsidTr="00857977">
        <w:trPr>
          <w:trHeight w:val="266"/>
          <w:jc w:val="center"/>
        </w:trPr>
        <w:tc>
          <w:tcPr>
            <w:tcW w:w="1560" w:type="dxa"/>
            <w:vMerge/>
            <w:tcBorders>
              <w:top w:val="nil"/>
              <w:left w:val="nil"/>
              <w:bottom w:val="nil"/>
              <w:right w:val="nil"/>
            </w:tcBorders>
            <w:vAlign w:val="center"/>
            <w:hideMark/>
          </w:tcPr>
          <w:p w14:paraId="65E7555C"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nil"/>
              <w:right w:val="nil"/>
            </w:tcBorders>
            <w:shd w:val="clear" w:color="auto" w:fill="auto"/>
            <w:noWrap/>
            <w:vAlign w:val="center"/>
            <w:hideMark/>
          </w:tcPr>
          <w:p w14:paraId="76C28E0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人均</w:t>
            </w:r>
            <w:r w:rsidRPr="00CF571C">
              <w:rPr>
                <w:rFonts w:ascii="Times New Roman" w:hAnsi="Times New Roman" w:cs="Times New Roman"/>
                <w:color w:val="000000" w:themeColor="text1"/>
                <w:sz w:val="18"/>
                <w:szCs w:val="18"/>
              </w:rPr>
              <w:t>GDP</w:t>
            </w:r>
            <w:r w:rsidRPr="00CF571C">
              <w:rPr>
                <w:rFonts w:ascii="Times New Roman" w:hAnsi="Times New Roman" w:cs="Times New Roman"/>
                <w:color w:val="000000" w:themeColor="text1"/>
                <w:sz w:val="18"/>
                <w:szCs w:val="18"/>
              </w:rPr>
              <w:t>差异</w:t>
            </w:r>
          </w:p>
        </w:tc>
        <w:tc>
          <w:tcPr>
            <w:tcW w:w="4509" w:type="dxa"/>
            <w:tcBorders>
              <w:top w:val="nil"/>
              <w:left w:val="nil"/>
              <w:bottom w:val="nil"/>
              <w:right w:val="nil"/>
            </w:tcBorders>
            <w:shd w:val="clear" w:color="auto" w:fill="auto"/>
            <w:noWrap/>
            <w:vAlign w:val="center"/>
            <w:hideMark/>
          </w:tcPr>
          <w:p w14:paraId="20CE7F3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生产总值</w:t>
            </w:r>
            <w:r w:rsidRPr="00CF571C">
              <w:rPr>
                <w:rFonts w:ascii="Times New Roman" w:hAnsi="Times New Roman" w:cs="Times New Roman"/>
                <w:color w:val="000000" w:themeColor="text1"/>
                <w:sz w:val="18"/>
                <w:szCs w:val="18"/>
              </w:rPr>
              <w:t>/</w:t>
            </w:r>
            <w:r w:rsidRPr="00CF571C">
              <w:rPr>
                <w:rFonts w:ascii="Times New Roman" w:hAnsi="Times New Roman" w:cs="Times New Roman"/>
                <w:color w:val="000000" w:themeColor="text1"/>
                <w:sz w:val="18"/>
                <w:szCs w:val="18"/>
              </w:rPr>
              <w:t>总人口数量</w:t>
            </w:r>
          </w:p>
        </w:tc>
        <w:tc>
          <w:tcPr>
            <w:tcW w:w="1667" w:type="dxa"/>
            <w:vMerge/>
            <w:tcBorders>
              <w:top w:val="nil"/>
              <w:left w:val="nil"/>
              <w:bottom w:val="single" w:sz="4" w:space="0" w:color="auto"/>
              <w:right w:val="nil"/>
            </w:tcBorders>
            <w:vAlign w:val="center"/>
            <w:hideMark/>
          </w:tcPr>
          <w:p w14:paraId="2CF2A244"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38BC7C8F" w14:textId="77777777" w:rsidTr="00857977">
        <w:trPr>
          <w:trHeight w:val="266"/>
          <w:jc w:val="center"/>
        </w:trPr>
        <w:tc>
          <w:tcPr>
            <w:tcW w:w="1560" w:type="dxa"/>
            <w:vMerge/>
            <w:tcBorders>
              <w:top w:val="nil"/>
              <w:left w:val="nil"/>
              <w:bottom w:val="nil"/>
              <w:right w:val="nil"/>
            </w:tcBorders>
            <w:vAlign w:val="center"/>
            <w:hideMark/>
          </w:tcPr>
          <w:p w14:paraId="27E69C5E"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nil"/>
              <w:right w:val="nil"/>
            </w:tcBorders>
            <w:shd w:val="clear" w:color="auto" w:fill="auto"/>
            <w:noWrap/>
            <w:vAlign w:val="center"/>
            <w:hideMark/>
          </w:tcPr>
          <w:p w14:paraId="550994F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规模以上工业企业数差异</w:t>
            </w:r>
            <w:r w:rsidR="00857977"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万</w:t>
            </w:r>
            <w:r w:rsidR="00857977" w:rsidRPr="00CF571C">
              <w:rPr>
                <w:rFonts w:ascii="Times New Roman" w:hAnsi="Times New Roman" w:cs="Times New Roman" w:hint="eastAsia"/>
                <w:color w:val="000000" w:themeColor="text1"/>
                <w:sz w:val="18"/>
                <w:szCs w:val="18"/>
              </w:rPr>
              <w:t>）</w:t>
            </w:r>
          </w:p>
        </w:tc>
        <w:tc>
          <w:tcPr>
            <w:tcW w:w="4509" w:type="dxa"/>
            <w:tcBorders>
              <w:top w:val="nil"/>
              <w:left w:val="nil"/>
              <w:bottom w:val="nil"/>
              <w:right w:val="nil"/>
            </w:tcBorders>
            <w:shd w:val="clear" w:color="auto" w:fill="auto"/>
            <w:noWrap/>
            <w:vAlign w:val="center"/>
            <w:hideMark/>
          </w:tcPr>
          <w:p w14:paraId="6BA3D6B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本市规模以上工业企业数量</w:t>
            </w:r>
          </w:p>
        </w:tc>
        <w:tc>
          <w:tcPr>
            <w:tcW w:w="1667" w:type="dxa"/>
            <w:vMerge/>
            <w:tcBorders>
              <w:top w:val="nil"/>
              <w:left w:val="nil"/>
              <w:bottom w:val="single" w:sz="4" w:space="0" w:color="auto"/>
              <w:right w:val="nil"/>
            </w:tcBorders>
            <w:vAlign w:val="center"/>
            <w:hideMark/>
          </w:tcPr>
          <w:p w14:paraId="0771EDCD"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38F23873" w14:textId="77777777" w:rsidTr="00857977">
        <w:trPr>
          <w:trHeight w:val="266"/>
          <w:jc w:val="center"/>
        </w:trPr>
        <w:tc>
          <w:tcPr>
            <w:tcW w:w="1560" w:type="dxa"/>
            <w:vMerge/>
            <w:tcBorders>
              <w:top w:val="nil"/>
              <w:left w:val="nil"/>
              <w:bottom w:val="nil"/>
              <w:right w:val="nil"/>
            </w:tcBorders>
            <w:vAlign w:val="center"/>
            <w:hideMark/>
          </w:tcPr>
          <w:p w14:paraId="32033E6F"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single" w:sz="4" w:space="0" w:color="auto"/>
              <w:right w:val="nil"/>
            </w:tcBorders>
            <w:shd w:val="clear" w:color="auto" w:fill="auto"/>
            <w:noWrap/>
            <w:vAlign w:val="center"/>
            <w:hideMark/>
          </w:tcPr>
          <w:p w14:paraId="417F02E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规模以上工业总产值差异</w:t>
            </w:r>
          </w:p>
        </w:tc>
        <w:tc>
          <w:tcPr>
            <w:tcW w:w="4509" w:type="dxa"/>
            <w:tcBorders>
              <w:top w:val="nil"/>
              <w:left w:val="nil"/>
              <w:bottom w:val="single" w:sz="4" w:space="0" w:color="auto"/>
              <w:right w:val="nil"/>
            </w:tcBorders>
            <w:shd w:val="clear" w:color="auto" w:fill="auto"/>
            <w:noWrap/>
            <w:vAlign w:val="center"/>
            <w:hideMark/>
          </w:tcPr>
          <w:p w14:paraId="409F95A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本市规模以上工业总产值</w:t>
            </w:r>
          </w:p>
        </w:tc>
        <w:tc>
          <w:tcPr>
            <w:tcW w:w="1667" w:type="dxa"/>
            <w:vMerge/>
            <w:tcBorders>
              <w:top w:val="nil"/>
              <w:left w:val="nil"/>
              <w:bottom w:val="single" w:sz="4" w:space="0" w:color="auto"/>
              <w:right w:val="nil"/>
            </w:tcBorders>
            <w:vAlign w:val="center"/>
            <w:hideMark/>
          </w:tcPr>
          <w:p w14:paraId="453C64C2" w14:textId="77777777" w:rsidR="00D31D73" w:rsidRPr="00CF571C" w:rsidRDefault="00D31D73" w:rsidP="00B636FD">
            <w:pPr>
              <w:rPr>
                <w:rFonts w:ascii="Times New Roman" w:hAnsi="Times New Roman" w:cs="Times New Roman"/>
                <w:color w:val="000000" w:themeColor="text1"/>
                <w:sz w:val="18"/>
                <w:szCs w:val="18"/>
              </w:rPr>
            </w:pPr>
          </w:p>
        </w:tc>
      </w:tr>
      <w:tr w:rsidR="00CF571C" w:rsidRPr="00CF571C" w14:paraId="12F98AD2" w14:textId="77777777" w:rsidTr="00857977">
        <w:trPr>
          <w:trHeight w:val="266"/>
          <w:jc w:val="center"/>
        </w:trPr>
        <w:tc>
          <w:tcPr>
            <w:tcW w:w="1560" w:type="dxa"/>
            <w:vMerge/>
            <w:tcBorders>
              <w:top w:val="nil"/>
              <w:left w:val="nil"/>
              <w:bottom w:val="nil"/>
              <w:right w:val="nil"/>
            </w:tcBorders>
            <w:vAlign w:val="center"/>
            <w:hideMark/>
          </w:tcPr>
          <w:p w14:paraId="3F6C62AD"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single" w:sz="4" w:space="0" w:color="auto"/>
              <w:left w:val="nil"/>
              <w:bottom w:val="nil"/>
              <w:right w:val="nil"/>
            </w:tcBorders>
            <w:shd w:val="clear" w:color="auto" w:fill="auto"/>
            <w:noWrap/>
            <w:vAlign w:val="center"/>
            <w:hideMark/>
          </w:tcPr>
          <w:p w14:paraId="3C126AF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普通高等学校数差异</w:t>
            </w:r>
          </w:p>
        </w:tc>
        <w:tc>
          <w:tcPr>
            <w:tcW w:w="4509" w:type="dxa"/>
            <w:tcBorders>
              <w:top w:val="single" w:sz="4" w:space="0" w:color="auto"/>
              <w:left w:val="nil"/>
              <w:bottom w:val="nil"/>
              <w:right w:val="nil"/>
            </w:tcBorders>
            <w:shd w:val="clear" w:color="auto" w:fill="auto"/>
            <w:noWrap/>
            <w:vAlign w:val="center"/>
            <w:hideMark/>
          </w:tcPr>
          <w:p w14:paraId="299DDFE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本市普通高等学校数</w:t>
            </w:r>
          </w:p>
        </w:tc>
        <w:tc>
          <w:tcPr>
            <w:tcW w:w="1667" w:type="dxa"/>
            <w:vMerge w:val="restart"/>
            <w:tcBorders>
              <w:top w:val="single" w:sz="4" w:space="0" w:color="auto"/>
              <w:left w:val="nil"/>
              <w:bottom w:val="nil"/>
              <w:right w:val="nil"/>
            </w:tcBorders>
            <w:shd w:val="clear" w:color="auto" w:fill="auto"/>
            <w:noWrap/>
            <w:vAlign w:val="center"/>
            <w:hideMark/>
          </w:tcPr>
          <w:p w14:paraId="28A3121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地方民生状况</w:t>
            </w:r>
          </w:p>
        </w:tc>
      </w:tr>
      <w:tr w:rsidR="00CF571C" w:rsidRPr="00CF571C" w14:paraId="2E150D6A" w14:textId="77777777" w:rsidTr="00857977">
        <w:trPr>
          <w:trHeight w:val="266"/>
          <w:jc w:val="center"/>
        </w:trPr>
        <w:tc>
          <w:tcPr>
            <w:tcW w:w="1560" w:type="dxa"/>
            <w:vMerge/>
            <w:tcBorders>
              <w:top w:val="nil"/>
              <w:left w:val="nil"/>
              <w:bottom w:val="nil"/>
              <w:right w:val="nil"/>
            </w:tcBorders>
            <w:vAlign w:val="center"/>
            <w:hideMark/>
          </w:tcPr>
          <w:p w14:paraId="0A4F4FF1"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nil"/>
              <w:left w:val="nil"/>
              <w:bottom w:val="single" w:sz="4" w:space="0" w:color="auto"/>
              <w:right w:val="nil"/>
            </w:tcBorders>
            <w:shd w:val="clear" w:color="auto" w:fill="auto"/>
            <w:noWrap/>
            <w:vAlign w:val="center"/>
            <w:hideMark/>
          </w:tcPr>
          <w:p w14:paraId="1FBA862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医院个数差异</w:t>
            </w:r>
          </w:p>
        </w:tc>
        <w:tc>
          <w:tcPr>
            <w:tcW w:w="4509" w:type="dxa"/>
            <w:tcBorders>
              <w:top w:val="nil"/>
              <w:left w:val="nil"/>
              <w:bottom w:val="single" w:sz="4" w:space="0" w:color="auto"/>
              <w:right w:val="nil"/>
            </w:tcBorders>
            <w:shd w:val="clear" w:color="auto" w:fill="auto"/>
            <w:noWrap/>
            <w:vAlign w:val="center"/>
            <w:hideMark/>
          </w:tcPr>
          <w:p w14:paraId="51B84E9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本市医院个数</w:t>
            </w:r>
          </w:p>
        </w:tc>
        <w:tc>
          <w:tcPr>
            <w:tcW w:w="1667" w:type="dxa"/>
            <w:vMerge/>
            <w:tcBorders>
              <w:top w:val="nil"/>
              <w:left w:val="nil"/>
              <w:bottom w:val="single" w:sz="4" w:space="0" w:color="auto"/>
              <w:right w:val="nil"/>
            </w:tcBorders>
            <w:vAlign w:val="center"/>
            <w:hideMark/>
          </w:tcPr>
          <w:p w14:paraId="26ABF64F" w14:textId="77777777" w:rsidR="00D31D73" w:rsidRPr="00CF571C" w:rsidRDefault="00D31D73" w:rsidP="00B636FD">
            <w:pPr>
              <w:rPr>
                <w:rFonts w:ascii="Times New Roman" w:hAnsi="Times New Roman" w:cs="Times New Roman"/>
                <w:color w:val="000000" w:themeColor="text1"/>
                <w:sz w:val="18"/>
                <w:szCs w:val="18"/>
              </w:rPr>
            </w:pPr>
          </w:p>
        </w:tc>
      </w:tr>
      <w:tr w:rsidR="00D31D73" w:rsidRPr="00CF571C" w14:paraId="07E2AB1A" w14:textId="77777777" w:rsidTr="00857977">
        <w:trPr>
          <w:trHeight w:val="266"/>
          <w:jc w:val="center"/>
        </w:trPr>
        <w:tc>
          <w:tcPr>
            <w:tcW w:w="1560" w:type="dxa"/>
            <w:vMerge/>
            <w:tcBorders>
              <w:top w:val="nil"/>
              <w:left w:val="nil"/>
              <w:bottom w:val="single" w:sz="8" w:space="0" w:color="auto"/>
              <w:right w:val="nil"/>
            </w:tcBorders>
            <w:vAlign w:val="center"/>
            <w:hideMark/>
          </w:tcPr>
          <w:p w14:paraId="78B077BE" w14:textId="77777777" w:rsidR="00D31D73" w:rsidRPr="00CF571C" w:rsidRDefault="00D31D73" w:rsidP="00B636FD">
            <w:pPr>
              <w:rPr>
                <w:rFonts w:ascii="Times New Roman" w:hAnsi="Times New Roman" w:cs="Times New Roman"/>
                <w:color w:val="000000" w:themeColor="text1"/>
                <w:sz w:val="18"/>
                <w:szCs w:val="18"/>
              </w:rPr>
            </w:pPr>
          </w:p>
        </w:tc>
        <w:tc>
          <w:tcPr>
            <w:tcW w:w="2835" w:type="dxa"/>
            <w:tcBorders>
              <w:top w:val="single" w:sz="4" w:space="0" w:color="auto"/>
              <w:left w:val="nil"/>
              <w:bottom w:val="single" w:sz="8" w:space="0" w:color="auto"/>
              <w:right w:val="nil"/>
            </w:tcBorders>
            <w:shd w:val="clear" w:color="auto" w:fill="auto"/>
            <w:noWrap/>
            <w:vAlign w:val="center"/>
            <w:hideMark/>
          </w:tcPr>
          <w:p w14:paraId="24EEA4D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工业二氧化硫排放量差异</w:t>
            </w:r>
          </w:p>
        </w:tc>
        <w:tc>
          <w:tcPr>
            <w:tcW w:w="4509" w:type="dxa"/>
            <w:tcBorders>
              <w:top w:val="single" w:sz="4" w:space="0" w:color="auto"/>
              <w:left w:val="nil"/>
              <w:bottom w:val="single" w:sz="8" w:space="0" w:color="auto"/>
              <w:right w:val="nil"/>
            </w:tcBorders>
            <w:shd w:val="clear" w:color="auto" w:fill="auto"/>
            <w:noWrap/>
            <w:vAlign w:val="center"/>
            <w:hideMark/>
          </w:tcPr>
          <w:p w14:paraId="7237A16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本市工业二氧化硫排放量</w:t>
            </w:r>
          </w:p>
        </w:tc>
        <w:tc>
          <w:tcPr>
            <w:tcW w:w="1667" w:type="dxa"/>
            <w:tcBorders>
              <w:top w:val="single" w:sz="4" w:space="0" w:color="auto"/>
              <w:left w:val="nil"/>
              <w:bottom w:val="single" w:sz="8" w:space="0" w:color="auto"/>
              <w:right w:val="nil"/>
            </w:tcBorders>
            <w:shd w:val="clear" w:color="auto" w:fill="auto"/>
            <w:noWrap/>
            <w:vAlign w:val="center"/>
            <w:hideMark/>
          </w:tcPr>
          <w:p w14:paraId="5B37D49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地方环境特征</w:t>
            </w:r>
          </w:p>
        </w:tc>
      </w:tr>
    </w:tbl>
    <w:p w14:paraId="1DCAB18E" w14:textId="77777777" w:rsidR="00D31D73" w:rsidRPr="00CF571C" w:rsidRDefault="00D31D73" w:rsidP="008249C1">
      <w:pPr>
        <w:rPr>
          <w:rFonts w:eastAsia="仿宋"/>
          <w:bCs/>
          <w:color w:val="000000" w:themeColor="text1"/>
          <w:sz w:val="22"/>
          <w:szCs w:val="22"/>
        </w:rPr>
      </w:pPr>
    </w:p>
    <w:p w14:paraId="040A5567" w14:textId="77777777" w:rsidR="00D31D73" w:rsidRPr="00CF571C" w:rsidRDefault="00D31D73" w:rsidP="00536E76">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本文使用的地方四种财政支出数据</w:t>
      </w:r>
      <w:r w:rsidR="008132A8" w:rsidRPr="00CF571C">
        <w:rPr>
          <w:rFonts w:ascii="Times New Roman" w:hAnsi="Times New Roman" w:cs="Times New Roman" w:hint="eastAsia"/>
          <w:color w:val="000000" w:themeColor="text1"/>
          <w:sz w:val="21"/>
          <w:szCs w:val="21"/>
        </w:rPr>
        <w:t>来自</w:t>
      </w:r>
      <w:r w:rsidRPr="00CF571C">
        <w:rPr>
          <w:rFonts w:ascii="Times New Roman" w:hAnsi="Times New Roman" w:cs="Times New Roman"/>
          <w:color w:val="000000" w:themeColor="text1"/>
          <w:sz w:val="21"/>
          <w:szCs w:val="21"/>
        </w:rPr>
        <w:t>CEIC</w:t>
      </w:r>
      <w:r w:rsidRPr="00CF571C">
        <w:rPr>
          <w:rFonts w:ascii="Times New Roman" w:hAnsi="Times New Roman" w:cs="Times New Roman"/>
          <w:color w:val="000000" w:themeColor="text1"/>
          <w:sz w:val="21"/>
          <w:szCs w:val="21"/>
        </w:rPr>
        <w:t>数据库，两市空间关系及地理距离数据通过全国基础地理信息矢量数据测算得出，其他地方财政、经济、民生、环境状况等指标来自《中国城市统计年鉴》。本文使用</w:t>
      </w:r>
      <w:r w:rsidRPr="00CF571C">
        <w:rPr>
          <w:rFonts w:ascii="Times New Roman" w:hAnsi="Times New Roman" w:cs="Times New Roman"/>
          <w:color w:val="000000" w:themeColor="text1"/>
          <w:sz w:val="21"/>
          <w:szCs w:val="21"/>
        </w:rPr>
        <w:t>2010</w:t>
      </w:r>
      <w:r w:rsidR="002B2F17"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2018</w:t>
      </w:r>
      <w:r w:rsidRPr="00CF571C">
        <w:rPr>
          <w:rFonts w:ascii="Times New Roman" w:hAnsi="Times New Roman" w:cs="Times New Roman"/>
          <w:color w:val="000000" w:themeColor="text1"/>
          <w:sz w:val="21"/>
          <w:szCs w:val="21"/>
        </w:rPr>
        <w:t>年城市面板数据，按以下标准筛选：（</w:t>
      </w:r>
      <w:r w:rsidRPr="00CF571C">
        <w:rPr>
          <w:rFonts w:ascii="Times New Roman" w:hAnsi="Times New Roman" w:cs="Times New Roman"/>
          <w:color w:val="000000" w:themeColor="text1"/>
          <w:sz w:val="21"/>
          <w:szCs w:val="21"/>
        </w:rPr>
        <w:t>1</w:t>
      </w:r>
      <w:r w:rsidRPr="00CF571C">
        <w:rPr>
          <w:rFonts w:ascii="Times New Roman" w:hAnsi="Times New Roman" w:cs="Times New Roman"/>
          <w:color w:val="000000" w:themeColor="text1"/>
          <w:sz w:val="21"/>
          <w:szCs w:val="21"/>
        </w:rPr>
        <w:t>）剔除直辖市样本；（</w:t>
      </w:r>
      <w:r w:rsidRPr="00CF571C">
        <w:rPr>
          <w:rFonts w:ascii="Times New Roman" w:hAnsi="Times New Roman" w:cs="Times New Roman"/>
          <w:color w:val="000000" w:themeColor="text1"/>
          <w:sz w:val="21"/>
          <w:szCs w:val="21"/>
        </w:rPr>
        <w:t>2</w:t>
      </w:r>
      <w:r w:rsidRPr="00CF571C">
        <w:rPr>
          <w:rFonts w:ascii="Times New Roman" w:hAnsi="Times New Roman" w:cs="Times New Roman"/>
          <w:color w:val="000000" w:themeColor="text1"/>
          <w:sz w:val="21"/>
          <w:szCs w:val="21"/>
        </w:rPr>
        <w:t>）剔除四类支出比重高于</w:t>
      </w:r>
      <w:r w:rsidRPr="00CF571C">
        <w:rPr>
          <w:rFonts w:ascii="Times New Roman" w:hAnsi="Times New Roman" w:cs="Times New Roman"/>
          <w:color w:val="000000" w:themeColor="text1"/>
          <w:sz w:val="21"/>
          <w:szCs w:val="21"/>
        </w:rPr>
        <w:t>0.3</w:t>
      </w:r>
      <w:r w:rsidRPr="00CF571C">
        <w:rPr>
          <w:rFonts w:ascii="Times New Roman" w:hAnsi="Times New Roman" w:cs="Times New Roman"/>
          <w:color w:val="000000" w:themeColor="text1"/>
          <w:sz w:val="21"/>
          <w:szCs w:val="21"/>
        </w:rPr>
        <w:t>的样本数据，减小异常值干扰；（</w:t>
      </w:r>
      <w:r w:rsidRPr="00CF571C">
        <w:rPr>
          <w:rFonts w:ascii="Times New Roman" w:hAnsi="Times New Roman" w:cs="Times New Roman"/>
          <w:color w:val="000000" w:themeColor="text1"/>
          <w:sz w:val="21"/>
          <w:szCs w:val="21"/>
        </w:rPr>
        <w:t>3</w:t>
      </w:r>
      <w:r w:rsidRPr="00CF571C">
        <w:rPr>
          <w:rFonts w:ascii="Times New Roman" w:hAnsi="Times New Roman" w:cs="Times New Roman"/>
          <w:color w:val="000000" w:themeColor="text1"/>
          <w:sz w:val="21"/>
          <w:szCs w:val="21"/>
        </w:rPr>
        <w:t>）剔除四类支出比重为空值的数据。最终本文选取中国</w:t>
      </w:r>
      <w:r w:rsidRPr="00CF571C">
        <w:rPr>
          <w:rFonts w:ascii="Times New Roman" w:hAnsi="Times New Roman" w:cs="Times New Roman"/>
          <w:color w:val="000000" w:themeColor="text1"/>
          <w:sz w:val="21"/>
          <w:szCs w:val="21"/>
        </w:rPr>
        <w:t>262</w:t>
      </w:r>
      <w:r w:rsidRPr="00CF571C">
        <w:rPr>
          <w:rFonts w:ascii="Times New Roman" w:hAnsi="Times New Roman" w:cs="Times New Roman"/>
          <w:color w:val="000000" w:themeColor="text1"/>
          <w:sz w:val="21"/>
          <w:szCs w:val="21"/>
        </w:rPr>
        <w:t>个地级市，将城市两两配对，构造</w:t>
      </w:r>
      <w:r w:rsidR="002B2F17"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城市对</w:t>
      </w:r>
      <w:r w:rsidR="002B2F17"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数据集。描述性统计如表</w:t>
      </w:r>
      <w:r w:rsidR="003F73D6" w:rsidRPr="00CF571C">
        <w:rPr>
          <w:rFonts w:ascii="Times New Roman" w:hAnsi="Times New Roman" w:cs="Times New Roman"/>
          <w:color w:val="000000" w:themeColor="text1"/>
          <w:sz w:val="21"/>
          <w:szCs w:val="21"/>
        </w:rPr>
        <w:t>3</w:t>
      </w:r>
      <w:r w:rsidRPr="00CF571C">
        <w:rPr>
          <w:rFonts w:ascii="Times New Roman" w:hAnsi="Times New Roman" w:cs="Times New Roman"/>
          <w:color w:val="000000" w:themeColor="text1"/>
          <w:sz w:val="21"/>
          <w:szCs w:val="21"/>
        </w:rPr>
        <w:t>所示。</w:t>
      </w:r>
    </w:p>
    <w:p w14:paraId="1B7B0878" w14:textId="77777777" w:rsidR="00D31D73" w:rsidRPr="00CF571C" w:rsidRDefault="00D31D73" w:rsidP="00A26B4C">
      <w:pPr>
        <w:adjustRightInd w:val="0"/>
        <w:snapToGrid w:val="0"/>
        <w:ind w:firstLineChars="200" w:firstLine="420"/>
        <w:rPr>
          <w:rFonts w:ascii="Times New Roman" w:hAnsi="Times New Roman" w:cs="Times New Roman"/>
          <w:color w:val="000000" w:themeColor="text1"/>
          <w:sz w:val="21"/>
          <w:szCs w:val="21"/>
        </w:rPr>
      </w:pPr>
    </w:p>
    <w:p w14:paraId="5A0091F9"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3</w:t>
      </w:r>
      <w:r w:rsidRPr="00CF571C">
        <w:rPr>
          <w:rFonts w:ascii="Times New Roman" w:eastAsia="楷体" w:hAnsi="Times New Roman" w:cs="Times New Roman"/>
          <w:bCs/>
          <w:color w:val="000000" w:themeColor="text1"/>
          <w:kern w:val="2"/>
          <w:sz w:val="21"/>
          <w:szCs w:val="21"/>
        </w:rPr>
        <w:t xml:space="preserve">    </w:t>
      </w:r>
      <w:r w:rsidR="002B2F17" w:rsidRPr="00CF571C">
        <w:rPr>
          <w:rFonts w:ascii="楷体" w:eastAsia="楷体" w:hAnsi="楷体" w:cs="Times New Roman" w:hint="eastAsia"/>
          <w:color w:val="000000" w:themeColor="text1"/>
          <w:sz w:val="21"/>
          <w:szCs w:val="21"/>
        </w:rPr>
        <w:t>“</w:t>
      </w:r>
      <w:r w:rsidRPr="00CF571C">
        <w:rPr>
          <w:rFonts w:ascii="楷体" w:eastAsia="楷体" w:hAnsi="楷体" w:cs="Times New Roman" w:hint="eastAsia"/>
          <w:bCs/>
          <w:color w:val="000000" w:themeColor="text1"/>
          <w:kern w:val="2"/>
          <w:sz w:val="21"/>
          <w:szCs w:val="21"/>
        </w:rPr>
        <w:t>城市对</w:t>
      </w:r>
      <w:r w:rsidR="002B2F17" w:rsidRPr="00CF571C">
        <w:rPr>
          <w:rFonts w:ascii="楷体" w:eastAsia="楷体" w:hAnsi="楷体" w:cs="Times New Roman" w:hint="eastAsia"/>
          <w:color w:val="000000" w:themeColor="text1"/>
          <w:sz w:val="21"/>
          <w:szCs w:val="21"/>
        </w:rPr>
        <w:t>”</w:t>
      </w:r>
      <w:r w:rsidRPr="00CF571C">
        <w:rPr>
          <w:rFonts w:ascii="Times New Roman" w:eastAsia="楷体" w:hAnsi="Times New Roman" w:cs="Times New Roman"/>
          <w:bCs/>
          <w:color w:val="000000" w:themeColor="text1"/>
          <w:kern w:val="2"/>
          <w:sz w:val="21"/>
          <w:szCs w:val="21"/>
        </w:rPr>
        <w:t>数据描述性统计</w:t>
      </w:r>
    </w:p>
    <w:tbl>
      <w:tblPr>
        <w:tblW w:w="10841" w:type="dxa"/>
        <w:jc w:val="center"/>
        <w:tblLook w:val="04A0" w:firstRow="1" w:lastRow="0" w:firstColumn="1" w:lastColumn="0" w:noHBand="0" w:noVBand="1"/>
      </w:tblPr>
      <w:tblGrid>
        <w:gridCol w:w="2480"/>
        <w:gridCol w:w="923"/>
        <w:gridCol w:w="1073"/>
        <w:gridCol w:w="1071"/>
        <w:gridCol w:w="1074"/>
        <w:gridCol w:w="1071"/>
        <w:gridCol w:w="1073"/>
        <w:gridCol w:w="1071"/>
        <w:gridCol w:w="1075"/>
      </w:tblGrid>
      <w:tr w:rsidR="00CF571C" w:rsidRPr="00CF571C" w14:paraId="301EAD4D" w14:textId="77777777" w:rsidTr="007E197E">
        <w:trPr>
          <w:trHeight w:val="253"/>
          <w:jc w:val="center"/>
        </w:trPr>
        <w:tc>
          <w:tcPr>
            <w:tcW w:w="2480" w:type="dxa"/>
            <w:tcBorders>
              <w:top w:val="single" w:sz="8" w:space="0" w:color="auto"/>
              <w:left w:val="nil"/>
              <w:bottom w:val="single" w:sz="4" w:space="0" w:color="auto"/>
              <w:right w:val="single" w:sz="4" w:space="0" w:color="auto"/>
            </w:tcBorders>
            <w:shd w:val="clear" w:color="auto" w:fill="auto"/>
            <w:noWrap/>
            <w:vAlign w:val="center"/>
          </w:tcPr>
          <w:p w14:paraId="62ECE801" w14:textId="77777777" w:rsidR="00D31D73" w:rsidRPr="00CF571C" w:rsidRDefault="00D31D73" w:rsidP="00B636FD">
            <w:pPr>
              <w:rPr>
                <w:rFonts w:ascii="Times New Roman" w:hAnsi="Times New Roman" w:cs="Times New Roman"/>
                <w:color w:val="000000" w:themeColor="text1"/>
                <w:sz w:val="18"/>
                <w:szCs w:val="18"/>
              </w:rPr>
            </w:pPr>
          </w:p>
        </w:tc>
        <w:tc>
          <w:tcPr>
            <w:tcW w:w="4071" w:type="dxa"/>
            <w:gridSpan w:val="4"/>
            <w:tcBorders>
              <w:top w:val="single" w:sz="8" w:space="0" w:color="auto"/>
              <w:left w:val="single" w:sz="4" w:space="0" w:color="auto"/>
              <w:bottom w:val="single" w:sz="4" w:space="0" w:color="auto"/>
              <w:right w:val="single" w:sz="4" w:space="0" w:color="auto"/>
            </w:tcBorders>
            <w:shd w:val="clear" w:color="auto" w:fill="auto"/>
            <w:noWrap/>
            <w:vAlign w:val="center"/>
          </w:tcPr>
          <w:p w14:paraId="358D537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毗邻</w:t>
            </w:r>
            <w:r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城市对</w:t>
            </w:r>
            <w:r w:rsidRPr="00CF571C">
              <w:rPr>
                <w:rFonts w:ascii="Times New Roman" w:hAnsi="Times New Roman" w:cs="Times New Roman" w:hint="eastAsia"/>
                <w:color w:val="000000" w:themeColor="text1"/>
                <w:sz w:val="18"/>
                <w:szCs w:val="18"/>
              </w:rPr>
              <w:t>”</w:t>
            </w:r>
          </w:p>
        </w:tc>
        <w:tc>
          <w:tcPr>
            <w:tcW w:w="4290" w:type="dxa"/>
            <w:gridSpan w:val="4"/>
            <w:tcBorders>
              <w:top w:val="single" w:sz="8" w:space="0" w:color="auto"/>
              <w:left w:val="single" w:sz="4" w:space="0" w:color="auto"/>
              <w:bottom w:val="single" w:sz="4" w:space="0" w:color="auto"/>
              <w:right w:val="nil"/>
            </w:tcBorders>
            <w:shd w:val="clear" w:color="auto" w:fill="auto"/>
            <w:noWrap/>
            <w:vAlign w:val="center"/>
          </w:tcPr>
          <w:p w14:paraId="09C6F12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不毗邻</w:t>
            </w:r>
            <w:r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城市对</w:t>
            </w:r>
            <w:r w:rsidRPr="00CF571C">
              <w:rPr>
                <w:rFonts w:ascii="Times New Roman" w:hAnsi="Times New Roman" w:cs="Times New Roman" w:hint="eastAsia"/>
                <w:color w:val="000000" w:themeColor="text1"/>
                <w:sz w:val="18"/>
                <w:szCs w:val="18"/>
              </w:rPr>
              <w:t>”</w:t>
            </w:r>
          </w:p>
        </w:tc>
      </w:tr>
      <w:tr w:rsidR="00CF571C" w:rsidRPr="00CF571C" w14:paraId="7D53B2CC"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23EB4308" w14:textId="77777777" w:rsidR="00D31D73" w:rsidRPr="00CF571C" w:rsidRDefault="00D31D73" w:rsidP="00B636FD">
            <w:pPr>
              <w:jc w:val="center"/>
              <w:rPr>
                <w:rFonts w:ascii="Times New Roman" w:hAnsi="Times New Roman" w:cs="Times New Roman"/>
                <w:color w:val="000000" w:themeColor="text1"/>
                <w:sz w:val="18"/>
                <w:szCs w:val="18"/>
              </w:rPr>
            </w:pP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775E8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同省毗邻</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1311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异省毗邻</w:t>
            </w:r>
          </w:p>
        </w:tc>
        <w:tc>
          <w:tcPr>
            <w:tcW w:w="21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75EC7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同省不毗邻</w:t>
            </w:r>
          </w:p>
        </w:tc>
        <w:tc>
          <w:tcPr>
            <w:tcW w:w="2145" w:type="dxa"/>
            <w:gridSpan w:val="2"/>
            <w:tcBorders>
              <w:top w:val="single" w:sz="4" w:space="0" w:color="auto"/>
              <w:left w:val="single" w:sz="4" w:space="0" w:color="auto"/>
              <w:bottom w:val="single" w:sz="4" w:space="0" w:color="auto"/>
              <w:right w:val="nil"/>
            </w:tcBorders>
            <w:shd w:val="clear" w:color="auto" w:fill="auto"/>
            <w:noWrap/>
            <w:vAlign w:val="center"/>
          </w:tcPr>
          <w:p w14:paraId="40FE782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异省不毗邻</w:t>
            </w:r>
          </w:p>
        </w:tc>
      </w:tr>
      <w:tr w:rsidR="00CF571C" w:rsidRPr="00CF571C" w14:paraId="1333FE88"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0EFF4562"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O</w:t>
            </w:r>
            <w:r w:rsidRPr="00CF571C">
              <w:rPr>
                <w:rFonts w:ascii="Times New Roman" w:hAnsi="Times New Roman" w:cs="Times New Roman" w:hint="eastAsia"/>
                <w:i/>
                <w:iCs/>
                <w:color w:val="000000" w:themeColor="text1"/>
                <w:sz w:val="18"/>
                <w:szCs w:val="18"/>
              </w:rPr>
              <w:t>bs</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156B1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7620</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BA047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3008</w:t>
            </w:r>
          </w:p>
        </w:tc>
        <w:tc>
          <w:tcPr>
            <w:tcW w:w="21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49D1D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19495</w:t>
            </w:r>
          </w:p>
        </w:tc>
        <w:tc>
          <w:tcPr>
            <w:tcW w:w="2145" w:type="dxa"/>
            <w:gridSpan w:val="2"/>
            <w:tcBorders>
              <w:top w:val="single" w:sz="4" w:space="0" w:color="auto"/>
              <w:left w:val="single" w:sz="4" w:space="0" w:color="auto"/>
              <w:bottom w:val="single" w:sz="4" w:space="0" w:color="auto"/>
              <w:right w:val="nil"/>
            </w:tcBorders>
            <w:shd w:val="clear" w:color="auto" w:fill="auto"/>
            <w:noWrap/>
            <w:vAlign w:val="center"/>
          </w:tcPr>
          <w:p w14:paraId="6404476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538818</w:t>
            </w:r>
          </w:p>
        </w:tc>
      </w:tr>
      <w:tr w:rsidR="00CF571C" w:rsidRPr="00CF571C" w14:paraId="41A5AF08"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4CB85F27" w14:textId="77777777" w:rsidR="00D31D73" w:rsidRPr="00CF571C" w:rsidRDefault="00D31D73" w:rsidP="00B636FD">
            <w:pPr>
              <w:jc w:val="center"/>
              <w:rPr>
                <w:rFonts w:ascii="Times New Roman" w:hAnsi="Times New Roman" w:cs="Times New Roman"/>
                <w:i/>
                <w:iCs/>
                <w:color w:val="000000" w:themeColor="text1"/>
                <w:sz w:val="18"/>
                <w:szCs w:val="18"/>
              </w:rPr>
            </w:pPr>
          </w:p>
        </w:tc>
        <w:tc>
          <w:tcPr>
            <w:tcW w:w="852" w:type="dxa"/>
            <w:tcBorders>
              <w:top w:val="single" w:sz="4" w:space="0" w:color="auto"/>
              <w:left w:val="single" w:sz="4" w:space="0" w:color="auto"/>
              <w:bottom w:val="single" w:sz="4" w:space="0" w:color="auto"/>
            </w:tcBorders>
            <w:shd w:val="clear" w:color="auto" w:fill="auto"/>
            <w:noWrap/>
            <w:vAlign w:val="center"/>
          </w:tcPr>
          <w:p w14:paraId="58273A67"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M</w:t>
            </w:r>
            <w:r w:rsidRPr="00CF571C">
              <w:rPr>
                <w:rFonts w:ascii="Times New Roman" w:hAnsi="Times New Roman" w:cs="Times New Roman" w:hint="eastAsia"/>
                <w:i/>
                <w:iCs/>
                <w:color w:val="000000" w:themeColor="text1"/>
                <w:sz w:val="18"/>
                <w:szCs w:val="18"/>
              </w:rPr>
              <w:t>ean</w:t>
            </w:r>
          </w:p>
        </w:tc>
        <w:tc>
          <w:tcPr>
            <w:tcW w:w="1073" w:type="dxa"/>
            <w:tcBorders>
              <w:top w:val="single" w:sz="4" w:space="0" w:color="auto"/>
              <w:bottom w:val="single" w:sz="4" w:space="0" w:color="auto"/>
              <w:right w:val="single" w:sz="4" w:space="0" w:color="auto"/>
            </w:tcBorders>
            <w:shd w:val="clear" w:color="auto" w:fill="auto"/>
            <w:noWrap/>
            <w:vAlign w:val="center"/>
          </w:tcPr>
          <w:p w14:paraId="73F85616"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S</w:t>
            </w:r>
            <w:r w:rsidRPr="00CF571C">
              <w:rPr>
                <w:rFonts w:ascii="Times New Roman" w:hAnsi="Times New Roman" w:cs="Times New Roman" w:hint="eastAsia"/>
                <w:i/>
                <w:iCs/>
                <w:color w:val="000000" w:themeColor="text1"/>
                <w:sz w:val="18"/>
                <w:szCs w:val="18"/>
              </w:rPr>
              <w:t>td</w:t>
            </w:r>
          </w:p>
        </w:tc>
        <w:tc>
          <w:tcPr>
            <w:tcW w:w="1071" w:type="dxa"/>
            <w:tcBorders>
              <w:top w:val="single" w:sz="4" w:space="0" w:color="auto"/>
              <w:left w:val="single" w:sz="4" w:space="0" w:color="auto"/>
              <w:bottom w:val="single" w:sz="4" w:space="0" w:color="auto"/>
            </w:tcBorders>
            <w:shd w:val="clear" w:color="auto" w:fill="auto"/>
            <w:noWrap/>
            <w:vAlign w:val="center"/>
          </w:tcPr>
          <w:p w14:paraId="190B6D93"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M</w:t>
            </w:r>
            <w:r w:rsidRPr="00CF571C">
              <w:rPr>
                <w:rFonts w:ascii="Times New Roman" w:hAnsi="Times New Roman" w:cs="Times New Roman" w:hint="eastAsia"/>
                <w:i/>
                <w:iCs/>
                <w:color w:val="000000" w:themeColor="text1"/>
                <w:sz w:val="18"/>
                <w:szCs w:val="18"/>
              </w:rPr>
              <w:t>ean</w:t>
            </w:r>
          </w:p>
        </w:tc>
        <w:tc>
          <w:tcPr>
            <w:tcW w:w="1074" w:type="dxa"/>
            <w:tcBorders>
              <w:top w:val="single" w:sz="4" w:space="0" w:color="auto"/>
              <w:bottom w:val="single" w:sz="4" w:space="0" w:color="auto"/>
              <w:right w:val="single" w:sz="4" w:space="0" w:color="auto"/>
            </w:tcBorders>
            <w:shd w:val="clear" w:color="auto" w:fill="auto"/>
            <w:noWrap/>
            <w:vAlign w:val="center"/>
          </w:tcPr>
          <w:p w14:paraId="66776350"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S</w:t>
            </w:r>
            <w:r w:rsidRPr="00CF571C">
              <w:rPr>
                <w:rFonts w:ascii="Times New Roman" w:hAnsi="Times New Roman" w:cs="Times New Roman" w:hint="eastAsia"/>
                <w:i/>
                <w:iCs/>
                <w:color w:val="000000" w:themeColor="text1"/>
                <w:sz w:val="18"/>
                <w:szCs w:val="18"/>
              </w:rPr>
              <w:t>td</w:t>
            </w:r>
          </w:p>
        </w:tc>
        <w:tc>
          <w:tcPr>
            <w:tcW w:w="1071" w:type="dxa"/>
            <w:tcBorders>
              <w:top w:val="single" w:sz="4" w:space="0" w:color="auto"/>
              <w:left w:val="single" w:sz="4" w:space="0" w:color="auto"/>
              <w:bottom w:val="single" w:sz="4" w:space="0" w:color="auto"/>
            </w:tcBorders>
            <w:shd w:val="clear" w:color="auto" w:fill="auto"/>
            <w:noWrap/>
            <w:vAlign w:val="center"/>
          </w:tcPr>
          <w:p w14:paraId="0D29D5C6"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M</w:t>
            </w:r>
            <w:r w:rsidRPr="00CF571C">
              <w:rPr>
                <w:rFonts w:ascii="Times New Roman" w:hAnsi="Times New Roman" w:cs="Times New Roman" w:hint="eastAsia"/>
                <w:i/>
                <w:iCs/>
                <w:color w:val="000000" w:themeColor="text1"/>
                <w:sz w:val="18"/>
                <w:szCs w:val="18"/>
              </w:rPr>
              <w:t>ean</w:t>
            </w:r>
          </w:p>
        </w:tc>
        <w:tc>
          <w:tcPr>
            <w:tcW w:w="1073" w:type="dxa"/>
            <w:tcBorders>
              <w:top w:val="single" w:sz="4" w:space="0" w:color="auto"/>
              <w:bottom w:val="single" w:sz="4" w:space="0" w:color="auto"/>
              <w:right w:val="single" w:sz="4" w:space="0" w:color="auto"/>
            </w:tcBorders>
            <w:shd w:val="clear" w:color="auto" w:fill="auto"/>
            <w:noWrap/>
            <w:vAlign w:val="center"/>
          </w:tcPr>
          <w:p w14:paraId="18FABB03"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S</w:t>
            </w:r>
            <w:r w:rsidRPr="00CF571C">
              <w:rPr>
                <w:rFonts w:ascii="Times New Roman" w:hAnsi="Times New Roman" w:cs="Times New Roman" w:hint="eastAsia"/>
                <w:i/>
                <w:iCs/>
                <w:color w:val="000000" w:themeColor="text1"/>
                <w:sz w:val="18"/>
                <w:szCs w:val="18"/>
              </w:rPr>
              <w:t>td</w:t>
            </w:r>
          </w:p>
        </w:tc>
        <w:tc>
          <w:tcPr>
            <w:tcW w:w="1071" w:type="dxa"/>
            <w:tcBorders>
              <w:top w:val="single" w:sz="4" w:space="0" w:color="auto"/>
              <w:left w:val="single" w:sz="4" w:space="0" w:color="auto"/>
              <w:bottom w:val="single" w:sz="4" w:space="0" w:color="auto"/>
            </w:tcBorders>
            <w:shd w:val="clear" w:color="auto" w:fill="auto"/>
            <w:noWrap/>
            <w:vAlign w:val="center"/>
          </w:tcPr>
          <w:p w14:paraId="65E530C3"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M</w:t>
            </w:r>
            <w:r w:rsidRPr="00CF571C">
              <w:rPr>
                <w:rFonts w:ascii="Times New Roman" w:hAnsi="Times New Roman" w:cs="Times New Roman" w:hint="eastAsia"/>
                <w:i/>
                <w:iCs/>
                <w:color w:val="000000" w:themeColor="text1"/>
                <w:sz w:val="18"/>
                <w:szCs w:val="18"/>
              </w:rPr>
              <w:t>ean</w:t>
            </w:r>
          </w:p>
        </w:tc>
        <w:tc>
          <w:tcPr>
            <w:tcW w:w="1074" w:type="dxa"/>
            <w:tcBorders>
              <w:top w:val="single" w:sz="4" w:space="0" w:color="auto"/>
              <w:bottom w:val="single" w:sz="4" w:space="0" w:color="auto"/>
              <w:right w:val="nil"/>
            </w:tcBorders>
            <w:shd w:val="clear" w:color="auto" w:fill="auto"/>
            <w:noWrap/>
            <w:vAlign w:val="center"/>
          </w:tcPr>
          <w:p w14:paraId="248C9E68" w14:textId="77777777" w:rsidR="00D31D73" w:rsidRPr="00CF571C" w:rsidRDefault="00D31D73" w:rsidP="00B636FD">
            <w:pPr>
              <w:jc w:val="center"/>
              <w:rPr>
                <w:rFonts w:ascii="Times New Roman" w:hAnsi="Times New Roman" w:cs="Times New Roman"/>
                <w:i/>
                <w:iCs/>
                <w:color w:val="000000" w:themeColor="text1"/>
                <w:sz w:val="18"/>
                <w:szCs w:val="18"/>
              </w:rPr>
            </w:pPr>
            <w:r w:rsidRPr="00CF571C">
              <w:rPr>
                <w:rFonts w:ascii="Times New Roman" w:hAnsi="Times New Roman" w:cs="Times New Roman"/>
                <w:i/>
                <w:iCs/>
                <w:color w:val="000000" w:themeColor="text1"/>
                <w:sz w:val="18"/>
                <w:szCs w:val="18"/>
              </w:rPr>
              <w:t>S</w:t>
            </w:r>
            <w:r w:rsidRPr="00CF571C">
              <w:rPr>
                <w:rFonts w:ascii="Times New Roman" w:hAnsi="Times New Roman" w:cs="Times New Roman" w:hint="eastAsia"/>
                <w:i/>
                <w:iCs/>
                <w:color w:val="000000" w:themeColor="text1"/>
                <w:sz w:val="18"/>
                <w:szCs w:val="18"/>
              </w:rPr>
              <w:t>td</w:t>
            </w:r>
          </w:p>
        </w:tc>
      </w:tr>
      <w:tr w:rsidR="00CF571C" w:rsidRPr="00CF571C" w14:paraId="519E880B"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0C38A90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教育支出占比差异</w:t>
            </w:r>
          </w:p>
        </w:tc>
        <w:tc>
          <w:tcPr>
            <w:tcW w:w="852" w:type="dxa"/>
            <w:tcBorders>
              <w:top w:val="single" w:sz="4" w:space="0" w:color="auto"/>
              <w:left w:val="single" w:sz="4" w:space="0" w:color="auto"/>
              <w:bottom w:val="single" w:sz="4" w:space="0" w:color="auto"/>
            </w:tcBorders>
            <w:shd w:val="clear" w:color="auto" w:fill="auto"/>
            <w:noWrap/>
            <w:vAlign w:val="center"/>
          </w:tcPr>
          <w:p w14:paraId="74B9A40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0.045</w:t>
            </w:r>
          </w:p>
        </w:tc>
        <w:tc>
          <w:tcPr>
            <w:tcW w:w="1073" w:type="dxa"/>
            <w:tcBorders>
              <w:top w:val="single" w:sz="4" w:space="0" w:color="auto"/>
              <w:bottom w:val="single" w:sz="4" w:space="0" w:color="auto"/>
              <w:right w:val="single" w:sz="4" w:space="0" w:color="auto"/>
            </w:tcBorders>
            <w:shd w:val="clear" w:color="auto" w:fill="auto"/>
            <w:noWrap/>
            <w:vAlign w:val="center"/>
          </w:tcPr>
          <w:p w14:paraId="10D6474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0.054</w:t>
            </w:r>
          </w:p>
        </w:tc>
        <w:tc>
          <w:tcPr>
            <w:tcW w:w="1071" w:type="dxa"/>
            <w:tcBorders>
              <w:top w:val="single" w:sz="4" w:space="0" w:color="auto"/>
              <w:left w:val="single" w:sz="4" w:space="0" w:color="auto"/>
              <w:bottom w:val="single" w:sz="4" w:space="0" w:color="auto"/>
            </w:tcBorders>
            <w:shd w:val="clear" w:color="auto" w:fill="auto"/>
            <w:noWrap/>
            <w:vAlign w:val="center"/>
          </w:tcPr>
          <w:p w14:paraId="07796B8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0.053</w:t>
            </w:r>
          </w:p>
        </w:tc>
        <w:tc>
          <w:tcPr>
            <w:tcW w:w="1074" w:type="dxa"/>
            <w:tcBorders>
              <w:top w:val="single" w:sz="4" w:space="0" w:color="auto"/>
              <w:bottom w:val="single" w:sz="4" w:space="0" w:color="auto"/>
              <w:right w:val="single" w:sz="4" w:space="0" w:color="auto"/>
            </w:tcBorders>
            <w:shd w:val="clear" w:color="auto" w:fill="auto"/>
            <w:noWrap/>
            <w:vAlign w:val="center"/>
          </w:tcPr>
          <w:p w14:paraId="581FC44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0.052</w:t>
            </w:r>
          </w:p>
        </w:tc>
        <w:tc>
          <w:tcPr>
            <w:tcW w:w="1071" w:type="dxa"/>
            <w:tcBorders>
              <w:top w:val="single" w:sz="4" w:space="0" w:color="auto"/>
              <w:left w:val="single" w:sz="4" w:space="0" w:color="auto"/>
              <w:bottom w:val="single" w:sz="4" w:space="0" w:color="auto"/>
            </w:tcBorders>
            <w:shd w:val="clear" w:color="auto" w:fill="auto"/>
            <w:noWrap/>
            <w:vAlign w:val="center"/>
          </w:tcPr>
          <w:p w14:paraId="55B8EF1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0.049</w:t>
            </w:r>
          </w:p>
        </w:tc>
        <w:tc>
          <w:tcPr>
            <w:tcW w:w="1073" w:type="dxa"/>
            <w:tcBorders>
              <w:top w:val="single" w:sz="4" w:space="0" w:color="auto"/>
              <w:bottom w:val="single" w:sz="4" w:space="0" w:color="auto"/>
              <w:right w:val="single" w:sz="4" w:space="0" w:color="auto"/>
            </w:tcBorders>
            <w:shd w:val="clear" w:color="auto" w:fill="auto"/>
            <w:noWrap/>
            <w:vAlign w:val="center"/>
          </w:tcPr>
          <w:p w14:paraId="32BA354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0.053</w:t>
            </w:r>
          </w:p>
        </w:tc>
        <w:tc>
          <w:tcPr>
            <w:tcW w:w="1071" w:type="dxa"/>
            <w:tcBorders>
              <w:top w:val="single" w:sz="4" w:space="0" w:color="auto"/>
              <w:left w:val="single" w:sz="4" w:space="0" w:color="auto"/>
              <w:bottom w:val="single" w:sz="4" w:space="0" w:color="auto"/>
            </w:tcBorders>
            <w:shd w:val="clear" w:color="auto" w:fill="auto"/>
            <w:noWrap/>
            <w:vAlign w:val="center"/>
          </w:tcPr>
          <w:p w14:paraId="2C99D2E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0.061</w:t>
            </w:r>
          </w:p>
        </w:tc>
        <w:tc>
          <w:tcPr>
            <w:tcW w:w="1074" w:type="dxa"/>
            <w:tcBorders>
              <w:top w:val="single" w:sz="4" w:space="0" w:color="auto"/>
              <w:bottom w:val="single" w:sz="4" w:space="0" w:color="auto"/>
              <w:right w:val="nil"/>
            </w:tcBorders>
            <w:shd w:val="clear" w:color="auto" w:fill="auto"/>
            <w:noWrap/>
            <w:vAlign w:val="center"/>
          </w:tcPr>
          <w:p w14:paraId="243CF56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0.053</w:t>
            </w:r>
          </w:p>
        </w:tc>
      </w:tr>
      <w:tr w:rsidR="00CF571C" w:rsidRPr="00CF571C" w14:paraId="67C035FC"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49D5E6D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科技支出占比差异</w:t>
            </w:r>
          </w:p>
        </w:tc>
        <w:tc>
          <w:tcPr>
            <w:tcW w:w="852" w:type="dxa"/>
            <w:tcBorders>
              <w:top w:val="single" w:sz="4" w:space="0" w:color="auto"/>
              <w:left w:val="single" w:sz="4" w:space="0" w:color="auto"/>
              <w:bottom w:val="single" w:sz="4" w:space="0" w:color="auto"/>
            </w:tcBorders>
            <w:shd w:val="clear" w:color="auto" w:fill="auto"/>
            <w:noWrap/>
            <w:vAlign w:val="center"/>
          </w:tcPr>
          <w:p w14:paraId="2E06701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0.010</w:t>
            </w:r>
          </w:p>
        </w:tc>
        <w:tc>
          <w:tcPr>
            <w:tcW w:w="1073" w:type="dxa"/>
            <w:tcBorders>
              <w:top w:val="single" w:sz="4" w:space="0" w:color="auto"/>
              <w:bottom w:val="single" w:sz="4" w:space="0" w:color="auto"/>
              <w:right w:val="single" w:sz="4" w:space="0" w:color="auto"/>
            </w:tcBorders>
            <w:shd w:val="clear" w:color="auto" w:fill="auto"/>
            <w:noWrap/>
            <w:vAlign w:val="center"/>
          </w:tcPr>
          <w:p w14:paraId="4807315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0.012</w:t>
            </w:r>
          </w:p>
        </w:tc>
        <w:tc>
          <w:tcPr>
            <w:tcW w:w="1071" w:type="dxa"/>
            <w:tcBorders>
              <w:top w:val="single" w:sz="4" w:space="0" w:color="auto"/>
              <w:left w:val="single" w:sz="4" w:space="0" w:color="auto"/>
              <w:bottom w:val="single" w:sz="4" w:space="0" w:color="auto"/>
            </w:tcBorders>
            <w:shd w:val="clear" w:color="auto" w:fill="auto"/>
            <w:noWrap/>
            <w:vAlign w:val="center"/>
          </w:tcPr>
          <w:p w14:paraId="56FBE02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0.010</w:t>
            </w:r>
          </w:p>
        </w:tc>
        <w:tc>
          <w:tcPr>
            <w:tcW w:w="1074" w:type="dxa"/>
            <w:tcBorders>
              <w:top w:val="single" w:sz="4" w:space="0" w:color="auto"/>
              <w:bottom w:val="single" w:sz="4" w:space="0" w:color="auto"/>
              <w:right w:val="single" w:sz="4" w:space="0" w:color="auto"/>
            </w:tcBorders>
            <w:shd w:val="clear" w:color="auto" w:fill="auto"/>
            <w:noWrap/>
            <w:vAlign w:val="center"/>
          </w:tcPr>
          <w:p w14:paraId="17D2BE9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0.011</w:t>
            </w:r>
          </w:p>
        </w:tc>
        <w:tc>
          <w:tcPr>
            <w:tcW w:w="1071" w:type="dxa"/>
            <w:tcBorders>
              <w:top w:val="single" w:sz="4" w:space="0" w:color="auto"/>
              <w:left w:val="single" w:sz="4" w:space="0" w:color="auto"/>
              <w:bottom w:val="single" w:sz="4" w:space="0" w:color="auto"/>
            </w:tcBorders>
            <w:shd w:val="clear" w:color="auto" w:fill="auto"/>
            <w:noWrap/>
            <w:vAlign w:val="center"/>
          </w:tcPr>
          <w:p w14:paraId="0AE7585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0.012</w:t>
            </w:r>
          </w:p>
        </w:tc>
        <w:tc>
          <w:tcPr>
            <w:tcW w:w="1073" w:type="dxa"/>
            <w:tcBorders>
              <w:top w:val="single" w:sz="4" w:space="0" w:color="auto"/>
              <w:bottom w:val="single" w:sz="4" w:space="0" w:color="auto"/>
              <w:right w:val="single" w:sz="4" w:space="0" w:color="auto"/>
            </w:tcBorders>
            <w:shd w:val="clear" w:color="auto" w:fill="auto"/>
            <w:noWrap/>
            <w:vAlign w:val="center"/>
          </w:tcPr>
          <w:p w14:paraId="6834CA2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0.015</w:t>
            </w:r>
          </w:p>
        </w:tc>
        <w:tc>
          <w:tcPr>
            <w:tcW w:w="1071" w:type="dxa"/>
            <w:tcBorders>
              <w:top w:val="single" w:sz="4" w:space="0" w:color="auto"/>
              <w:left w:val="single" w:sz="4" w:space="0" w:color="auto"/>
              <w:bottom w:val="single" w:sz="4" w:space="0" w:color="auto"/>
            </w:tcBorders>
            <w:shd w:val="clear" w:color="auto" w:fill="auto"/>
            <w:noWrap/>
            <w:vAlign w:val="center"/>
          </w:tcPr>
          <w:p w14:paraId="4C3B73F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0.015</w:t>
            </w:r>
          </w:p>
        </w:tc>
        <w:tc>
          <w:tcPr>
            <w:tcW w:w="1074" w:type="dxa"/>
            <w:tcBorders>
              <w:top w:val="single" w:sz="4" w:space="0" w:color="auto"/>
              <w:bottom w:val="single" w:sz="4" w:space="0" w:color="auto"/>
              <w:right w:val="nil"/>
            </w:tcBorders>
            <w:shd w:val="clear" w:color="auto" w:fill="auto"/>
            <w:noWrap/>
            <w:vAlign w:val="center"/>
          </w:tcPr>
          <w:p w14:paraId="1FDC76A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0.015</w:t>
            </w:r>
          </w:p>
        </w:tc>
      </w:tr>
      <w:tr w:rsidR="00CF571C" w:rsidRPr="00CF571C" w14:paraId="6EAE8A03"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53E3FE8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医疗卫生支出占比差异</w:t>
            </w:r>
          </w:p>
        </w:tc>
        <w:tc>
          <w:tcPr>
            <w:tcW w:w="852" w:type="dxa"/>
            <w:tcBorders>
              <w:top w:val="single" w:sz="4" w:space="0" w:color="auto"/>
              <w:left w:val="single" w:sz="4" w:space="0" w:color="auto"/>
              <w:bottom w:val="single" w:sz="4" w:space="0" w:color="auto"/>
            </w:tcBorders>
            <w:shd w:val="clear" w:color="auto" w:fill="auto"/>
            <w:noWrap/>
            <w:vAlign w:val="center"/>
          </w:tcPr>
          <w:p w14:paraId="6CA8762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0.019</w:t>
            </w:r>
          </w:p>
        </w:tc>
        <w:tc>
          <w:tcPr>
            <w:tcW w:w="1073" w:type="dxa"/>
            <w:tcBorders>
              <w:top w:val="single" w:sz="4" w:space="0" w:color="auto"/>
              <w:bottom w:val="single" w:sz="4" w:space="0" w:color="auto"/>
              <w:right w:val="single" w:sz="4" w:space="0" w:color="auto"/>
            </w:tcBorders>
            <w:shd w:val="clear" w:color="auto" w:fill="auto"/>
            <w:noWrap/>
            <w:vAlign w:val="center"/>
          </w:tcPr>
          <w:p w14:paraId="15C9B2B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0.017</w:t>
            </w:r>
          </w:p>
        </w:tc>
        <w:tc>
          <w:tcPr>
            <w:tcW w:w="1071" w:type="dxa"/>
            <w:tcBorders>
              <w:top w:val="single" w:sz="4" w:space="0" w:color="auto"/>
              <w:left w:val="single" w:sz="4" w:space="0" w:color="auto"/>
              <w:bottom w:val="single" w:sz="4" w:space="0" w:color="auto"/>
            </w:tcBorders>
            <w:shd w:val="clear" w:color="auto" w:fill="auto"/>
            <w:noWrap/>
            <w:vAlign w:val="center"/>
          </w:tcPr>
          <w:p w14:paraId="75D952A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0.021</w:t>
            </w:r>
          </w:p>
        </w:tc>
        <w:tc>
          <w:tcPr>
            <w:tcW w:w="1074" w:type="dxa"/>
            <w:tcBorders>
              <w:top w:val="single" w:sz="4" w:space="0" w:color="auto"/>
              <w:bottom w:val="single" w:sz="4" w:space="0" w:color="auto"/>
              <w:right w:val="single" w:sz="4" w:space="0" w:color="auto"/>
            </w:tcBorders>
            <w:shd w:val="clear" w:color="auto" w:fill="auto"/>
            <w:noWrap/>
            <w:vAlign w:val="center"/>
          </w:tcPr>
          <w:p w14:paraId="2D455B9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0.017</w:t>
            </w:r>
          </w:p>
        </w:tc>
        <w:tc>
          <w:tcPr>
            <w:tcW w:w="1071" w:type="dxa"/>
            <w:tcBorders>
              <w:top w:val="single" w:sz="4" w:space="0" w:color="auto"/>
              <w:left w:val="single" w:sz="4" w:space="0" w:color="auto"/>
              <w:bottom w:val="single" w:sz="4" w:space="0" w:color="auto"/>
            </w:tcBorders>
            <w:shd w:val="clear" w:color="auto" w:fill="auto"/>
            <w:noWrap/>
            <w:vAlign w:val="center"/>
          </w:tcPr>
          <w:p w14:paraId="58D67D7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0.023</w:t>
            </w:r>
          </w:p>
        </w:tc>
        <w:tc>
          <w:tcPr>
            <w:tcW w:w="1073" w:type="dxa"/>
            <w:tcBorders>
              <w:top w:val="single" w:sz="4" w:space="0" w:color="auto"/>
              <w:bottom w:val="single" w:sz="4" w:space="0" w:color="auto"/>
              <w:right w:val="single" w:sz="4" w:space="0" w:color="auto"/>
            </w:tcBorders>
            <w:shd w:val="clear" w:color="auto" w:fill="auto"/>
            <w:noWrap/>
            <w:vAlign w:val="center"/>
          </w:tcPr>
          <w:p w14:paraId="3797925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0.020</w:t>
            </w:r>
          </w:p>
        </w:tc>
        <w:tc>
          <w:tcPr>
            <w:tcW w:w="1071" w:type="dxa"/>
            <w:tcBorders>
              <w:top w:val="single" w:sz="4" w:space="0" w:color="auto"/>
              <w:left w:val="single" w:sz="4" w:space="0" w:color="auto"/>
              <w:bottom w:val="single" w:sz="4" w:space="0" w:color="auto"/>
            </w:tcBorders>
            <w:shd w:val="clear" w:color="auto" w:fill="auto"/>
            <w:noWrap/>
            <w:vAlign w:val="center"/>
          </w:tcPr>
          <w:p w14:paraId="4CD5430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0.027</w:t>
            </w:r>
          </w:p>
        </w:tc>
        <w:tc>
          <w:tcPr>
            <w:tcW w:w="1074" w:type="dxa"/>
            <w:tcBorders>
              <w:top w:val="single" w:sz="4" w:space="0" w:color="auto"/>
              <w:bottom w:val="single" w:sz="4" w:space="0" w:color="auto"/>
              <w:right w:val="nil"/>
            </w:tcBorders>
            <w:shd w:val="clear" w:color="auto" w:fill="auto"/>
            <w:noWrap/>
            <w:vAlign w:val="center"/>
          </w:tcPr>
          <w:p w14:paraId="2C7A662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0.021</w:t>
            </w:r>
          </w:p>
        </w:tc>
      </w:tr>
      <w:tr w:rsidR="00CF571C" w:rsidRPr="00CF571C" w14:paraId="272625C2"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38F181B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社会保障支出占比差异</w:t>
            </w:r>
          </w:p>
        </w:tc>
        <w:tc>
          <w:tcPr>
            <w:tcW w:w="852" w:type="dxa"/>
            <w:tcBorders>
              <w:top w:val="single" w:sz="4" w:space="0" w:color="auto"/>
              <w:left w:val="single" w:sz="4" w:space="0" w:color="auto"/>
              <w:bottom w:val="single" w:sz="4" w:space="0" w:color="auto"/>
            </w:tcBorders>
            <w:shd w:val="clear" w:color="auto" w:fill="auto"/>
            <w:noWrap/>
            <w:vAlign w:val="center"/>
          </w:tcPr>
          <w:p w14:paraId="240AF1D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0.027</w:t>
            </w:r>
          </w:p>
        </w:tc>
        <w:tc>
          <w:tcPr>
            <w:tcW w:w="1073" w:type="dxa"/>
            <w:tcBorders>
              <w:top w:val="single" w:sz="4" w:space="0" w:color="auto"/>
              <w:bottom w:val="single" w:sz="4" w:space="0" w:color="auto"/>
              <w:right w:val="single" w:sz="4" w:space="0" w:color="auto"/>
            </w:tcBorders>
            <w:shd w:val="clear" w:color="auto" w:fill="auto"/>
            <w:noWrap/>
            <w:vAlign w:val="center"/>
          </w:tcPr>
          <w:p w14:paraId="52EBEE0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0.026</w:t>
            </w:r>
          </w:p>
        </w:tc>
        <w:tc>
          <w:tcPr>
            <w:tcW w:w="1071" w:type="dxa"/>
            <w:tcBorders>
              <w:top w:val="single" w:sz="4" w:space="0" w:color="auto"/>
              <w:left w:val="single" w:sz="4" w:space="0" w:color="auto"/>
              <w:bottom w:val="single" w:sz="4" w:space="0" w:color="auto"/>
            </w:tcBorders>
            <w:shd w:val="clear" w:color="auto" w:fill="auto"/>
            <w:noWrap/>
            <w:vAlign w:val="center"/>
          </w:tcPr>
          <w:p w14:paraId="4017CCE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0.036</w:t>
            </w:r>
          </w:p>
        </w:tc>
        <w:tc>
          <w:tcPr>
            <w:tcW w:w="1074" w:type="dxa"/>
            <w:tcBorders>
              <w:top w:val="single" w:sz="4" w:space="0" w:color="auto"/>
              <w:bottom w:val="single" w:sz="4" w:space="0" w:color="auto"/>
              <w:right w:val="single" w:sz="4" w:space="0" w:color="auto"/>
            </w:tcBorders>
            <w:shd w:val="clear" w:color="auto" w:fill="auto"/>
            <w:noWrap/>
            <w:vAlign w:val="center"/>
          </w:tcPr>
          <w:p w14:paraId="6C1D6B0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0.028</w:t>
            </w:r>
          </w:p>
        </w:tc>
        <w:tc>
          <w:tcPr>
            <w:tcW w:w="1071" w:type="dxa"/>
            <w:tcBorders>
              <w:top w:val="single" w:sz="4" w:space="0" w:color="auto"/>
              <w:left w:val="single" w:sz="4" w:space="0" w:color="auto"/>
              <w:bottom w:val="single" w:sz="4" w:space="0" w:color="auto"/>
            </w:tcBorders>
            <w:shd w:val="clear" w:color="auto" w:fill="auto"/>
            <w:noWrap/>
            <w:vAlign w:val="center"/>
          </w:tcPr>
          <w:p w14:paraId="3F9FB79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0.030</w:t>
            </w:r>
          </w:p>
        </w:tc>
        <w:tc>
          <w:tcPr>
            <w:tcW w:w="1073" w:type="dxa"/>
            <w:tcBorders>
              <w:top w:val="single" w:sz="4" w:space="0" w:color="auto"/>
              <w:bottom w:val="single" w:sz="4" w:space="0" w:color="auto"/>
              <w:right w:val="single" w:sz="4" w:space="0" w:color="auto"/>
            </w:tcBorders>
            <w:shd w:val="clear" w:color="auto" w:fill="auto"/>
            <w:noWrap/>
            <w:vAlign w:val="center"/>
          </w:tcPr>
          <w:p w14:paraId="6D532A2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0.027</w:t>
            </w:r>
          </w:p>
        </w:tc>
        <w:tc>
          <w:tcPr>
            <w:tcW w:w="1071" w:type="dxa"/>
            <w:tcBorders>
              <w:top w:val="single" w:sz="4" w:space="0" w:color="auto"/>
              <w:left w:val="single" w:sz="4" w:space="0" w:color="auto"/>
              <w:bottom w:val="single" w:sz="4" w:space="0" w:color="auto"/>
            </w:tcBorders>
            <w:shd w:val="clear" w:color="auto" w:fill="auto"/>
            <w:noWrap/>
            <w:vAlign w:val="center"/>
          </w:tcPr>
          <w:p w14:paraId="2A84A4C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0.046</w:t>
            </w:r>
          </w:p>
        </w:tc>
        <w:tc>
          <w:tcPr>
            <w:tcW w:w="1074" w:type="dxa"/>
            <w:tcBorders>
              <w:top w:val="single" w:sz="4" w:space="0" w:color="auto"/>
              <w:bottom w:val="single" w:sz="4" w:space="0" w:color="auto"/>
              <w:right w:val="nil"/>
            </w:tcBorders>
            <w:shd w:val="clear" w:color="auto" w:fill="auto"/>
            <w:noWrap/>
            <w:vAlign w:val="center"/>
          </w:tcPr>
          <w:p w14:paraId="3DB36B3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0.041</w:t>
            </w:r>
          </w:p>
        </w:tc>
      </w:tr>
      <w:tr w:rsidR="00CF571C" w:rsidRPr="00CF571C" w14:paraId="31FDD290"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7D833D1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财政分权差异</w:t>
            </w:r>
          </w:p>
        </w:tc>
        <w:tc>
          <w:tcPr>
            <w:tcW w:w="852" w:type="dxa"/>
            <w:tcBorders>
              <w:top w:val="single" w:sz="4" w:space="0" w:color="auto"/>
              <w:left w:val="single" w:sz="4" w:space="0" w:color="auto"/>
              <w:bottom w:val="single" w:sz="4" w:space="0" w:color="auto"/>
            </w:tcBorders>
            <w:shd w:val="clear" w:color="auto" w:fill="auto"/>
            <w:noWrap/>
            <w:vAlign w:val="center"/>
          </w:tcPr>
          <w:p w14:paraId="2ECBB5B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0.007</w:t>
            </w:r>
          </w:p>
        </w:tc>
        <w:tc>
          <w:tcPr>
            <w:tcW w:w="1073" w:type="dxa"/>
            <w:tcBorders>
              <w:top w:val="single" w:sz="4" w:space="0" w:color="auto"/>
              <w:bottom w:val="single" w:sz="4" w:space="0" w:color="auto"/>
              <w:right w:val="single" w:sz="4" w:space="0" w:color="auto"/>
            </w:tcBorders>
            <w:shd w:val="clear" w:color="auto" w:fill="auto"/>
            <w:noWrap/>
            <w:vAlign w:val="center"/>
          </w:tcPr>
          <w:p w14:paraId="5806C17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0.018</w:t>
            </w:r>
          </w:p>
        </w:tc>
        <w:tc>
          <w:tcPr>
            <w:tcW w:w="1071" w:type="dxa"/>
            <w:tcBorders>
              <w:top w:val="single" w:sz="4" w:space="0" w:color="auto"/>
              <w:left w:val="single" w:sz="4" w:space="0" w:color="auto"/>
              <w:bottom w:val="single" w:sz="4" w:space="0" w:color="auto"/>
            </w:tcBorders>
            <w:shd w:val="clear" w:color="auto" w:fill="auto"/>
            <w:noWrap/>
            <w:vAlign w:val="center"/>
          </w:tcPr>
          <w:p w14:paraId="16399EF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0.006</w:t>
            </w:r>
          </w:p>
        </w:tc>
        <w:tc>
          <w:tcPr>
            <w:tcW w:w="1074" w:type="dxa"/>
            <w:tcBorders>
              <w:top w:val="single" w:sz="4" w:space="0" w:color="auto"/>
              <w:bottom w:val="single" w:sz="4" w:space="0" w:color="auto"/>
              <w:right w:val="single" w:sz="4" w:space="0" w:color="auto"/>
            </w:tcBorders>
            <w:shd w:val="clear" w:color="auto" w:fill="auto"/>
            <w:noWrap/>
            <w:vAlign w:val="center"/>
          </w:tcPr>
          <w:p w14:paraId="3B95542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0.011</w:t>
            </w:r>
          </w:p>
        </w:tc>
        <w:tc>
          <w:tcPr>
            <w:tcW w:w="1071" w:type="dxa"/>
            <w:tcBorders>
              <w:top w:val="single" w:sz="4" w:space="0" w:color="auto"/>
              <w:left w:val="single" w:sz="4" w:space="0" w:color="auto"/>
              <w:bottom w:val="single" w:sz="4" w:space="0" w:color="auto"/>
            </w:tcBorders>
            <w:shd w:val="clear" w:color="auto" w:fill="auto"/>
            <w:noWrap/>
            <w:vAlign w:val="center"/>
          </w:tcPr>
          <w:p w14:paraId="6ACA733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0.009</w:t>
            </w:r>
          </w:p>
        </w:tc>
        <w:tc>
          <w:tcPr>
            <w:tcW w:w="1073" w:type="dxa"/>
            <w:tcBorders>
              <w:top w:val="single" w:sz="4" w:space="0" w:color="auto"/>
              <w:bottom w:val="single" w:sz="4" w:space="0" w:color="auto"/>
              <w:right w:val="single" w:sz="4" w:space="0" w:color="auto"/>
            </w:tcBorders>
            <w:shd w:val="clear" w:color="auto" w:fill="auto"/>
            <w:noWrap/>
            <w:vAlign w:val="center"/>
          </w:tcPr>
          <w:p w14:paraId="73B332B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0.015</w:t>
            </w:r>
          </w:p>
        </w:tc>
        <w:tc>
          <w:tcPr>
            <w:tcW w:w="1071" w:type="dxa"/>
            <w:tcBorders>
              <w:top w:val="single" w:sz="4" w:space="0" w:color="auto"/>
              <w:left w:val="single" w:sz="4" w:space="0" w:color="auto"/>
              <w:bottom w:val="single" w:sz="4" w:space="0" w:color="auto"/>
            </w:tcBorders>
            <w:shd w:val="clear" w:color="auto" w:fill="auto"/>
            <w:noWrap/>
            <w:vAlign w:val="center"/>
          </w:tcPr>
          <w:p w14:paraId="3CAE5F3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0.008</w:t>
            </w:r>
          </w:p>
        </w:tc>
        <w:tc>
          <w:tcPr>
            <w:tcW w:w="1074" w:type="dxa"/>
            <w:tcBorders>
              <w:top w:val="single" w:sz="4" w:space="0" w:color="auto"/>
              <w:bottom w:val="single" w:sz="4" w:space="0" w:color="auto"/>
              <w:right w:val="nil"/>
            </w:tcBorders>
            <w:shd w:val="clear" w:color="auto" w:fill="auto"/>
            <w:noWrap/>
            <w:vAlign w:val="center"/>
          </w:tcPr>
          <w:p w14:paraId="0886AF4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0.017</w:t>
            </w:r>
          </w:p>
        </w:tc>
      </w:tr>
      <w:tr w:rsidR="00CF571C" w:rsidRPr="00CF571C" w14:paraId="22C7FC4A"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7183AD8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人口密度差异</w:t>
            </w:r>
          </w:p>
        </w:tc>
        <w:tc>
          <w:tcPr>
            <w:tcW w:w="852" w:type="dxa"/>
            <w:tcBorders>
              <w:top w:val="single" w:sz="4" w:space="0" w:color="auto"/>
              <w:left w:val="single" w:sz="4" w:space="0" w:color="auto"/>
              <w:bottom w:val="single" w:sz="4" w:space="0" w:color="auto"/>
            </w:tcBorders>
            <w:shd w:val="clear" w:color="auto" w:fill="auto"/>
            <w:noWrap/>
            <w:vAlign w:val="center"/>
          </w:tcPr>
          <w:p w14:paraId="63A4543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0.027</w:t>
            </w:r>
          </w:p>
        </w:tc>
        <w:tc>
          <w:tcPr>
            <w:tcW w:w="1073" w:type="dxa"/>
            <w:tcBorders>
              <w:top w:val="single" w:sz="4" w:space="0" w:color="auto"/>
              <w:bottom w:val="single" w:sz="4" w:space="0" w:color="auto"/>
              <w:right w:val="single" w:sz="4" w:space="0" w:color="auto"/>
            </w:tcBorders>
            <w:shd w:val="clear" w:color="auto" w:fill="auto"/>
            <w:noWrap/>
            <w:vAlign w:val="center"/>
          </w:tcPr>
          <w:p w14:paraId="323F320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0.098</w:t>
            </w:r>
          </w:p>
        </w:tc>
        <w:tc>
          <w:tcPr>
            <w:tcW w:w="1071" w:type="dxa"/>
            <w:tcBorders>
              <w:top w:val="single" w:sz="4" w:space="0" w:color="auto"/>
              <w:left w:val="single" w:sz="4" w:space="0" w:color="auto"/>
              <w:bottom w:val="single" w:sz="4" w:space="0" w:color="auto"/>
            </w:tcBorders>
            <w:shd w:val="clear" w:color="auto" w:fill="auto"/>
            <w:noWrap/>
            <w:vAlign w:val="center"/>
          </w:tcPr>
          <w:p w14:paraId="3D6ECF9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0.020</w:t>
            </w:r>
          </w:p>
        </w:tc>
        <w:tc>
          <w:tcPr>
            <w:tcW w:w="1074" w:type="dxa"/>
            <w:tcBorders>
              <w:top w:val="single" w:sz="4" w:space="0" w:color="auto"/>
              <w:bottom w:val="single" w:sz="4" w:space="0" w:color="auto"/>
              <w:right w:val="single" w:sz="4" w:space="0" w:color="auto"/>
            </w:tcBorders>
            <w:shd w:val="clear" w:color="auto" w:fill="auto"/>
            <w:noWrap/>
            <w:vAlign w:val="center"/>
          </w:tcPr>
          <w:p w14:paraId="5F1DE12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0.051</w:t>
            </w:r>
          </w:p>
        </w:tc>
        <w:tc>
          <w:tcPr>
            <w:tcW w:w="1071" w:type="dxa"/>
            <w:tcBorders>
              <w:top w:val="single" w:sz="4" w:space="0" w:color="auto"/>
              <w:left w:val="single" w:sz="4" w:space="0" w:color="auto"/>
              <w:bottom w:val="single" w:sz="4" w:space="0" w:color="auto"/>
            </w:tcBorders>
            <w:shd w:val="clear" w:color="auto" w:fill="auto"/>
            <w:noWrap/>
            <w:vAlign w:val="center"/>
          </w:tcPr>
          <w:p w14:paraId="1852F86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0.038</w:t>
            </w:r>
          </w:p>
        </w:tc>
        <w:tc>
          <w:tcPr>
            <w:tcW w:w="1073" w:type="dxa"/>
            <w:tcBorders>
              <w:top w:val="single" w:sz="4" w:space="0" w:color="auto"/>
              <w:bottom w:val="single" w:sz="4" w:space="0" w:color="auto"/>
              <w:right w:val="single" w:sz="4" w:space="0" w:color="auto"/>
            </w:tcBorders>
            <w:shd w:val="clear" w:color="auto" w:fill="auto"/>
            <w:noWrap/>
            <w:vAlign w:val="center"/>
          </w:tcPr>
          <w:p w14:paraId="42101E1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0.118</w:t>
            </w:r>
          </w:p>
        </w:tc>
        <w:tc>
          <w:tcPr>
            <w:tcW w:w="1071" w:type="dxa"/>
            <w:tcBorders>
              <w:top w:val="single" w:sz="4" w:space="0" w:color="auto"/>
              <w:left w:val="single" w:sz="4" w:space="0" w:color="auto"/>
              <w:bottom w:val="single" w:sz="4" w:space="0" w:color="auto"/>
            </w:tcBorders>
            <w:shd w:val="clear" w:color="auto" w:fill="auto"/>
            <w:noWrap/>
            <w:vAlign w:val="center"/>
          </w:tcPr>
          <w:p w14:paraId="7F60668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0.043</w:t>
            </w:r>
          </w:p>
        </w:tc>
        <w:tc>
          <w:tcPr>
            <w:tcW w:w="1074" w:type="dxa"/>
            <w:tcBorders>
              <w:top w:val="single" w:sz="4" w:space="0" w:color="auto"/>
              <w:bottom w:val="single" w:sz="4" w:space="0" w:color="auto"/>
              <w:right w:val="nil"/>
            </w:tcBorders>
            <w:shd w:val="clear" w:color="auto" w:fill="auto"/>
            <w:noWrap/>
            <w:vAlign w:val="center"/>
          </w:tcPr>
          <w:p w14:paraId="304A05A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0.104</w:t>
            </w:r>
          </w:p>
        </w:tc>
      </w:tr>
      <w:tr w:rsidR="00CF571C" w:rsidRPr="00CF571C" w14:paraId="198AE85E"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6D2658D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地方财力差异</w:t>
            </w:r>
          </w:p>
        </w:tc>
        <w:tc>
          <w:tcPr>
            <w:tcW w:w="852" w:type="dxa"/>
            <w:tcBorders>
              <w:top w:val="single" w:sz="4" w:space="0" w:color="auto"/>
              <w:left w:val="single" w:sz="4" w:space="0" w:color="auto"/>
              <w:bottom w:val="single" w:sz="4" w:space="0" w:color="auto"/>
            </w:tcBorders>
            <w:shd w:val="clear" w:color="auto" w:fill="auto"/>
            <w:noWrap/>
            <w:vAlign w:val="center"/>
          </w:tcPr>
          <w:p w14:paraId="732AB4D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2769.994</w:t>
            </w:r>
          </w:p>
        </w:tc>
        <w:tc>
          <w:tcPr>
            <w:tcW w:w="1073" w:type="dxa"/>
            <w:tcBorders>
              <w:top w:val="single" w:sz="4" w:space="0" w:color="auto"/>
              <w:bottom w:val="single" w:sz="4" w:space="0" w:color="auto"/>
              <w:right w:val="single" w:sz="4" w:space="0" w:color="auto"/>
            </w:tcBorders>
            <w:shd w:val="clear" w:color="auto" w:fill="auto"/>
            <w:noWrap/>
            <w:vAlign w:val="center"/>
          </w:tcPr>
          <w:p w14:paraId="4867ED9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4854.379</w:t>
            </w:r>
          </w:p>
        </w:tc>
        <w:tc>
          <w:tcPr>
            <w:tcW w:w="1071" w:type="dxa"/>
            <w:tcBorders>
              <w:top w:val="single" w:sz="4" w:space="0" w:color="auto"/>
              <w:left w:val="single" w:sz="4" w:space="0" w:color="auto"/>
              <w:bottom w:val="single" w:sz="4" w:space="0" w:color="auto"/>
            </w:tcBorders>
            <w:shd w:val="clear" w:color="auto" w:fill="auto"/>
            <w:noWrap/>
            <w:vAlign w:val="center"/>
          </w:tcPr>
          <w:p w14:paraId="5612020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2531.712</w:t>
            </w:r>
          </w:p>
        </w:tc>
        <w:tc>
          <w:tcPr>
            <w:tcW w:w="1074" w:type="dxa"/>
            <w:tcBorders>
              <w:top w:val="single" w:sz="4" w:space="0" w:color="auto"/>
              <w:bottom w:val="single" w:sz="4" w:space="0" w:color="auto"/>
              <w:right w:val="single" w:sz="4" w:space="0" w:color="auto"/>
            </w:tcBorders>
            <w:shd w:val="clear" w:color="auto" w:fill="auto"/>
            <w:noWrap/>
            <w:vAlign w:val="center"/>
          </w:tcPr>
          <w:p w14:paraId="0BE4E0C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4861.719</w:t>
            </w:r>
          </w:p>
        </w:tc>
        <w:tc>
          <w:tcPr>
            <w:tcW w:w="1071" w:type="dxa"/>
            <w:tcBorders>
              <w:top w:val="single" w:sz="4" w:space="0" w:color="auto"/>
              <w:left w:val="single" w:sz="4" w:space="0" w:color="auto"/>
              <w:bottom w:val="single" w:sz="4" w:space="0" w:color="auto"/>
            </w:tcBorders>
            <w:shd w:val="clear" w:color="auto" w:fill="auto"/>
            <w:noWrap/>
            <w:vAlign w:val="center"/>
          </w:tcPr>
          <w:p w14:paraId="668ED22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3863.036</w:t>
            </w:r>
          </w:p>
        </w:tc>
        <w:tc>
          <w:tcPr>
            <w:tcW w:w="1073" w:type="dxa"/>
            <w:tcBorders>
              <w:top w:val="single" w:sz="4" w:space="0" w:color="auto"/>
              <w:bottom w:val="single" w:sz="4" w:space="0" w:color="auto"/>
              <w:right w:val="single" w:sz="4" w:space="0" w:color="auto"/>
            </w:tcBorders>
            <w:shd w:val="clear" w:color="auto" w:fill="auto"/>
            <w:noWrap/>
            <w:vAlign w:val="center"/>
          </w:tcPr>
          <w:p w14:paraId="102223E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8492.759</w:t>
            </w:r>
          </w:p>
        </w:tc>
        <w:tc>
          <w:tcPr>
            <w:tcW w:w="1071" w:type="dxa"/>
            <w:tcBorders>
              <w:top w:val="single" w:sz="4" w:space="0" w:color="auto"/>
              <w:left w:val="single" w:sz="4" w:space="0" w:color="auto"/>
              <w:bottom w:val="single" w:sz="4" w:space="0" w:color="auto"/>
            </w:tcBorders>
            <w:shd w:val="clear" w:color="auto" w:fill="auto"/>
            <w:noWrap/>
            <w:vAlign w:val="center"/>
          </w:tcPr>
          <w:p w14:paraId="08C80BB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3954.379</w:t>
            </w:r>
          </w:p>
        </w:tc>
        <w:tc>
          <w:tcPr>
            <w:tcW w:w="1074" w:type="dxa"/>
            <w:tcBorders>
              <w:top w:val="single" w:sz="4" w:space="0" w:color="auto"/>
              <w:bottom w:val="single" w:sz="4" w:space="0" w:color="auto"/>
              <w:right w:val="nil"/>
            </w:tcBorders>
            <w:shd w:val="clear" w:color="auto" w:fill="auto"/>
            <w:noWrap/>
            <w:vAlign w:val="center"/>
          </w:tcPr>
          <w:p w14:paraId="7D7556A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7098.243</w:t>
            </w:r>
          </w:p>
        </w:tc>
      </w:tr>
      <w:tr w:rsidR="00CF571C" w:rsidRPr="00CF571C" w14:paraId="19007DBA"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0101169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职工平均工资差异</w:t>
            </w:r>
            <w:r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万</w:t>
            </w:r>
            <w:r w:rsidRPr="00CF571C">
              <w:rPr>
                <w:rFonts w:ascii="Times New Roman" w:hAnsi="Times New Roman" w:cs="Times New Roman" w:hint="eastAsia"/>
                <w:color w:val="000000" w:themeColor="text1"/>
                <w:sz w:val="18"/>
                <w:szCs w:val="18"/>
              </w:rPr>
              <w:t>）</w:t>
            </w:r>
          </w:p>
        </w:tc>
        <w:tc>
          <w:tcPr>
            <w:tcW w:w="852" w:type="dxa"/>
            <w:tcBorders>
              <w:top w:val="single" w:sz="4" w:space="0" w:color="auto"/>
              <w:left w:val="single" w:sz="4" w:space="0" w:color="auto"/>
              <w:bottom w:val="single" w:sz="4" w:space="0" w:color="auto"/>
            </w:tcBorders>
            <w:shd w:val="clear" w:color="auto" w:fill="auto"/>
            <w:noWrap/>
            <w:vAlign w:val="center"/>
          </w:tcPr>
          <w:p w14:paraId="21CBB04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0.791</w:t>
            </w:r>
          </w:p>
        </w:tc>
        <w:tc>
          <w:tcPr>
            <w:tcW w:w="1073" w:type="dxa"/>
            <w:tcBorders>
              <w:top w:val="single" w:sz="4" w:space="0" w:color="auto"/>
              <w:bottom w:val="single" w:sz="4" w:space="0" w:color="auto"/>
              <w:right w:val="single" w:sz="4" w:space="0" w:color="auto"/>
            </w:tcBorders>
            <w:shd w:val="clear" w:color="auto" w:fill="auto"/>
            <w:noWrap/>
            <w:vAlign w:val="center"/>
          </w:tcPr>
          <w:p w14:paraId="1E35D04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1.119</w:t>
            </w:r>
          </w:p>
        </w:tc>
        <w:tc>
          <w:tcPr>
            <w:tcW w:w="1071" w:type="dxa"/>
            <w:tcBorders>
              <w:top w:val="single" w:sz="4" w:space="0" w:color="auto"/>
              <w:left w:val="single" w:sz="4" w:space="0" w:color="auto"/>
              <w:bottom w:val="single" w:sz="4" w:space="0" w:color="auto"/>
            </w:tcBorders>
            <w:shd w:val="clear" w:color="auto" w:fill="auto"/>
            <w:noWrap/>
            <w:vAlign w:val="center"/>
          </w:tcPr>
          <w:p w14:paraId="11844C9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0.880</w:t>
            </w:r>
          </w:p>
        </w:tc>
        <w:tc>
          <w:tcPr>
            <w:tcW w:w="1074" w:type="dxa"/>
            <w:tcBorders>
              <w:top w:val="single" w:sz="4" w:space="0" w:color="auto"/>
              <w:bottom w:val="single" w:sz="4" w:space="0" w:color="auto"/>
              <w:right w:val="single" w:sz="4" w:space="0" w:color="auto"/>
            </w:tcBorders>
            <w:shd w:val="clear" w:color="auto" w:fill="auto"/>
            <w:noWrap/>
            <w:vAlign w:val="center"/>
          </w:tcPr>
          <w:p w14:paraId="1B7BD4D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1.570</w:t>
            </w:r>
          </w:p>
        </w:tc>
        <w:tc>
          <w:tcPr>
            <w:tcW w:w="1071" w:type="dxa"/>
            <w:tcBorders>
              <w:top w:val="single" w:sz="4" w:space="0" w:color="auto"/>
              <w:left w:val="single" w:sz="4" w:space="0" w:color="auto"/>
              <w:bottom w:val="single" w:sz="4" w:space="0" w:color="auto"/>
            </w:tcBorders>
            <w:shd w:val="clear" w:color="auto" w:fill="auto"/>
            <w:noWrap/>
            <w:vAlign w:val="center"/>
          </w:tcPr>
          <w:p w14:paraId="78A0842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0.825</w:t>
            </w:r>
          </w:p>
        </w:tc>
        <w:tc>
          <w:tcPr>
            <w:tcW w:w="1073" w:type="dxa"/>
            <w:tcBorders>
              <w:top w:val="single" w:sz="4" w:space="0" w:color="auto"/>
              <w:bottom w:val="single" w:sz="4" w:space="0" w:color="auto"/>
              <w:right w:val="single" w:sz="4" w:space="0" w:color="auto"/>
            </w:tcBorders>
            <w:shd w:val="clear" w:color="auto" w:fill="auto"/>
            <w:noWrap/>
            <w:vAlign w:val="center"/>
          </w:tcPr>
          <w:p w14:paraId="40FB623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1.169</w:t>
            </w:r>
          </w:p>
        </w:tc>
        <w:tc>
          <w:tcPr>
            <w:tcW w:w="1071" w:type="dxa"/>
            <w:tcBorders>
              <w:top w:val="single" w:sz="4" w:space="0" w:color="auto"/>
              <w:left w:val="single" w:sz="4" w:space="0" w:color="auto"/>
              <w:bottom w:val="single" w:sz="4" w:space="0" w:color="auto"/>
            </w:tcBorders>
            <w:shd w:val="clear" w:color="auto" w:fill="auto"/>
            <w:noWrap/>
            <w:vAlign w:val="center"/>
          </w:tcPr>
          <w:p w14:paraId="06F2B7B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1.072</w:t>
            </w:r>
          </w:p>
        </w:tc>
        <w:tc>
          <w:tcPr>
            <w:tcW w:w="1074" w:type="dxa"/>
            <w:tcBorders>
              <w:top w:val="single" w:sz="4" w:space="0" w:color="auto"/>
              <w:bottom w:val="single" w:sz="4" w:space="0" w:color="auto"/>
              <w:right w:val="nil"/>
            </w:tcBorders>
            <w:shd w:val="clear" w:color="auto" w:fill="auto"/>
            <w:noWrap/>
            <w:vAlign w:val="center"/>
          </w:tcPr>
          <w:p w14:paraId="287E86A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1.270</w:t>
            </w:r>
          </w:p>
        </w:tc>
      </w:tr>
      <w:tr w:rsidR="00CF571C" w:rsidRPr="00CF571C" w14:paraId="346F4E8F"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42E3FFD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第二产业占比差异</w:t>
            </w:r>
          </w:p>
        </w:tc>
        <w:tc>
          <w:tcPr>
            <w:tcW w:w="852" w:type="dxa"/>
            <w:tcBorders>
              <w:top w:val="single" w:sz="4" w:space="0" w:color="auto"/>
              <w:left w:val="single" w:sz="4" w:space="0" w:color="auto"/>
              <w:bottom w:val="single" w:sz="4" w:space="0" w:color="auto"/>
            </w:tcBorders>
            <w:shd w:val="clear" w:color="auto" w:fill="auto"/>
            <w:noWrap/>
            <w:vAlign w:val="center"/>
          </w:tcPr>
          <w:p w14:paraId="3FDBC37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8.288</w:t>
            </w:r>
          </w:p>
        </w:tc>
        <w:tc>
          <w:tcPr>
            <w:tcW w:w="1073" w:type="dxa"/>
            <w:tcBorders>
              <w:top w:val="single" w:sz="4" w:space="0" w:color="auto"/>
              <w:bottom w:val="single" w:sz="4" w:space="0" w:color="auto"/>
              <w:right w:val="single" w:sz="4" w:space="0" w:color="auto"/>
            </w:tcBorders>
            <w:shd w:val="clear" w:color="auto" w:fill="auto"/>
            <w:noWrap/>
            <w:vAlign w:val="center"/>
          </w:tcPr>
          <w:p w14:paraId="6CE566B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7.486</w:t>
            </w:r>
          </w:p>
        </w:tc>
        <w:tc>
          <w:tcPr>
            <w:tcW w:w="1071" w:type="dxa"/>
            <w:tcBorders>
              <w:top w:val="single" w:sz="4" w:space="0" w:color="auto"/>
              <w:left w:val="single" w:sz="4" w:space="0" w:color="auto"/>
              <w:bottom w:val="single" w:sz="4" w:space="0" w:color="auto"/>
            </w:tcBorders>
            <w:shd w:val="clear" w:color="auto" w:fill="auto"/>
            <w:noWrap/>
            <w:vAlign w:val="center"/>
          </w:tcPr>
          <w:p w14:paraId="37A2822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8.850</w:t>
            </w:r>
          </w:p>
        </w:tc>
        <w:tc>
          <w:tcPr>
            <w:tcW w:w="1074" w:type="dxa"/>
            <w:tcBorders>
              <w:top w:val="single" w:sz="4" w:space="0" w:color="auto"/>
              <w:bottom w:val="single" w:sz="4" w:space="0" w:color="auto"/>
              <w:right w:val="single" w:sz="4" w:space="0" w:color="auto"/>
            </w:tcBorders>
            <w:shd w:val="clear" w:color="auto" w:fill="auto"/>
            <w:noWrap/>
            <w:vAlign w:val="center"/>
          </w:tcPr>
          <w:p w14:paraId="7068D06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7.529</w:t>
            </w:r>
          </w:p>
        </w:tc>
        <w:tc>
          <w:tcPr>
            <w:tcW w:w="1071" w:type="dxa"/>
            <w:tcBorders>
              <w:top w:val="single" w:sz="4" w:space="0" w:color="auto"/>
              <w:left w:val="single" w:sz="4" w:space="0" w:color="auto"/>
              <w:bottom w:val="single" w:sz="4" w:space="0" w:color="auto"/>
            </w:tcBorders>
            <w:shd w:val="clear" w:color="auto" w:fill="auto"/>
            <w:noWrap/>
            <w:vAlign w:val="center"/>
          </w:tcPr>
          <w:p w14:paraId="000F503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9.575</w:t>
            </w:r>
          </w:p>
        </w:tc>
        <w:tc>
          <w:tcPr>
            <w:tcW w:w="1073" w:type="dxa"/>
            <w:tcBorders>
              <w:top w:val="single" w:sz="4" w:space="0" w:color="auto"/>
              <w:bottom w:val="single" w:sz="4" w:space="0" w:color="auto"/>
              <w:right w:val="single" w:sz="4" w:space="0" w:color="auto"/>
            </w:tcBorders>
            <w:shd w:val="clear" w:color="auto" w:fill="auto"/>
            <w:noWrap/>
            <w:vAlign w:val="center"/>
          </w:tcPr>
          <w:p w14:paraId="6685175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7.964</w:t>
            </w:r>
          </w:p>
        </w:tc>
        <w:tc>
          <w:tcPr>
            <w:tcW w:w="1071" w:type="dxa"/>
            <w:tcBorders>
              <w:top w:val="single" w:sz="4" w:space="0" w:color="auto"/>
              <w:left w:val="single" w:sz="4" w:space="0" w:color="auto"/>
              <w:bottom w:val="single" w:sz="4" w:space="0" w:color="auto"/>
            </w:tcBorders>
            <w:shd w:val="clear" w:color="auto" w:fill="auto"/>
            <w:noWrap/>
            <w:vAlign w:val="center"/>
          </w:tcPr>
          <w:p w14:paraId="1ADD116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11.037</w:t>
            </w:r>
          </w:p>
        </w:tc>
        <w:tc>
          <w:tcPr>
            <w:tcW w:w="1074" w:type="dxa"/>
            <w:tcBorders>
              <w:top w:val="single" w:sz="4" w:space="0" w:color="auto"/>
              <w:bottom w:val="single" w:sz="4" w:space="0" w:color="auto"/>
              <w:right w:val="nil"/>
            </w:tcBorders>
            <w:shd w:val="clear" w:color="auto" w:fill="auto"/>
            <w:noWrap/>
            <w:vAlign w:val="center"/>
          </w:tcPr>
          <w:p w14:paraId="2DF1E87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8.818</w:t>
            </w:r>
          </w:p>
        </w:tc>
      </w:tr>
      <w:tr w:rsidR="00CF571C" w:rsidRPr="00CF571C" w14:paraId="54ACC87B"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2D25821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第一产业占比差异</w:t>
            </w:r>
          </w:p>
        </w:tc>
        <w:tc>
          <w:tcPr>
            <w:tcW w:w="852" w:type="dxa"/>
            <w:tcBorders>
              <w:top w:val="single" w:sz="4" w:space="0" w:color="auto"/>
              <w:left w:val="single" w:sz="4" w:space="0" w:color="auto"/>
              <w:bottom w:val="single" w:sz="4" w:space="0" w:color="auto"/>
            </w:tcBorders>
            <w:shd w:val="clear" w:color="auto" w:fill="auto"/>
            <w:noWrap/>
            <w:vAlign w:val="center"/>
          </w:tcPr>
          <w:p w14:paraId="12FB8FE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6.321</w:t>
            </w:r>
          </w:p>
        </w:tc>
        <w:tc>
          <w:tcPr>
            <w:tcW w:w="1073" w:type="dxa"/>
            <w:tcBorders>
              <w:top w:val="single" w:sz="4" w:space="0" w:color="auto"/>
              <w:bottom w:val="single" w:sz="4" w:space="0" w:color="auto"/>
              <w:right w:val="single" w:sz="4" w:space="0" w:color="auto"/>
            </w:tcBorders>
            <w:shd w:val="clear" w:color="auto" w:fill="auto"/>
            <w:noWrap/>
            <w:vAlign w:val="center"/>
          </w:tcPr>
          <w:p w14:paraId="57CC86E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5.726</w:t>
            </w:r>
          </w:p>
        </w:tc>
        <w:tc>
          <w:tcPr>
            <w:tcW w:w="1071" w:type="dxa"/>
            <w:tcBorders>
              <w:top w:val="single" w:sz="4" w:space="0" w:color="auto"/>
              <w:left w:val="single" w:sz="4" w:space="0" w:color="auto"/>
              <w:bottom w:val="single" w:sz="4" w:space="0" w:color="auto"/>
            </w:tcBorders>
            <w:shd w:val="clear" w:color="auto" w:fill="auto"/>
            <w:noWrap/>
            <w:vAlign w:val="center"/>
          </w:tcPr>
          <w:p w14:paraId="5C61358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5.886</w:t>
            </w:r>
          </w:p>
        </w:tc>
        <w:tc>
          <w:tcPr>
            <w:tcW w:w="1074" w:type="dxa"/>
            <w:tcBorders>
              <w:top w:val="single" w:sz="4" w:space="0" w:color="auto"/>
              <w:bottom w:val="single" w:sz="4" w:space="0" w:color="auto"/>
              <w:right w:val="single" w:sz="4" w:space="0" w:color="auto"/>
            </w:tcBorders>
            <w:shd w:val="clear" w:color="auto" w:fill="auto"/>
            <w:noWrap/>
            <w:vAlign w:val="center"/>
          </w:tcPr>
          <w:p w14:paraId="184F201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4.636</w:t>
            </w:r>
          </w:p>
        </w:tc>
        <w:tc>
          <w:tcPr>
            <w:tcW w:w="1071" w:type="dxa"/>
            <w:tcBorders>
              <w:top w:val="single" w:sz="4" w:space="0" w:color="auto"/>
              <w:left w:val="single" w:sz="4" w:space="0" w:color="auto"/>
              <w:bottom w:val="single" w:sz="4" w:space="0" w:color="auto"/>
            </w:tcBorders>
            <w:shd w:val="clear" w:color="auto" w:fill="auto"/>
            <w:noWrap/>
            <w:vAlign w:val="center"/>
          </w:tcPr>
          <w:p w14:paraId="2E8EADA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7.632</w:t>
            </w:r>
          </w:p>
        </w:tc>
        <w:tc>
          <w:tcPr>
            <w:tcW w:w="1073" w:type="dxa"/>
            <w:tcBorders>
              <w:top w:val="single" w:sz="4" w:space="0" w:color="auto"/>
              <w:bottom w:val="single" w:sz="4" w:space="0" w:color="auto"/>
              <w:right w:val="single" w:sz="4" w:space="0" w:color="auto"/>
            </w:tcBorders>
            <w:shd w:val="clear" w:color="auto" w:fill="auto"/>
            <w:noWrap/>
            <w:vAlign w:val="center"/>
          </w:tcPr>
          <w:p w14:paraId="32A7D7D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6.092</w:t>
            </w:r>
          </w:p>
        </w:tc>
        <w:tc>
          <w:tcPr>
            <w:tcW w:w="1071" w:type="dxa"/>
            <w:tcBorders>
              <w:top w:val="single" w:sz="4" w:space="0" w:color="auto"/>
              <w:left w:val="single" w:sz="4" w:space="0" w:color="auto"/>
              <w:bottom w:val="single" w:sz="4" w:space="0" w:color="auto"/>
            </w:tcBorders>
            <w:shd w:val="clear" w:color="auto" w:fill="auto"/>
            <w:noWrap/>
            <w:vAlign w:val="center"/>
          </w:tcPr>
          <w:p w14:paraId="6C0F876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8.764</w:t>
            </w:r>
          </w:p>
        </w:tc>
        <w:tc>
          <w:tcPr>
            <w:tcW w:w="1074" w:type="dxa"/>
            <w:tcBorders>
              <w:top w:val="single" w:sz="4" w:space="0" w:color="auto"/>
              <w:bottom w:val="single" w:sz="4" w:space="0" w:color="auto"/>
              <w:right w:val="nil"/>
            </w:tcBorders>
            <w:shd w:val="clear" w:color="auto" w:fill="auto"/>
            <w:noWrap/>
            <w:vAlign w:val="center"/>
          </w:tcPr>
          <w:p w14:paraId="2ACB4F4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7.067</w:t>
            </w:r>
          </w:p>
        </w:tc>
      </w:tr>
      <w:tr w:rsidR="00CF571C" w:rsidRPr="00CF571C" w14:paraId="523B9C9D"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0393FC4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人均</w:t>
            </w:r>
            <w:r w:rsidRPr="00CF571C">
              <w:rPr>
                <w:rFonts w:ascii="Times New Roman" w:hAnsi="Times New Roman" w:cs="Times New Roman"/>
                <w:color w:val="000000" w:themeColor="text1"/>
                <w:sz w:val="18"/>
                <w:szCs w:val="18"/>
              </w:rPr>
              <w:t>FDI</w:t>
            </w:r>
            <w:r w:rsidRPr="00CF571C">
              <w:rPr>
                <w:rFonts w:ascii="Times New Roman" w:hAnsi="Times New Roman" w:cs="Times New Roman"/>
                <w:color w:val="000000" w:themeColor="text1"/>
                <w:sz w:val="18"/>
                <w:szCs w:val="18"/>
              </w:rPr>
              <w:t>差异</w:t>
            </w:r>
          </w:p>
        </w:tc>
        <w:tc>
          <w:tcPr>
            <w:tcW w:w="852" w:type="dxa"/>
            <w:tcBorders>
              <w:top w:val="single" w:sz="4" w:space="0" w:color="auto"/>
              <w:left w:val="single" w:sz="4" w:space="0" w:color="auto"/>
              <w:bottom w:val="single" w:sz="4" w:space="0" w:color="auto"/>
            </w:tcBorders>
            <w:shd w:val="clear" w:color="auto" w:fill="auto"/>
            <w:noWrap/>
            <w:vAlign w:val="center"/>
          </w:tcPr>
          <w:p w14:paraId="5F42620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0.019</w:t>
            </w:r>
          </w:p>
        </w:tc>
        <w:tc>
          <w:tcPr>
            <w:tcW w:w="1073" w:type="dxa"/>
            <w:tcBorders>
              <w:top w:val="single" w:sz="4" w:space="0" w:color="auto"/>
              <w:bottom w:val="single" w:sz="4" w:space="0" w:color="auto"/>
              <w:right w:val="single" w:sz="4" w:space="0" w:color="auto"/>
            </w:tcBorders>
            <w:shd w:val="clear" w:color="auto" w:fill="auto"/>
            <w:noWrap/>
            <w:vAlign w:val="center"/>
          </w:tcPr>
          <w:p w14:paraId="10B844E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0.029</w:t>
            </w:r>
          </w:p>
        </w:tc>
        <w:tc>
          <w:tcPr>
            <w:tcW w:w="1071" w:type="dxa"/>
            <w:tcBorders>
              <w:top w:val="single" w:sz="4" w:space="0" w:color="auto"/>
              <w:left w:val="single" w:sz="4" w:space="0" w:color="auto"/>
              <w:bottom w:val="single" w:sz="4" w:space="0" w:color="auto"/>
            </w:tcBorders>
            <w:shd w:val="clear" w:color="auto" w:fill="auto"/>
            <w:noWrap/>
            <w:vAlign w:val="center"/>
          </w:tcPr>
          <w:p w14:paraId="0838CE0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0.018</w:t>
            </w:r>
          </w:p>
        </w:tc>
        <w:tc>
          <w:tcPr>
            <w:tcW w:w="1074" w:type="dxa"/>
            <w:tcBorders>
              <w:top w:val="single" w:sz="4" w:space="0" w:color="auto"/>
              <w:bottom w:val="single" w:sz="4" w:space="0" w:color="auto"/>
              <w:right w:val="single" w:sz="4" w:space="0" w:color="auto"/>
            </w:tcBorders>
            <w:shd w:val="clear" w:color="auto" w:fill="auto"/>
            <w:noWrap/>
            <w:vAlign w:val="center"/>
          </w:tcPr>
          <w:p w14:paraId="0645AB0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0.028</w:t>
            </w:r>
          </w:p>
        </w:tc>
        <w:tc>
          <w:tcPr>
            <w:tcW w:w="1071" w:type="dxa"/>
            <w:tcBorders>
              <w:top w:val="single" w:sz="4" w:space="0" w:color="auto"/>
              <w:left w:val="single" w:sz="4" w:space="0" w:color="auto"/>
              <w:bottom w:val="single" w:sz="4" w:space="0" w:color="auto"/>
            </w:tcBorders>
            <w:shd w:val="clear" w:color="auto" w:fill="auto"/>
            <w:noWrap/>
            <w:vAlign w:val="center"/>
          </w:tcPr>
          <w:p w14:paraId="39BF115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0.025</w:t>
            </w:r>
          </w:p>
        </w:tc>
        <w:tc>
          <w:tcPr>
            <w:tcW w:w="1073" w:type="dxa"/>
            <w:tcBorders>
              <w:top w:val="single" w:sz="4" w:space="0" w:color="auto"/>
              <w:bottom w:val="single" w:sz="4" w:space="0" w:color="auto"/>
              <w:right w:val="single" w:sz="4" w:space="0" w:color="auto"/>
            </w:tcBorders>
            <w:shd w:val="clear" w:color="auto" w:fill="auto"/>
            <w:noWrap/>
            <w:vAlign w:val="center"/>
          </w:tcPr>
          <w:p w14:paraId="720A3D9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0.043</w:t>
            </w:r>
          </w:p>
        </w:tc>
        <w:tc>
          <w:tcPr>
            <w:tcW w:w="1071" w:type="dxa"/>
            <w:tcBorders>
              <w:top w:val="single" w:sz="4" w:space="0" w:color="auto"/>
              <w:left w:val="single" w:sz="4" w:space="0" w:color="auto"/>
              <w:bottom w:val="single" w:sz="4" w:space="0" w:color="auto"/>
            </w:tcBorders>
            <w:shd w:val="clear" w:color="auto" w:fill="auto"/>
            <w:noWrap/>
            <w:vAlign w:val="center"/>
          </w:tcPr>
          <w:p w14:paraId="0DE94F5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0.026</w:t>
            </w:r>
          </w:p>
        </w:tc>
        <w:tc>
          <w:tcPr>
            <w:tcW w:w="1074" w:type="dxa"/>
            <w:tcBorders>
              <w:top w:val="single" w:sz="4" w:space="0" w:color="auto"/>
              <w:bottom w:val="single" w:sz="4" w:space="0" w:color="auto"/>
              <w:right w:val="nil"/>
            </w:tcBorders>
            <w:shd w:val="clear" w:color="auto" w:fill="auto"/>
            <w:noWrap/>
            <w:vAlign w:val="center"/>
          </w:tcPr>
          <w:p w14:paraId="4A95070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0.040</w:t>
            </w:r>
          </w:p>
        </w:tc>
      </w:tr>
      <w:tr w:rsidR="00CF571C" w:rsidRPr="00CF571C" w14:paraId="3E908594"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53F423A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lastRenderedPageBreak/>
              <w:t>人均</w:t>
            </w:r>
            <w:r w:rsidRPr="00CF571C">
              <w:rPr>
                <w:rFonts w:ascii="Times New Roman" w:hAnsi="Times New Roman" w:cs="Times New Roman"/>
                <w:color w:val="000000" w:themeColor="text1"/>
                <w:sz w:val="18"/>
                <w:szCs w:val="18"/>
              </w:rPr>
              <w:t>GDP</w:t>
            </w:r>
            <w:r w:rsidRPr="00CF571C">
              <w:rPr>
                <w:rFonts w:ascii="Times New Roman" w:hAnsi="Times New Roman" w:cs="Times New Roman"/>
                <w:color w:val="000000" w:themeColor="text1"/>
                <w:sz w:val="18"/>
                <w:szCs w:val="18"/>
              </w:rPr>
              <w:t>差异</w:t>
            </w:r>
          </w:p>
        </w:tc>
        <w:tc>
          <w:tcPr>
            <w:tcW w:w="852" w:type="dxa"/>
            <w:tcBorders>
              <w:top w:val="single" w:sz="4" w:space="0" w:color="auto"/>
              <w:left w:val="single" w:sz="4" w:space="0" w:color="auto"/>
              <w:bottom w:val="single" w:sz="4" w:space="0" w:color="auto"/>
            </w:tcBorders>
            <w:shd w:val="clear" w:color="auto" w:fill="auto"/>
            <w:noWrap/>
            <w:vAlign w:val="center"/>
          </w:tcPr>
          <w:p w14:paraId="580897B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2.221</w:t>
            </w:r>
          </w:p>
        </w:tc>
        <w:tc>
          <w:tcPr>
            <w:tcW w:w="1073" w:type="dxa"/>
            <w:tcBorders>
              <w:top w:val="single" w:sz="4" w:space="0" w:color="auto"/>
              <w:bottom w:val="single" w:sz="4" w:space="0" w:color="auto"/>
              <w:right w:val="single" w:sz="4" w:space="0" w:color="auto"/>
            </w:tcBorders>
            <w:shd w:val="clear" w:color="auto" w:fill="auto"/>
            <w:noWrap/>
            <w:vAlign w:val="center"/>
          </w:tcPr>
          <w:p w14:paraId="5CB1C78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2.561</w:t>
            </w:r>
          </w:p>
        </w:tc>
        <w:tc>
          <w:tcPr>
            <w:tcW w:w="1071" w:type="dxa"/>
            <w:tcBorders>
              <w:top w:val="single" w:sz="4" w:space="0" w:color="auto"/>
              <w:left w:val="single" w:sz="4" w:space="0" w:color="auto"/>
              <w:bottom w:val="single" w:sz="4" w:space="0" w:color="auto"/>
            </w:tcBorders>
            <w:shd w:val="clear" w:color="auto" w:fill="auto"/>
            <w:noWrap/>
            <w:vAlign w:val="center"/>
          </w:tcPr>
          <w:p w14:paraId="2B3FB99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2.357</w:t>
            </w:r>
          </w:p>
        </w:tc>
        <w:tc>
          <w:tcPr>
            <w:tcW w:w="1074" w:type="dxa"/>
            <w:tcBorders>
              <w:top w:val="single" w:sz="4" w:space="0" w:color="auto"/>
              <w:bottom w:val="single" w:sz="4" w:space="0" w:color="auto"/>
              <w:right w:val="single" w:sz="4" w:space="0" w:color="auto"/>
            </w:tcBorders>
            <w:shd w:val="clear" w:color="auto" w:fill="auto"/>
            <w:noWrap/>
            <w:vAlign w:val="center"/>
          </w:tcPr>
          <w:p w14:paraId="46C0B1B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2.818</w:t>
            </w:r>
          </w:p>
        </w:tc>
        <w:tc>
          <w:tcPr>
            <w:tcW w:w="1071" w:type="dxa"/>
            <w:tcBorders>
              <w:top w:val="single" w:sz="4" w:space="0" w:color="auto"/>
              <w:left w:val="single" w:sz="4" w:space="0" w:color="auto"/>
              <w:bottom w:val="single" w:sz="4" w:space="0" w:color="auto"/>
            </w:tcBorders>
            <w:shd w:val="clear" w:color="auto" w:fill="auto"/>
            <w:noWrap/>
            <w:vAlign w:val="center"/>
          </w:tcPr>
          <w:p w14:paraId="696FD3E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2.912</w:t>
            </w:r>
          </w:p>
        </w:tc>
        <w:tc>
          <w:tcPr>
            <w:tcW w:w="1073" w:type="dxa"/>
            <w:tcBorders>
              <w:top w:val="single" w:sz="4" w:space="0" w:color="auto"/>
              <w:bottom w:val="single" w:sz="4" w:space="0" w:color="auto"/>
              <w:right w:val="single" w:sz="4" w:space="0" w:color="auto"/>
            </w:tcBorders>
            <w:shd w:val="clear" w:color="auto" w:fill="auto"/>
            <w:noWrap/>
            <w:vAlign w:val="center"/>
          </w:tcPr>
          <w:p w14:paraId="0222791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3.416</w:t>
            </w:r>
          </w:p>
        </w:tc>
        <w:tc>
          <w:tcPr>
            <w:tcW w:w="1071" w:type="dxa"/>
            <w:tcBorders>
              <w:top w:val="single" w:sz="4" w:space="0" w:color="auto"/>
              <w:left w:val="single" w:sz="4" w:space="0" w:color="auto"/>
              <w:bottom w:val="single" w:sz="4" w:space="0" w:color="auto"/>
            </w:tcBorders>
            <w:shd w:val="clear" w:color="auto" w:fill="auto"/>
            <w:noWrap/>
            <w:vAlign w:val="center"/>
          </w:tcPr>
          <w:p w14:paraId="7F8BB46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3.179</w:t>
            </w:r>
          </w:p>
        </w:tc>
        <w:tc>
          <w:tcPr>
            <w:tcW w:w="1074" w:type="dxa"/>
            <w:tcBorders>
              <w:top w:val="single" w:sz="4" w:space="0" w:color="auto"/>
              <w:bottom w:val="single" w:sz="4" w:space="0" w:color="auto"/>
              <w:right w:val="nil"/>
            </w:tcBorders>
            <w:shd w:val="clear" w:color="auto" w:fill="auto"/>
            <w:noWrap/>
            <w:vAlign w:val="center"/>
          </w:tcPr>
          <w:p w14:paraId="2D94BFD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3.393</w:t>
            </w:r>
          </w:p>
        </w:tc>
      </w:tr>
      <w:tr w:rsidR="00CF571C" w:rsidRPr="00CF571C" w14:paraId="7244D7A1"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49615CE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规模以上工业企业数差异</w:t>
            </w:r>
            <w:r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万</w:t>
            </w:r>
            <w:r w:rsidRPr="00CF571C">
              <w:rPr>
                <w:rFonts w:ascii="Times New Roman" w:hAnsi="Times New Roman" w:cs="Times New Roman" w:hint="eastAsia"/>
                <w:color w:val="000000" w:themeColor="text1"/>
                <w:sz w:val="18"/>
                <w:szCs w:val="18"/>
              </w:rPr>
              <w:t>）</w:t>
            </w:r>
          </w:p>
        </w:tc>
        <w:tc>
          <w:tcPr>
            <w:tcW w:w="852" w:type="dxa"/>
            <w:tcBorders>
              <w:top w:val="single" w:sz="4" w:space="0" w:color="auto"/>
              <w:left w:val="single" w:sz="4" w:space="0" w:color="auto"/>
              <w:bottom w:val="single" w:sz="4" w:space="0" w:color="auto"/>
            </w:tcBorders>
            <w:shd w:val="clear" w:color="auto" w:fill="auto"/>
            <w:noWrap/>
            <w:vAlign w:val="center"/>
          </w:tcPr>
          <w:p w14:paraId="3734DC9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0.087</w:t>
            </w:r>
          </w:p>
        </w:tc>
        <w:tc>
          <w:tcPr>
            <w:tcW w:w="1073" w:type="dxa"/>
            <w:tcBorders>
              <w:top w:val="single" w:sz="4" w:space="0" w:color="auto"/>
              <w:bottom w:val="single" w:sz="4" w:space="0" w:color="auto"/>
              <w:right w:val="single" w:sz="4" w:space="0" w:color="auto"/>
            </w:tcBorders>
            <w:shd w:val="clear" w:color="auto" w:fill="auto"/>
            <w:noWrap/>
            <w:vAlign w:val="center"/>
          </w:tcPr>
          <w:p w14:paraId="0200215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0.161</w:t>
            </w:r>
          </w:p>
        </w:tc>
        <w:tc>
          <w:tcPr>
            <w:tcW w:w="1071" w:type="dxa"/>
            <w:tcBorders>
              <w:top w:val="single" w:sz="4" w:space="0" w:color="auto"/>
              <w:left w:val="single" w:sz="4" w:space="0" w:color="auto"/>
              <w:bottom w:val="single" w:sz="4" w:space="0" w:color="auto"/>
            </w:tcBorders>
            <w:shd w:val="clear" w:color="auto" w:fill="auto"/>
            <w:noWrap/>
            <w:vAlign w:val="center"/>
          </w:tcPr>
          <w:p w14:paraId="5A0BEA2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0.098</w:t>
            </w:r>
          </w:p>
        </w:tc>
        <w:tc>
          <w:tcPr>
            <w:tcW w:w="1074" w:type="dxa"/>
            <w:tcBorders>
              <w:top w:val="single" w:sz="4" w:space="0" w:color="auto"/>
              <w:bottom w:val="single" w:sz="4" w:space="0" w:color="auto"/>
              <w:right w:val="single" w:sz="4" w:space="0" w:color="auto"/>
            </w:tcBorders>
            <w:shd w:val="clear" w:color="auto" w:fill="auto"/>
            <w:noWrap/>
            <w:vAlign w:val="center"/>
          </w:tcPr>
          <w:p w14:paraId="1623F64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0.255</w:t>
            </w:r>
          </w:p>
        </w:tc>
        <w:tc>
          <w:tcPr>
            <w:tcW w:w="1071" w:type="dxa"/>
            <w:tcBorders>
              <w:top w:val="single" w:sz="4" w:space="0" w:color="auto"/>
              <w:left w:val="single" w:sz="4" w:space="0" w:color="auto"/>
              <w:bottom w:val="single" w:sz="4" w:space="0" w:color="auto"/>
            </w:tcBorders>
            <w:shd w:val="clear" w:color="auto" w:fill="auto"/>
            <w:noWrap/>
            <w:vAlign w:val="center"/>
          </w:tcPr>
          <w:p w14:paraId="7CABCD2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0.100</w:t>
            </w:r>
          </w:p>
        </w:tc>
        <w:tc>
          <w:tcPr>
            <w:tcW w:w="1073" w:type="dxa"/>
            <w:tcBorders>
              <w:top w:val="single" w:sz="4" w:space="0" w:color="auto"/>
              <w:bottom w:val="single" w:sz="4" w:space="0" w:color="auto"/>
              <w:right w:val="single" w:sz="4" w:space="0" w:color="auto"/>
            </w:tcBorders>
            <w:shd w:val="clear" w:color="auto" w:fill="auto"/>
            <w:noWrap/>
            <w:vAlign w:val="center"/>
          </w:tcPr>
          <w:p w14:paraId="65EAE07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0.172</w:t>
            </w:r>
          </w:p>
        </w:tc>
        <w:tc>
          <w:tcPr>
            <w:tcW w:w="1071" w:type="dxa"/>
            <w:tcBorders>
              <w:top w:val="single" w:sz="4" w:space="0" w:color="auto"/>
              <w:left w:val="single" w:sz="4" w:space="0" w:color="auto"/>
              <w:bottom w:val="single" w:sz="4" w:space="0" w:color="auto"/>
            </w:tcBorders>
            <w:shd w:val="clear" w:color="auto" w:fill="auto"/>
            <w:noWrap/>
            <w:vAlign w:val="center"/>
          </w:tcPr>
          <w:p w14:paraId="7EB2C43E"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0.137</w:t>
            </w:r>
          </w:p>
        </w:tc>
        <w:tc>
          <w:tcPr>
            <w:tcW w:w="1074" w:type="dxa"/>
            <w:tcBorders>
              <w:top w:val="single" w:sz="4" w:space="0" w:color="auto"/>
              <w:bottom w:val="single" w:sz="4" w:space="0" w:color="auto"/>
              <w:right w:val="nil"/>
            </w:tcBorders>
            <w:shd w:val="clear" w:color="auto" w:fill="auto"/>
            <w:noWrap/>
            <w:vAlign w:val="center"/>
          </w:tcPr>
          <w:p w14:paraId="2B1F7E8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0.197</w:t>
            </w:r>
          </w:p>
        </w:tc>
      </w:tr>
      <w:tr w:rsidR="00CF571C" w:rsidRPr="00CF571C" w14:paraId="49891D87"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5611213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行政区域面积差异</w:t>
            </w:r>
          </w:p>
        </w:tc>
        <w:tc>
          <w:tcPr>
            <w:tcW w:w="852" w:type="dxa"/>
            <w:tcBorders>
              <w:top w:val="single" w:sz="4" w:space="0" w:color="auto"/>
              <w:left w:val="single" w:sz="4" w:space="0" w:color="auto"/>
              <w:bottom w:val="single" w:sz="4" w:space="0" w:color="auto"/>
            </w:tcBorders>
            <w:shd w:val="clear" w:color="auto" w:fill="auto"/>
            <w:noWrap/>
            <w:vAlign w:val="center"/>
          </w:tcPr>
          <w:p w14:paraId="6A3514C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8760.67</w:t>
            </w:r>
          </w:p>
        </w:tc>
        <w:tc>
          <w:tcPr>
            <w:tcW w:w="1073" w:type="dxa"/>
            <w:tcBorders>
              <w:top w:val="single" w:sz="4" w:space="0" w:color="auto"/>
              <w:bottom w:val="single" w:sz="4" w:space="0" w:color="auto"/>
              <w:right w:val="single" w:sz="4" w:space="0" w:color="auto"/>
            </w:tcBorders>
            <w:shd w:val="clear" w:color="auto" w:fill="auto"/>
            <w:noWrap/>
            <w:vAlign w:val="center"/>
          </w:tcPr>
          <w:p w14:paraId="116AD43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14170.07</w:t>
            </w:r>
          </w:p>
        </w:tc>
        <w:tc>
          <w:tcPr>
            <w:tcW w:w="1071" w:type="dxa"/>
            <w:tcBorders>
              <w:top w:val="single" w:sz="4" w:space="0" w:color="auto"/>
              <w:left w:val="single" w:sz="4" w:space="0" w:color="auto"/>
              <w:bottom w:val="single" w:sz="4" w:space="0" w:color="auto"/>
            </w:tcBorders>
            <w:shd w:val="clear" w:color="auto" w:fill="auto"/>
            <w:noWrap/>
            <w:vAlign w:val="center"/>
          </w:tcPr>
          <w:p w14:paraId="4A5AEA4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13588.73</w:t>
            </w:r>
          </w:p>
        </w:tc>
        <w:tc>
          <w:tcPr>
            <w:tcW w:w="1074" w:type="dxa"/>
            <w:tcBorders>
              <w:top w:val="single" w:sz="4" w:space="0" w:color="auto"/>
              <w:bottom w:val="single" w:sz="4" w:space="0" w:color="auto"/>
              <w:right w:val="single" w:sz="4" w:space="0" w:color="auto"/>
            </w:tcBorders>
            <w:shd w:val="clear" w:color="auto" w:fill="auto"/>
            <w:noWrap/>
            <w:vAlign w:val="center"/>
          </w:tcPr>
          <w:p w14:paraId="1CD9E85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26273.25</w:t>
            </w:r>
          </w:p>
        </w:tc>
        <w:tc>
          <w:tcPr>
            <w:tcW w:w="1071" w:type="dxa"/>
            <w:tcBorders>
              <w:top w:val="single" w:sz="4" w:space="0" w:color="auto"/>
              <w:left w:val="single" w:sz="4" w:space="0" w:color="auto"/>
              <w:bottom w:val="single" w:sz="4" w:space="0" w:color="auto"/>
            </w:tcBorders>
            <w:shd w:val="clear" w:color="auto" w:fill="auto"/>
            <w:noWrap/>
            <w:vAlign w:val="center"/>
          </w:tcPr>
          <w:p w14:paraId="6EB3A0A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11254.11</w:t>
            </w:r>
          </w:p>
        </w:tc>
        <w:tc>
          <w:tcPr>
            <w:tcW w:w="1073" w:type="dxa"/>
            <w:tcBorders>
              <w:top w:val="single" w:sz="4" w:space="0" w:color="auto"/>
              <w:bottom w:val="single" w:sz="4" w:space="0" w:color="auto"/>
              <w:right w:val="single" w:sz="4" w:space="0" w:color="auto"/>
            </w:tcBorders>
            <w:shd w:val="clear" w:color="auto" w:fill="auto"/>
            <w:noWrap/>
            <w:vAlign w:val="center"/>
          </w:tcPr>
          <w:p w14:paraId="7C263BD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24133.01</w:t>
            </w:r>
          </w:p>
        </w:tc>
        <w:tc>
          <w:tcPr>
            <w:tcW w:w="1071" w:type="dxa"/>
            <w:tcBorders>
              <w:top w:val="single" w:sz="4" w:space="0" w:color="auto"/>
              <w:left w:val="single" w:sz="4" w:space="0" w:color="auto"/>
              <w:bottom w:val="single" w:sz="4" w:space="0" w:color="auto"/>
            </w:tcBorders>
            <w:shd w:val="clear" w:color="auto" w:fill="auto"/>
            <w:noWrap/>
            <w:vAlign w:val="center"/>
          </w:tcPr>
          <w:p w14:paraId="61D1C08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15123.48</w:t>
            </w:r>
          </w:p>
        </w:tc>
        <w:tc>
          <w:tcPr>
            <w:tcW w:w="1074" w:type="dxa"/>
            <w:tcBorders>
              <w:top w:val="single" w:sz="4" w:space="0" w:color="auto"/>
              <w:bottom w:val="single" w:sz="4" w:space="0" w:color="auto"/>
              <w:right w:val="nil"/>
            </w:tcBorders>
            <w:shd w:val="clear" w:color="auto" w:fill="auto"/>
            <w:noWrap/>
            <w:vAlign w:val="center"/>
          </w:tcPr>
          <w:p w14:paraId="46D3E1C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28764.37</w:t>
            </w:r>
          </w:p>
        </w:tc>
      </w:tr>
      <w:tr w:rsidR="00CF571C" w:rsidRPr="00CF571C" w14:paraId="28B0809D"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2C3EB18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规模以上工业总产值差异</w:t>
            </w:r>
          </w:p>
        </w:tc>
        <w:tc>
          <w:tcPr>
            <w:tcW w:w="852" w:type="dxa"/>
            <w:tcBorders>
              <w:top w:val="single" w:sz="4" w:space="0" w:color="auto"/>
              <w:left w:val="single" w:sz="4" w:space="0" w:color="auto"/>
              <w:bottom w:val="single" w:sz="4" w:space="0" w:color="auto"/>
            </w:tcBorders>
            <w:shd w:val="clear" w:color="auto" w:fill="auto"/>
            <w:noWrap/>
            <w:vAlign w:val="center"/>
          </w:tcPr>
          <w:p w14:paraId="7C2CD6E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2.64E+07</w:t>
            </w:r>
          </w:p>
        </w:tc>
        <w:tc>
          <w:tcPr>
            <w:tcW w:w="1073" w:type="dxa"/>
            <w:tcBorders>
              <w:top w:val="single" w:sz="4" w:space="0" w:color="auto"/>
              <w:bottom w:val="single" w:sz="4" w:space="0" w:color="auto"/>
              <w:right w:val="single" w:sz="4" w:space="0" w:color="auto"/>
            </w:tcBorders>
            <w:shd w:val="clear" w:color="auto" w:fill="auto"/>
            <w:noWrap/>
            <w:vAlign w:val="center"/>
          </w:tcPr>
          <w:p w14:paraId="5F3CBCA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3.49E+07</w:t>
            </w:r>
          </w:p>
        </w:tc>
        <w:tc>
          <w:tcPr>
            <w:tcW w:w="1071" w:type="dxa"/>
            <w:tcBorders>
              <w:top w:val="single" w:sz="4" w:space="0" w:color="auto"/>
              <w:left w:val="single" w:sz="4" w:space="0" w:color="auto"/>
              <w:bottom w:val="single" w:sz="4" w:space="0" w:color="auto"/>
            </w:tcBorders>
            <w:shd w:val="clear" w:color="auto" w:fill="auto"/>
            <w:noWrap/>
            <w:vAlign w:val="center"/>
          </w:tcPr>
          <w:p w14:paraId="381EF63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2.65E+07</w:t>
            </w:r>
          </w:p>
        </w:tc>
        <w:tc>
          <w:tcPr>
            <w:tcW w:w="1074" w:type="dxa"/>
            <w:tcBorders>
              <w:top w:val="single" w:sz="4" w:space="0" w:color="auto"/>
              <w:bottom w:val="single" w:sz="4" w:space="0" w:color="auto"/>
              <w:right w:val="single" w:sz="4" w:space="0" w:color="auto"/>
            </w:tcBorders>
            <w:shd w:val="clear" w:color="auto" w:fill="auto"/>
            <w:noWrap/>
            <w:vAlign w:val="center"/>
          </w:tcPr>
          <w:p w14:paraId="16D86CC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3.75E+07</w:t>
            </w:r>
          </w:p>
        </w:tc>
        <w:tc>
          <w:tcPr>
            <w:tcW w:w="1071" w:type="dxa"/>
            <w:tcBorders>
              <w:top w:val="single" w:sz="4" w:space="0" w:color="auto"/>
              <w:left w:val="single" w:sz="4" w:space="0" w:color="auto"/>
              <w:bottom w:val="single" w:sz="4" w:space="0" w:color="auto"/>
            </w:tcBorders>
            <w:shd w:val="clear" w:color="auto" w:fill="auto"/>
            <w:noWrap/>
            <w:vAlign w:val="center"/>
          </w:tcPr>
          <w:p w14:paraId="07D0FA9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2.95E+07</w:t>
            </w:r>
          </w:p>
        </w:tc>
        <w:tc>
          <w:tcPr>
            <w:tcW w:w="1073" w:type="dxa"/>
            <w:tcBorders>
              <w:top w:val="single" w:sz="4" w:space="0" w:color="auto"/>
              <w:bottom w:val="single" w:sz="4" w:space="0" w:color="auto"/>
              <w:right w:val="single" w:sz="4" w:space="0" w:color="auto"/>
            </w:tcBorders>
            <w:shd w:val="clear" w:color="auto" w:fill="auto"/>
            <w:noWrap/>
            <w:vAlign w:val="center"/>
          </w:tcPr>
          <w:p w14:paraId="772B0BF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4.32E+07</w:t>
            </w:r>
          </w:p>
        </w:tc>
        <w:tc>
          <w:tcPr>
            <w:tcW w:w="1071" w:type="dxa"/>
            <w:tcBorders>
              <w:top w:val="single" w:sz="4" w:space="0" w:color="auto"/>
              <w:left w:val="single" w:sz="4" w:space="0" w:color="auto"/>
              <w:bottom w:val="single" w:sz="4" w:space="0" w:color="auto"/>
            </w:tcBorders>
            <w:shd w:val="clear" w:color="auto" w:fill="auto"/>
            <w:noWrap/>
            <w:vAlign w:val="center"/>
          </w:tcPr>
          <w:p w14:paraId="4977B02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3.56E+07</w:t>
            </w:r>
          </w:p>
        </w:tc>
        <w:tc>
          <w:tcPr>
            <w:tcW w:w="1074" w:type="dxa"/>
            <w:tcBorders>
              <w:top w:val="single" w:sz="4" w:space="0" w:color="auto"/>
              <w:bottom w:val="single" w:sz="4" w:space="0" w:color="auto"/>
              <w:right w:val="nil"/>
            </w:tcBorders>
            <w:shd w:val="clear" w:color="auto" w:fill="auto"/>
            <w:noWrap/>
            <w:vAlign w:val="center"/>
          </w:tcPr>
          <w:p w14:paraId="0FAE319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4.39E+07</w:t>
            </w:r>
          </w:p>
        </w:tc>
      </w:tr>
      <w:tr w:rsidR="00CF571C" w:rsidRPr="00CF571C" w14:paraId="4828DF87"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1642C0F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普通高等学校数差异</w:t>
            </w:r>
          </w:p>
        </w:tc>
        <w:tc>
          <w:tcPr>
            <w:tcW w:w="852" w:type="dxa"/>
            <w:tcBorders>
              <w:top w:val="single" w:sz="4" w:space="0" w:color="auto"/>
              <w:left w:val="single" w:sz="4" w:space="0" w:color="auto"/>
              <w:bottom w:val="single" w:sz="4" w:space="0" w:color="auto"/>
            </w:tcBorders>
            <w:shd w:val="clear" w:color="auto" w:fill="auto"/>
            <w:noWrap/>
            <w:vAlign w:val="center"/>
          </w:tcPr>
          <w:p w14:paraId="19F13A2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12.239</w:t>
            </w:r>
          </w:p>
        </w:tc>
        <w:tc>
          <w:tcPr>
            <w:tcW w:w="1073" w:type="dxa"/>
            <w:tcBorders>
              <w:top w:val="single" w:sz="4" w:space="0" w:color="auto"/>
              <w:bottom w:val="single" w:sz="4" w:space="0" w:color="auto"/>
              <w:right w:val="single" w:sz="4" w:space="0" w:color="auto"/>
            </w:tcBorders>
            <w:shd w:val="clear" w:color="auto" w:fill="auto"/>
            <w:noWrap/>
            <w:vAlign w:val="center"/>
          </w:tcPr>
          <w:p w14:paraId="5650475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19.056</w:t>
            </w:r>
          </w:p>
        </w:tc>
        <w:tc>
          <w:tcPr>
            <w:tcW w:w="1071" w:type="dxa"/>
            <w:tcBorders>
              <w:top w:val="single" w:sz="4" w:space="0" w:color="auto"/>
              <w:left w:val="single" w:sz="4" w:space="0" w:color="auto"/>
              <w:bottom w:val="single" w:sz="4" w:space="0" w:color="auto"/>
            </w:tcBorders>
            <w:shd w:val="clear" w:color="auto" w:fill="auto"/>
            <w:noWrap/>
            <w:vAlign w:val="center"/>
          </w:tcPr>
          <w:p w14:paraId="60CD299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6.488</w:t>
            </w:r>
          </w:p>
        </w:tc>
        <w:tc>
          <w:tcPr>
            <w:tcW w:w="1074" w:type="dxa"/>
            <w:tcBorders>
              <w:top w:val="single" w:sz="4" w:space="0" w:color="auto"/>
              <w:bottom w:val="single" w:sz="4" w:space="0" w:color="auto"/>
              <w:right w:val="single" w:sz="4" w:space="0" w:color="auto"/>
            </w:tcBorders>
            <w:shd w:val="clear" w:color="auto" w:fill="auto"/>
            <w:noWrap/>
            <w:vAlign w:val="center"/>
          </w:tcPr>
          <w:p w14:paraId="39C1A26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11.075</w:t>
            </w:r>
          </w:p>
        </w:tc>
        <w:tc>
          <w:tcPr>
            <w:tcW w:w="1071" w:type="dxa"/>
            <w:tcBorders>
              <w:top w:val="single" w:sz="4" w:space="0" w:color="auto"/>
              <w:left w:val="single" w:sz="4" w:space="0" w:color="auto"/>
              <w:bottom w:val="single" w:sz="4" w:space="0" w:color="auto"/>
            </w:tcBorders>
            <w:shd w:val="clear" w:color="auto" w:fill="auto"/>
            <w:noWrap/>
            <w:vAlign w:val="center"/>
          </w:tcPr>
          <w:p w14:paraId="547F4E3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8.441</w:t>
            </w:r>
          </w:p>
        </w:tc>
        <w:tc>
          <w:tcPr>
            <w:tcW w:w="1073" w:type="dxa"/>
            <w:tcBorders>
              <w:top w:val="single" w:sz="4" w:space="0" w:color="auto"/>
              <w:bottom w:val="single" w:sz="4" w:space="0" w:color="auto"/>
              <w:right w:val="single" w:sz="4" w:space="0" w:color="auto"/>
            </w:tcBorders>
            <w:shd w:val="clear" w:color="auto" w:fill="auto"/>
            <w:noWrap/>
            <w:vAlign w:val="center"/>
          </w:tcPr>
          <w:p w14:paraId="32E93C5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15.508</w:t>
            </w:r>
          </w:p>
        </w:tc>
        <w:tc>
          <w:tcPr>
            <w:tcW w:w="1071" w:type="dxa"/>
            <w:tcBorders>
              <w:top w:val="single" w:sz="4" w:space="0" w:color="auto"/>
              <w:left w:val="single" w:sz="4" w:space="0" w:color="auto"/>
              <w:bottom w:val="single" w:sz="4" w:space="0" w:color="auto"/>
            </w:tcBorders>
            <w:shd w:val="clear" w:color="auto" w:fill="auto"/>
            <w:noWrap/>
            <w:vAlign w:val="center"/>
          </w:tcPr>
          <w:p w14:paraId="38BBFE8A"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10.097</w:t>
            </w:r>
          </w:p>
        </w:tc>
        <w:tc>
          <w:tcPr>
            <w:tcW w:w="1074" w:type="dxa"/>
            <w:tcBorders>
              <w:top w:val="single" w:sz="4" w:space="0" w:color="auto"/>
              <w:bottom w:val="single" w:sz="4" w:space="0" w:color="auto"/>
              <w:right w:val="nil"/>
            </w:tcBorders>
            <w:shd w:val="clear" w:color="auto" w:fill="auto"/>
            <w:noWrap/>
            <w:vAlign w:val="center"/>
          </w:tcPr>
          <w:p w14:paraId="1F20CB6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16.231</w:t>
            </w:r>
          </w:p>
        </w:tc>
      </w:tr>
      <w:tr w:rsidR="00CF571C" w:rsidRPr="00CF571C" w14:paraId="6E3640D8"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63140A1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医院个数差异</w:t>
            </w:r>
          </w:p>
        </w:tc>
        <w:tc>
          <w:tcPr>
            <w:tcW w:w="852" w:type="dxa"/>
            <w:tcBorders>
              <w:top w:val="single" w:sz="4" w:space="0" w:color="auto"/>
              <w:left w:val="single" w:sz="4" w:space="0" w:color="auto"/>
              <w:bottom w:val="single" w:sz="4" w:space="0" w:color="auto"/>
            </w:tcBorders>
            <w:shd w:val="clear" w:color="auto" w:fill="auto"/>
            <w:noWrap/>
            <w:vAlign w:val="center"/>
          </w:tcPr>
          <w:p w14:paraId="12D4229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119.415</w:t>
            </w:r>
          </w:p>
        </w:tc>
        <w:tc>
          <w:tcPr>
            <w:tcW w:w="1073" w:type="dxa"/>
            <w:tcBorders>
              <w:top w:val="single" w:sz="4" w:space="0" w:color="auto"/>
              <w:bottom w:val="single" w:sz="4" w:space="0" w:color="auto"/>
              <w:right w:val="single" w:sz="4" w:space="0" w:color="auto"/>
            </w:tcBorders>
            <w:shd w:val="clear" w:color="auto" w:fill="auto"/>
            <w:noWrap/>
            <w:vAlign w:val="center"/>
          </w:tcPr>
          <w:p w14:paraId="6F3F0B6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178.138</w:t>
            </w:r>
          </w:p>
        </w:tc>
        <w:tc>
          <w:tcPr>
            <w:tcW w:w="1071" w:type="dxa"/>
            <w:tcBorders>
              <w:top w:val="single" w:sz="4" w:space="0" w:color="auto"/>
              <w:left w:val="single" w:sz="4" w:space="0" w:color="auto"/>
              <w:bottom w:val="single" w:sz="4" w:space="0" w:color="auto"/>
            </w:tcBorders>
            <w:shd w:val="clear" w:color="auto" w:fill="auto"/>
            <w:noWrap/>
            <w:vAlign w:val="center"/>
          </w:tcPr>
          <w:p w14:paraId="60A69DB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135.767</w:t>
            </w:r>
          </w:p>
        </w:tc>
        <w:tc>
          <w:tcPr>
            <w:tcW w:w="1074" w:type="dxa"/>
            <w:tcBorders>
              <w:top w:val="single" w:sz="4" w:space="0" w:color="auto"/>
              <w:bottom w:val="single" w:sz="4" w:space="0" w:color="auto"/>
              <w:right w:val="single" w:sz="4" w:space="0" w:color="auto"/>
            </w:tcBorders>
            <w:shd w:val="clear" w:color="auto" w:fill="auto"/>
            <w:noWrap/>
            <w:vAlign w:val="center"/>
          </w:tcPr>
          <w:p w14:paraId="72FCF04F"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174.902</w:t>
            </w:r>
          </w:p>
        </w:tc>
        <w:tc>
          <w:tcPr>
            <w:tcW w:w="1071" w:type="dxa"/>
            <w:tcBorders>
              <w:top w:val="single" w:sz="4" w:space="0" w:color="auto"/>
              <w:left w:val="single" w:sz="4" w:space="0" w:color="auto"/>
              <w:bottom w:val="single" w:sz="4" w:space="0" w:color="auto"/>
            </w:tcBorders>
            <w:shd w:val="clear" w:color="auto" w:fill="auto"/>
            <w:noWrap/>
            <w:vAlign w:val="center"/>
          </w:tcPr>
          <w:p w14:paraId="6C9BF272"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116.886</w:t>
            </w:r>
          </w:p>
        </w:tc>
        <w:tc>
          <w:tcPr>
            <w:tcW w:w="1073" w:type="dxa"/>
            <w:tcBorders>
              <w:top w:val="single" w:sz="4" w:space="0" w:color="auto"/>
              <w:bottom w:val="single" w:sz="4" w:space="0" w:color="auto"/>
              <w:right w:val="single" w:sz="4" w:space="0" w:color="auto"/>
            </w:tcBorders>
            <w:shd w:val="clear" w:color="auto" w:fill="auto"/>
            <w:noWrap/>
            <w:vAlign w:val="center"/>
          </w:tcPr>
          <w:p w14:paraId="35B0E10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191.737</w:t>
            </w:r>
          </w:p>
        </w:tc>
        <w:tc>
          <w:tcPr>
            <w:tcW w:w="1071" w:type="dxa"/>
            <w:tcBorders>
              <w:top w:val="single" w:sz="4" w:space="0" w:color="auto"/>
              <w:left w:val="single" w:sz="4" w:space="0" w:color="auto"/>
              <w:bottom w:val="single" w:sz="4" w:space="0" w:color="auto"/>
            </w:tcBorders>
            <w:shd w:val="clear" w:color="auto" w:fill="auto"/>
            <w:noWrap/>
            <w:vAlign w:val="center"/>
          </w:tcPr>
          <w:p w14:paraId="5DB656E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137.519</w:t>
            </w:r>
          </w:p>
        </w:tc>
        <w:tc>
          <w:tcPr>
            <w:tcW w:w="1074" w:type="dxa"/>
            <w:tcBorders>
              <w:top w:val="single" w:sz="4" w:space="0" w:color="auto"/>
              <w:bottom w:val="single" w:sz="4" w:space="0" w:color="auto"/>
              <w:right w:val="nil"/>
            </w:tcBorders>
            <w:shd w:val="clear" w:color="auto" w:fill="auto"/>
            <w:noWrap/>
            <w:vAlign w:val="center"/>
          </w:tcPr>
          <w:p w14:paraId="37310269"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204.153</w:t>
            </w:r>
          </w:p>
        </w:tc>
      </w:tr>
      <w:tr w:rsidR="00CF571C" w:rsidRPr="00CF571C" w14:paraId="3A075B3A" w14:textId="77777777" w:rsidTr="00B636FD">
        <w:trPr>
          <w:trHeight w:val="253"/>
          <w:jc w:val="center"/>
        </w:trPr>
        <w:tc>
          <w:tcPr>
            <w:tcW w:w="2480" w:type="dxa"/>
            <w:tcBorders>
              <w:top w:val="single" w:sz="4" w:space="0" w:color="auto"/>
              <w:left w:val="nil"/>
              <w:bottom w:val="single" w:sz="4" w:space="0" w:color="auto"/>
              <w:right w:val="single" w:sz="4" w:space="0" w:color="auto"/>
            </w:tcBorders>
            <w:shd w:val="clear" w:color="auto" w:fill="auto"/>
            <w:noWrap/>
            <w:vAlign w:val="center"/>
          </w:tcPr>
          <w:p w14:paraId="3262A25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工业二氧化硫排放量差异</w:t>
            </w:r>
            <w:r w:rsidRPr="00CF571C">
              <w:rPr>
                <w:rFonts w:ascii="Times New Roman" w:hAnsi="Times New Roman" w:cs="Times New Roman" w:hint="eastAsia"/>
                <w:color w:val="000000" w:themeColor="text1"/>
                <w:sz w:val="18"/>
                <w:szCs w:val="18"/>
              </w:rPr>
              <w:t>（吨）</w:t>
            </w:r>
          </w:p>
        </w:tc>
        <w:tc>
          <w:tcPr>
            <w:tcW w:w="852" w:type="dxa"/>
            <w:tcBorders>
              <w:top w:val="single" w:sz="4" w:space="0" w:color="auto"/>
              <w:left w:val="single" w:sz="4" w:space="0" w:color="auto"/>
              <w:bottom w:val="single" w:sz="4" w:space="0" w:color="auto"/>
            </w:tcBorders>
            <w:shd w:val="clear" w:color="auto" w:fill="auto"/>
            <w:noWrap/>
            <w:vAlign w:val="center"/>
          </w:tcPr>
          <w:p w14:paraId="0CFAD7D3"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44157.59</w:t>
            </w:r>
          </w:p>
        </w:tc>
        <w:tc>
          <w:tcPr>
            <w:tcW w:w="1073" w:type="dxa"/>
            <w:tcBorders>
              <w:top w:val="single" w:sz="4" w:space="0" w:color="auto"/>
              <w:bottom w:val="single" w:sz="4" w:space="0" w:color="auto"/>
              <w:right w:val="single" w:sz="4" w:space="0" w:color="auto"/>
            </w:tcBorders>
            <w:shd w:val="clear" w:color="auto" w:fill="auto"/>
            <w:noWrap/>
            <w:vAlign w:val="center"/>
          </w:tcPr>
          <w:p w14:paraId="0E366291"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92409.26</w:t>
            </w:r>
          </w:p>
        </w:tc>
        <w:tc>
          <w:tcPr>
            <w:tcW w:w="1071" w:type="dxa"/>
            <w:tcBorders>
              <w:top w:val="single" w:sz="4" w:space="0" w:color="auto"/>
              <w:left w:val="single" w:sz="4" w:space="0" w:color="auto"/>
              <w:bottom w:val="single" w:sz="4" w:space="0" w:color="auto"/>
            </w:tcBorders>
            <w:shd w:val="clear" w:color="auto" w:fill="auto"/>
            <w:noWrap/>
            <w:vAlign w:val="center"/>
          </w:tcPr>
          <w:p w14:paraId="57700EE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49282.78</w:t>
            </w:r>
          </w:p>
        </w:tc>
        <w:tc>
          <w:tcPr>
            <w:tcW w:w="1074" w:type="dxa"/>
            <w:tcBorders>
              <w:top w:val="single" w:sz="4" w:space="0" w:color="auto"/>
              <w:bottom w:val="single" w:sz="4" w:space="0" w:color="auto"/>
              <w:right w:val="single" w:sz="4" w:space="0" w:color="auto"/>
            </w:tcBorders>
            <w:shd w:val="clear" w:color="auto" w:fill="auto"/>
            <w:noWrap/>
            <w:vAlign w:val="center"/>
          </w:tcPr>
          <w:p w14:paraId="00F84634"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88296.84</w:t>
            </w:r>
          </w:p>
        </w:tc>
        <w:tc>
          <w:tcPr>
            <w:tcW w:w="1071" w:type="dxa"/>
            <w:tcBorders>
              <w:top w:val="single" w:sz="4" w:space="0" w:color="auto"/>
              <w:left w:val="single" w:sz="4" w:space="0" w:color="auto"/>
              <w:bottom w:val="single" w:sz="4" w:space="0" w:color="auto"/>
            </w:tcBorders>
            <w:shd w:val="clear" w:color="auto" w:fill="auto"/>
            <w:noWrap/>
            <w:vAlign w:val="center"/>
          </w:tcPr>
          <w:p w14:paraId="4FA9F8A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45038.33</w:t>
            </w:r>
          </w:p>
        </w:tc>
        <w:tc>
          <w:tcPr>
            <w:tcW w:w="1073" w:type="dxa"/>
            <w:tcBorders>
              <w:top w:val="single" w:sz="4" w:space="0" w:color="auto"/>
              <w:bottom w:val="single" w:sz="4" w:space="0" w:color="auto"/>
              <w:right w:val="single" w:sz="4" w:space="0" w:color="auto"/>
            </w:tcBorders>
            <w:shd w:val="clear" w:color="auto" w:fill="auto"/>
            <w:noWrap/>
            <w:vAlign w:val="center"/>
          </w:tcPr>
          <w:p w14:paraId="46B50E9D"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103959.10</w:t>
            </w:r>
          </w:p>
        </w:tc>
        <w:tc>
          <w:tcPr>
            <w:tcW w:w="1071" w:type="dxa"/>
            <w:tcBorders>
              <w:top w:val="single" w:sz="4" w:space="0" w:color="auto"/>
              <w:left w:val="single" w:sz="4" w:space="0" w:color="auto"/>
              <w:bottom w:val="single" w:sz="4" w:space="0" w:color="auto"/>
            </w:tcBorders>
            <w:shd w:val="clear" w:color="auto" w:fill="auto"/>
            <w:noWrap/>
            <w:vAlign w:val="center"/>
          </w:tcPr>
          <w:p w14:paraId="2AFE6A3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58824.58</w:t>
            </w:r>
          </w:p>
        </w:tc>
        <w:tc>
          <w:tcPr>
            <w:tcW w:w="1074" w:type="dxa"/>
            <w:tcBorders>
              <w:top w:val="single" w:sz="4" w:space="0" w:color="auto"/>
              <w:bottom w:val="single" w:sz="4" w:space="0" w:color="auto"/>
              <w:right w:val="nil"/>
            </w:tcBorders>
            <w:shd w:val="clear" w:color="auto" w:fill="auto"/>
            <w:noWrap/>
            <w:vAlign w:val="center"/>
          </w:tcPr>
          <w:p w14:paraId="7D3D76E6"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114063.80</w:t>
            </w:r>
          </w:p>
        </w:tc>
      </w:tr>
      <w:tr w:rsidR="00CF571C" w:rsidRPr="00CF571C" w14:paraId="66E0FEDA" w14:textId="77777777" w:rsidTr="007E197E">
        <w:trPr>
          <w:trHeight w:val="271"/>
          <w:jc w:val="center"/>
        </w:trPr>
        <w:tc>
          <w:tcPr>
            <w:tcW w:w="2480" w:type="dxa"/>
            <w:tcBorders>
              <w:top w:val="single" w:sz="4" w:space="0" w:color="auto"/>
              <w:left w:val="nil"/>
              <w:bottom w:val="single" w:sz="8" w:space="0" w:color="auto"/>
              <w:right w:val="single" w:sz="4" w:space="0" w:color="auto"/>
            </w:tcBorders>
            <w:shd w:val="clear" w:color="auto" w:fill="auto"/>
            <w:noWrap/>
            <w:vAlign w:val="center"/>
          </w:tcPr>
          <w:p w14:paraId="47439BB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两市地理距离</w:t>
            </w:r>
            <w:r w:rsidRPr="00CF571C">
              <w:rPr>
                <w:rFonts w:ascii="Times New Roman" w:hAnsi="Times New Roman" w:cs="Times New Roman" w:hint="eastAsia"/>
                <w:color w:val="000000" w:themeColor="text1"/>
                <w:sz w:val="18"/>
                <w:szCs w:val="18"/>
              </w:rPr>
              <w:t>（千米）</w:t>
            </w:r>
          </w:p>
        </w:tc>
        <w:tc>
          <w:tcPr>
            <w:tcW w:w="852" w:type="dxa"/>
            <w:tcBorders>
              <w:top w:val="single" w:sz="4" w:space="0" w:color="auto"/>
              <w:left w:val="single" w:sz="4" w:space="0" w:color="auto"/>
              <w:bottom w:val="single" w:sz="8" w:space="0" w:color="auto"/>
            </w:tcBorders>
            <w:shd w:val="clear" w:color="auto" w:fill="auto"/>
            <w:noWrap/>
            <w:vAlign w:val="center"/>
          </w:tcPr>
          <w:p w14:paraId="07B94E3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129.404</w:t>
            </w:r>
          </w:p>
        </w:tc>
        <w:tc>
          <w:tcPr>
            <w:tcW w:w="1073" w:type="dxa"/>
            <w:tcBorders>
              <w:top w:val="single" w:sz="4" w:space="0" w:color="auto"/>
              <w:bottom w:val="single" w:sz="8" w:space="0" w:color="auto"/>
              <w:right w:val="single" w:sz="4" w:space="0" w:color="auto"/>
            </w:tcBorders>
            <w:shd w:val="clear" w:color="auto" w:fill="auto"/>
            <w:noWrap/>
            <w:vAlign w:val="center"/>
          </w:tcPr>
          <w:p w14:paraId="6AFA5730"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70.723</w:t>
            </w:r>
          </w:p>
        </w:tc>
        <w:tc>
          <w:tcPr>
            <w:tcW w:w="1071" w:type="dxa"/>
            <w:tcBorders>
              <w:top w:val="single" w:sz="4" w:space="0" w:color="auto"/>
              <w:left w:val="single" w:sz="4" w:space="0" w:color="auto"/>
              <w:bottom w:val="single" w:sz="8" w:space="0" w:color="auto"/>
            </w:tcBorders>
            <w:shd w:val="clear" w:color="auto" w:fill="auto"/>
            <w:noWrap/>
            <w:vAlign w:val="center"/>
          </w:tcPr>
          <w:p w14:paraId="20EFCA0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174.411</w:t>
            </w:r>
          </w:p>
        </w:tc>
        <w:tc>
          <w:tcPr>
            <w:tcW w:w="1074" w:type="dxa"/>
            <w:tcBorders>
              <w:top w:val="single" w:sz="4" w:space="0" w:color="auto"/>
              <w:bottom w:val="single" w:sz="8" w:space="0" w:color="auto"/>
              <w:right w:val="single" w:sz="4" w:space="0" w:color="auto"/>
            </w:tcBorders>
            <w:shd w:val="clear" w:color="auto" w:fill="auto"/>
            <w:noWrap/>
            <w:vAlign w:val="center"/>
          </w:tcPr>
          <w:p w14:paraId="2A25E5C7"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68.074</w:t>
            </w:r>
          </w:p>
        </w:tc>
        <w:tc>
          <w:tcPr>
            <w:tcW w:w="1071" w:type="dxa"/>
            <w:tcBorders>
              <w:top w:val="single" w:sz="4" w:space="0" w:color="auto"/>
              <w:left w:val="single" w:sz="4" w:space="0" w:color="auto"/>
              <w:bottom w:val="single" w:sz="8" w:space="0" w:color="auto"/>
            </w:tcBorders>
            <w:shd w:val="clear" w:color="auto" w:fill="auto"/>
            <w:noWrap/>
            <w:vAlign w:val="center"/>
          </w:tcPr>
          <w:p w14:paraId="0AECD378"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315.113</w:t>
            </w:r>
          </w:p>
        </w:tc>
        <w:tc>
          <w:tcPr>
            <w:tcW w:w="1073" w:type="dxa"/>
            <w:tcBorders>
              <w:top w:val="single" w:sz="4" w:space="0" w:color="auto"/>
              <w:bottom w:val="single" w:sz="8" w:space="0" w:color="auto"/>
              <w:right w:val="single" w:sz="4" w:space="0" w:color="auto"/>
            </w:tcBorders>
            <w:shd w:val="clear" w:color="auto" w:fill="auto"/>
            <w:noWrap/>
            <w:vAlign w:val="center"/>
          </w:tcPr>
          <w:p w14:paraId="3A7963B5"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218.628</w:t>
            </w:r>
          </w:p>
        </w:tc>
        <w:tc>
          <w:tcPr>
            <w:tcW w:w="1071" w:type="dxa"/>
            <w:tcBorders>
              <w:top w:val="single" w:sz="4" w:space="0" w:color="auto"/>
              <w:left w:val="single" w:sz="4" w:space="0" w:color="auto"/>
              <w:bottom w:val="single" w:sz="8" w:space="0" w:color="auto"/>
            </w:tcBorders>
            <w:shd w:val="clear" w:color="auto" w:fill="auto"/>
            <w:noWrap/>
            <w:vAlign w:val="center"/>
          </w:tcPr>
          <w:p w14:paraId="5DF2EAAC"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1259.108</w:t>
            </w:r>
          </w:p>
        </w:tc>
        <w:tc>
          <w:tcPr>
            <w:tcW w:w="1074" w:type="dxa"/>
            <w:tcBorders>
              <w:top w:val="single" w:sz="4" w:space="0" w:color="auto"/>
              <w:bottom w:val="single" w:sz="8" w:space="0" w:color="auto"/>
              <w:right w:val="nil"/>
            </w:tcBorders>
            <w:shd w:val="clear" w:color="auto" w:fill="auto"/>
            <w:noWrap/>
            <w:vAlign w:val="center"/>
          </w:tcPr>
          <w:p w14:paraId="4B21B31B" w14:textId="77777777" w:rsidR="00D31D73" w:rsidRPr="00CF571C" w:rsidRDefault="00D31D73" w:rsidP="00B636FD">
            <w:pPr>
              <w:jc w:val="cente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643.222</w:t>
            </w:r>
          </w:p>
        </w:tc>
      </w:tr>
    </w:tbl>
    <w:p w14:paraId="609DEE8C" w14:textId="77777777" w:rsidR="00D31D73" w:rsidRPr="00CF571C" w:rsidRDefault="00D31D73" w:rsidP="008249C1">
      <w:pPr>
        <w:jc w:val="both"/>
        <w:rPr>
          <w:rFonts w:ascii="Times New Roman" w:hAnsi="Times New Roman" w:cs="Times New Roman"/>
          <w:b/>
          <w:bCs/>
          <w:color w:val="000000" w:themeColor="text1"/>
        </w:rPr>
      </w:pPr>
    </w:p>
    <w:p w14:paraId="25D56CA5" w14:textId="77777777" w:rsidR="00D31D73" w:rsidRPr="00CF571C" w:rsidRDefault="004E46D7" w:rsidP="0075508C">
      <w:pPr>
        <w:pStyle w:val="1"/>
        <w:ind w:left="560"/>
        <w:rPr>
          <w:rFonts w:ascii="Times New Roman" w:hAnsi="Times New Roman" w:cs="Times New Roman"/>
          <w:color w:val="000000" w:themeColor="text1"/>
          <w:szCs w:val="28"/>
        </w:rPr>
      </w:pPr>
      <w:r w:rsidRPr="00CF571C">
        <w:rPr>
          <w:rFonts w:ascii="Times New Roman" w:hAnsi="Times New Roman" w:cs="Times New Roman" w:hint="eastAsia"/>
          <w:color w:val="000000" w:themeColor="text1"/>
          <w:szCs w:val="28"/>
        </w:rPr>
        <w:t>五、</w:t>
      </w:r>
      <w:r w:rsidR="00D31D73" w:rsidRPr="00CF571C">
        <w:rPr>
          <w:rFonts w:ascii="Times New Roman" w:hAnsi="Times New Roman" w:cs="Times New Roman" w:hint="eastAsia"/>
          <w:color w:val="000000" w:themeColor="text1"/>
          <w:szCs w:val="28"/>
        </w:rPr>
        <w:t>实证结果分析</w:t>
      </w:r>
    </w:p>
    <w:p w14:paraId="07B5AC1E" w14:textId="77777777" w:rsidR="00D31D73" w:rsidRPr="00CF571C" w:rsidRDefault="00D31D73"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（一）城市间预算支出结构差异的纵向和横向来源</w:t>
      </w:r>
    </w:p>
    <w:p w14:paraId="5F98BAE3" w14:textId="77777777" w:rsidR="00D31D73" w:rsidRPr="00CF571C" w:rsidRDefault="00D31D73" w:rsidP="0075508C">
      <w:pPr>
        <w:widowControl w:val="0"/>
        <w:adjustRightInd w:val="0"/>
        <w:snapToGrid w:val="0"/>
        <w:ind w:firstLineChars="200" w:firstLine="420"/>
        <w:jc w:val="both"/>
        <w:rPr>
          <w:bCs/>
          <w:color w:val="000000" w:themeColor="text1"/>
          <w:sz w:val="21"/>
          <w:szCs w:val="21"/>
        </w:rPr>
      </w:pPr>
      <w:bookmarkStart w:id="34" w:name="OLE_LINK59"/>
      <w:bookmarkStart w:id="35" w:name="OLE_LINK60"/>
      <w:r w:rsidRPr="00CF571C">
        <w:rPr>
          <w:rFonts w:ascii="Times New Roman" w:hAnsi="Times New Roman" w:cs="Times New Roman" w:hint="eastAsia"/>
          <w:bCs/>
          <w:color w:val="000000" w:themeColor="text1"/>
          <w:kern w:val="2"/>
          <w:sz w:val="21"/>
          <w:szCs w:val="18"/>
        </w:rPr>
        <w:t>本文通过回归检验了跨省城市和毗邻城市的预算支出差异特征。由表</w:t>
      </w:r>
      <w:r w:rsidR="003F73D6" w:rsidRPr="00CF571C">
        <w:rPr>
          <w:rFonts w:ascii="Times New Roman" w:hAnsi="Times New Roman" w:cs="Times New Roman"/>
          <w:bCs/>
          <w:color w:val="000000" w:themeColor="text1"/>
          <w:kern w:val="2"/>
          <w:sz w:val="21"/>
          <w:szCs w:val="18"/>
        </w:rPr>
        <w:t>4</w:t>
      </w:r>
      <w:r w:rsidRPr="00CF571C">
        <w:rPr>
          <w:rFonts w:ascii="Times New Roman" w:hAnsi="Times New Roman" w:cs="Times New Roman" w:hint="eastAsia"/>
          <w:bCs/>
          <w:color w:val="000000" w:themeColor="text1"/>
          <w:kern w:val="2"/>
          <w:sz w:val="21"/>
          <w:szCs w:val="18"/>
        </w:rPr>
        <w:t>可知，异省“城市对”具有更大的教育、科技、医疗卫生和社会保障支出比重差异。这与图</w:t>
      </w:r>
      <w:r w:rsidRPr="00CF571C">
        <w:rPr>
          <w:rFonts w:ascii="Times New Roman" w:hAnsi="Times New Roman" w:cs="Times New Roman"/>
          <w:bCs/>
          <w:color w:val="000000" w:themeColor="text1"/>
          <w:kern w:val="2"/>
          <w:sz w:val="21"/>
          <w:szCs w:val="18"/>
        </w:rPr>
        <w:t>2</w:t>
      </w:r>
      <w:r w:rsidRPr="00CF571C">
        <w:rPr>
          <w:rFonts w:ascii="Times New Roman" w:hAnsi="Times New Roman" w:cs="Times New Roman" w:hint="eastAsia"/>
          <w:bCs/>
          <w:color w:val="000000" w:themeColor="text1"/>
          <w:kern w:val="2"/>
          <w:sz w:val="21"/>
          <w:szCs w:val="18"/>
        </w:rPr>
        <w:t>的统计情况相一致，不论哪一种支出类型，省内城市的预算支出差异较小，而跨省城市的预算支出差异较大。类似地，由表</w:t>
      </w:r>
      <w:r w:rsidR="003F73D6" w:rsidRPr="00CF571C">
        <w:rPr>
          <w:rFonts w:ascii="Times New Roman" w:hAnsi="Times New Roman" w:cs="Times New Roman"/>
          <w:bCs/>
          <w:color w:val="000000" w:themeColor="text1"/>
          <w:kern w:val="2"/>
          <w:sz w:val="21"/>
          <w:szCs w:val="18"/>
        </w:rPr>
        <w:t>5</w:t>
      </w:r>
      <w:r w:rsidRPr="00CF571C">
        <w:rPr>
          <w:rFonts w:ascii="Times New Roman" w:hAnsi="Times New Roman" w:cs="Times New Roman" w:hint="eastAsia"/>
          <w:bCs/>
          <w:color w:val="000000" w:themeColor="text1"/>
          <w:kern w:val="2"/>
          <w:sz w:val="21"/>
          <w:szCs w:val="18"/>
        </w:rPr>
        <w:t>可知，毗邻“城市对”具有更小的教育、科技、医疗卫生和社会保障支出比重差异。这与图</w:t>
      </w:r>
      <w:r w:rsidRPr="00CF571C">
        <w:rPr>
          <w:rFonts w:ascii="Times New Roman" w:hAnsi="Times New Roman" w:cs="Times New Roman"/>
          <w:bCs/>
          <w:color w:val="000000" w:themeColor="text1"/>
          <w:kern w:val="2"/>
          <w:sz w:val="21"/>
          <w:szCs w:val="18"/>
        </w:rPr>
        <w:t>3</w:t>
      </w:r>
      <w:r w:rsidRPr="00CF571C">
        <w:rPr>
          <w:rFonts w:ascii="Times New Roman" w:hAnsi="Times New Roman" w:cs="Times New Roman" w:hint="eastAsia"/>
          <w:bCs/>
          <w:color w:val="000000" w:themeColor="text1"/>
          <w:kern w:val="2"/>
          <w:sz w:val="21"/>
          <w:szCs w:val="18"/>
        </w:rPr>
        <w:t>的统计情况相一致，不论哪一种支出类型，毗邻城市的</w:t>
      </w:r>
      <w:r w:rsidRPr="00CF571C">
        <w:rPr>
          <w:rFonts w:hint="eastAsia"/>
          <w:bCs/>
          <w:color w:val="000000" w:themeColor="text1"/>
          <w:sz w:val="21"/>
          <w:szCs w:val="21"/>
        </w:rPr>
        <w:t>预算支出差异较小，而不毗邻城市的预算支出差异较大。</w:t>
      </w:r>
      <w:bookmarkEnd w:id="34"/>
      <w:bookmarkEnd w:id="35"/>
    </w:p>
    <w:p w14:paraId="014674F4" w14:textId="77777777" w:rsidR="00EC73DA" w:rsidRPr="00CF571C" w:rsidRDefault="00EC73DA" w:rsidP="006130E6">
      <w:pPr>
        <w:widowControl w:val="0"/>
        <w:adjustRightInd w:val="0"/>
        <w:snapToGrid w:val="0"/>
        <w:spacing w:beforeLines="50" w:before="156" w:afterLines="50" w:after="156"/>
        <w:ind w:firstLineChars="200" w:firstLine="420"/>
        <w:jc w:val="both"/>
        <w:rPr>
          <w:bCs/>
          <w:color w:val="000000" w:themeColor="text1"/>
          <w:sz w:val="21"/>
          <w:szCs w:val="21"/>
        </w:rPr>
      </w:pPr>
    </w:p>
    <w:p w14:paraId="070169FE"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4</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预算支出结构纵向差异</w:t>
      </w:r>
    </w:p>
    <w:tbl>
      <w:tblPr>
        <w:tblW w:w="8952" w:type="dxa"/>
        <w:jc w:val="center"/>
        <w:tblLook w:val="04A0" w:firstRow="1" w:lastRow="0" w:firstColumn="1" w:lastColumn="0" w:noHBand="0" w:noVBand="1"/>
      </w:tblPr>
      <w:tblGrid>
        <w:gridCol w:w="1912"/>
        <w:gridCol w:w="1490"/>
        <w:gridCol w:w="1560"/>
        <w:gridCol w:w="1984"/>
        <w:gridCol w:w="2006"/>
      </w:tblGrid>
      <w:tr w:rsidR="00CF571C" w:rsidRPr="00CF571C" w14:paraId="3BF65214" w14:textId="77777777" w:rsidTr="007E197E">
        <w:trPr>
          <w:trHeight w:val="191"/>
          <w:jc w:val="center"/>
        </w:trPr>
        <w:tc>
          <w:tcPr>
            <w:tcW w:w="1912" w:type="dxa"/>
            <w:tcBorders>
              <w:top w:val="single" w:sz="8" w:space="0" w:color="auto"/>
              <w:left w:val="nil"/>
              <w:right w:val="nil"/>
            </w:tcBorders>
            <w:shd w:val="clear" w:color="auto" w:fill="auto"/>
            <w:noWrap/>
            <w:vAlign w:val="center"/>
          </w:tcPr>
          <w:p w14:paraId="5C4BF556"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single" w:sz="8" w:space="0" w:color="auto"/>
              <w:left w:val="nil"/>
              <w:right w:val="nil"/>
            </w:tcBorders>
            <w:shd w:val="clear" w:color="auto" w:fill="auto"/>
            <w:noWrap/>
            <w:vAlign w:val="center"/>
          </w:tcPr>
          <w:p w14:paraId="690FD53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1</w:t>
            </w:r>
            <w:r w:rsidRPr="00CF571C">
              <w:rPr>
                <w:rFonts w:ascii="Times New Roman" w:hAnsi="Times New Roman" w:cs="Times New Roman"/>
                <w:color w:val="000000" w:themeColor="text1"/>
                <w:sz w:val="21"/>
                <w:szCs w:val="21"/>
              </w:rPr>
              <w:t>）</w:t>
            </w:r>
          </w:p>
        </w:tc>
        <w:tc>
          <w:tcPr>
            <w:tcW w:w="1560" w:type="dxa"/>
            <w:tcBorders>
              <w:top w:val="single" w:sz="8" w:space="0" w:color="auto"/>
              <w:left w:val="nil"/>
              <w:right w:val="nil"/>
            </w:tcBorders>
            <w:shd w:val="clear" w:color="auto" w:fill="auto"/>
            <w:noWrap/>
            <w:vAlign w:val="center"/>
          </w:tcPr>
          <w:p w14:paraId="1F72C55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2</w:t>
            </w:r>
            <w:r w:rsidRPr="00CF571C">
              <w:rPr>
                <w:rFonts w:ascii="Times New Roman" w:hAnsi="Times New Roman" w:cs="Times New Roman"/>
                <w:color w:val="000000" w:themeColor="text1"/>
                <w:sz w:val="21"/>
                <w:szCs w:val="21"/>
              </w:rPr>
              <w:t>）</w:t>
            </w:r>
          </w:p>
        </w:tc>
        <w:tc>
          <w:tcPr>
            <w:tcW w:w="1984" w:type="dxa"/>
            <w:tcBorders>
              <w:top w:val="single" w:sz="8" w:space="0" w:color="auto"/>
              <w:left w:val="nil"/>
              <w:right w:val="nil"/>
            </w:tcBorders>
            <w:shd w:val="clear" w:color="auto" w:fill="auto"/>
            <w:noWrap/>
            <w:vAlign w:val="center"/>
          </w:tcPr>
          <w:p w14:paraId="110A77B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3</w:t>
            </w:r>
            <w:r w:rsidRPr="00CF571C">
              <w:rPr>
                <w:rFonts w:ascii="Times New Roman" w:hAnsi="Times New Roman" w:cs="Times New Roman"/>
                <w:color w:val="000000" w:themeColor="text1"/>
                <w:sz w:val="21"/>
                <w:szCs w:val="21"/>
              </w:rPr>
              <w:t>）</w:t>
            </w:r>
          </w:p>
        </w:tc>
        <w:tc>
          <w:tcPr>
            <w:tcW w:w="2006" w:type="dxa"/>
            <w:tcBorders>
              <w:top w:val="single" w:sz="8" w:space="0" w:color="auto"/>
              <w:left w:val="nil"/>
              <w:right w:val="nil"/>
            </w:tcBorders>
            <w:shd w:val="clear" w:color="auto" w:fill="auto"/>
            <w:noWrap/>
            <w:vAlign w:val="center"/>
          </w:tcPr>
          <w:p w14:paraId="599ECB9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4</w:t>
            </w:r>
            <w:r w:rsidRPr="00CF571C">
              <w:rPr>
                <w:rFonts w:ascii="Times New Roman" w:hAnsi="Times New Roman" w:cs="Times New Roman"/>
                <w:color w:val="000000" w:themeColor="text1"/>
                <w:sz w:val="21"/>
                <w:szCs w:val="21"/>
              </w:rPr>
              <w:t>）</w:t>
            </w:r>
          </w:p>
        </w:tc>
      </w:tr>
      <w:tr w:rsidR="00CF571C" w:rsidRPr="00CF571C" w14:paraId="33BD5CD0" w14:textId="77777777" w:rsidTr="008576B7">
        <w:trPr>
          <w:trHeight w:val="191"/>
          <w:jc w:val="center"/>
        </w:trPr>
        <w:tc>
          <w:tcPr>
            <w:tcW w:w="1912" w:type="dxa"/>
            <w:tcBorders>
              <w:left w:val="nil"/>
              <w:bottom w:val="single" w:sz="4" w:space="0" w:color="auto"/>
              <w:right w:val="nil"/>
            </w:tcBorders>
            <w:shd w:val="clear" w:color="auto" w:fill="auto"/>
            <w:noWrap/>
            <w:vAlign w:val="center"/>
            <w:hideMark/>
          </w:tcPr>
          <w:p w14:paraId="73B78F65"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left w:val="nil"/>
              <w:bottom w:val="single" w:sz="4" w:space="0" w:color="auto"/>
              <w:right w:val="nil"/>
            </w:tcBorders>
            <w:shd w:val="clear" w:color="auto" w:fill="auto"/>
            <w:noWrap/>
            <w:vAlign w:val="center"/>
            <w:hideMark/>
          </w:tcPr>
          <w:p w14:paraId="6405167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1560" w:type="dxa"/>
            <w:tcBorders>
              <w:left w:val="nil"/>
              <w:bottom w:val="single" w:sz="4" w:space="0" w:color="auto"/>
              <w:right w:val="nil"/>
            </w:tcBorders>
            <w:shd w:val="clear" w:color="auto" w:fill="auto"/>
            <w:noWrap/>
            <w:vAlign w:val="center"/>
            <w:hideMark/>
          </w:tcPr>
          <w:p w14:paraId="323CC2E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984" w:type="dxa"/>
            <w:tcBorders>
              <w:left w:val="nil"/>
              <w:bottom w:val="single" w:sz="4" w:space="0" w:color="auto"/>
              <w:right w:val="nil"/>
            </w:tcBorders>
            <w:shd w:val="clear" w:color="auto" w:fill="auto"/>
            <w:noWrap/>
            <w:vAlign w:val="center"/>
            <w:hideMark/>
          </w:tcPr>
          <w:p w14:paraId="600DFDA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2006" w:type="dxa"/>
            <w:tcBorders>
              <w:left w:val="nil"/>
              <w:bottom w:val="single" w:sz="4" w:space="0" w:color="auto"/>
              <w:right w:val="nil"/>
            </w:tcBorders>
            <w:shd w:val="clear" w:color="auto" w:fill="auto"/>
            <w:noWrap/>
            <w:vAlign w:val="center"/>
            <w:hideMark/>
          </w:tcPr>
          <w:p w14:paraId="13C97C9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056135B9" w14:textId="77777777" w:rsidTr="008576B7">
        <w:trPr>
          <w:trHeight w:val="205"/>
          <w:jc w:val="center"/>
        </w:trPr>
        <w:tc>
          <w:tcPr>
            <w:tcW w:w="1912" w:type="dxa"/>
            <w:tcBorders>
              <w:top w:val="single" w:sz="4" w:space="0" w:color="auto"/>
              <w:left w:val="nil"/>
              <w:bottom w:val="nil"/>
              <w:right w:val="nil"/>
            </w:tcBorders>
            <w:shd w:val="clear" w:color="auto" w:fill="auto"/>
            <w:noWrap/>
            <w:vAlign w:val="center"/>
            <w:hideMark/>
          </w:tcPr>
          <w:p w14:paraId="029E54A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w:t>
            </w:r>
          </w:p>
        </w:tc>
        <w:tc>
          <w:tcPr>
            <w:tcW w:w="1490" w:type="dxa"/>
            <w:tcBorders>
              <w:top w:val="single" w:sz="4" w:space="0" w:color="auto"/>
              <w:left w:val="nil"/>
              <w:bottom w:val="nil"/>
              <w:right w:val="nil"/>
            </w:tcBorders>
            <w:shd w:val="clear" w:color="auto" w:fill="auto"/>
            <w:noWrap/>
            <w:vAlign w:val="center"/>
            <w:hideMark/>
          </w:tcPr>
          <w:p w14:paraId="0F217FC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0.015***</w:t>
            </w:r>
          </w:p>
        </w:tc>
        <w:tc>
          <w:tcPr>
            <w:tcW w:w="1560" w:type="dxa"/>
            <w:tcBorders>
              <w:top w:val="single" w:sz="4" w:space="0" w:color="auto"/>
              <w:left w:val="nil"/>
              <w:bottom w:val="nil"/>
              <w:right w:val="nil"/>
            </w:tcBorders>
            <w:shd w:val="clear" w:color="auto" w:fill="auto"/>
            <w:noWrap/>
            <w:vAlign w:val="center"/>
            <w:hideMark/>
          </w:tcPr>
          <w:p w14:paraId="132ECBB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w:t>
            </w:r>
          </w:p>
        </w:tc>
        <w:tc>
          <w:tcPr>
            <w:tcW w:w="1984" w:type="dxa"/>
            <w:tcBorders>
              <w:top w:val="single" w:sz="4" w:space="0" w:color="auto"/>
              <w:left w:val="nil"/>
              <w:bottom w:val="nil"/>
              <w:right w:val="nil"/>
            </w:tcBorders>
            <w:shd w:val="clear" w:color="auto" w:fill="auto"/>
            <w:noWrap/>
            <w:vAlign w:val="center"/>
            <w:hideMark/>
          </w:tcPr>
          <w:p w14:paraId="054AB3C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0.002***</w:t>
            </w:r>
          </w:p>
        </w:tc>
        <w:tc>
          <w:tcPr>
            <w:tcW w:w="2006" w:type="dxa"/>
            <w:tcBorders>
              <w:top w:val="single" w:sz="4" w:space="0" w:color="auto"/>
              <w:left w:val="nil"/>
              <w:bottom w:val="nil"/>
              <w:right w:val="nil"/>
            </w:tcBorders>
            <w:shd w:val="clear" w:color="auto" w:fill="auto"/>
            <w:noWrap/>
            <w:vAlign w:val="center"/>
            <w:hideMark/>
          </w:tcPr>
          <w:p w14:paraId="1DDEBF6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w:t>
            </w:r>
          </w:p>
        </w:tc>
      </w:tr>
      <w:tr w:rsidR="00CF571C" w:rsidRPr="00CF571C" w14:paraId="0DB3164A"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7D56BE3D"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03CD27A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(41.71)</w:t>
            </w:r>
          </w:p>
        </w:tc>
        <w:tc>
          <w:tcPr>
            <w:tcW w:w="1560" w:type="dxa"/>
            <w:tcBorders>
              <w:top w:val="nil"/>
              <w:left w:val="nil"/>
              <w:bottom w:val="nil"/>
              <w:right w:val="nil"/>
            </w:tcBorders>
            <w:shd w:val="clear" w:color="auto" w:fill="auto"/>
            <w:noWrap/>
            <w:vAlign w:val="center"/>
            <w:hideMark/>
          </w:tcPr>
          <w:p w14:paraId="7077882F"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(40.94)</w:t>
            </w:r>
          </w:p>
        </w:tc>
        <w:tc>
          <w:tcPr>
            <w:tcW w:w="1984" w:type="dxa"/>
            <w:tcBorders>
              <w:top w:val="nil"/>
              <w:left w:val="nil"/>
              <w:bottom w:val="nil"/>
              <w:right w:val="nil"/>
            </w:tcBorders>
            <w:shd w:val="clear" w:color="auto" w:fill="auto"/>
            <w:noWrap/>
            <w:vAlign w:val="center"/>
            <w:hideMark/>
          </w:tcPr>
          <w:p w14:paraId="34B074B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(12.40)</w:t>
            </w:r>
          </w:p>
        </w:tc>
        <w:tc>
          <w:tcPr>
            <w:tcW w:w="2006" w:type="dxa"/>
            <w:tcBorders>
              <w:top w:val="nil"/>
              <w:left w:val="nil"/>
              <w:bottom w:val="nil"/>
              <w:right w:val="nil"/>
            </w:tcBorders>
            <w:shd w:val="clear" w:color="auto" w:fill="auto"/>
            <w:noWrap/>
            <w:vAlign w:val="center"/>
            <w:hideMark/>
          </w:tcPr>
          <w:p w14:paraId="7079DA2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(11.54)</w:t>
            </w:r>
          </w:p>
        </w:tc>
      </w:tr>
      <w:tr w:rsidR="00CF571C" w:rsidRPr="00CF571C" w14:paraId="14C719E6"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2A6ABBC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财政分权差异</w:t>
            </w:r>
          </w:p>
        </w:tc>
        <w:tc>
          <w:tcPr>
            <w:tcW w:w="1490" w:type="dxa"/>
            <w:tcBorders>
              <w:top w:val="nil"/>
              <w:left w:val="nil"/>
              <w:bottom w:val="nil"/>
              <w:right w:val="nil"/>
            </w:tcBorders>
            <w:shd w:val="clear" w:color="auto" w:fill="auto"/>
            <w:noWrap/>
            <w:vAlign w:val="center"/>
            <w:hideMark/>
          </w:tcPr>
          <w:p w14:paraId="5BB258D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0.880***</w:t>
            </w:r>
          </w:p>
        </w:tc>
        <w:tc>
          <w:tcPr>
            <w:tcW w:w="1560" w:type="dxa"/>
            <w:tcBorders>
              <w:top w:val="nil"/>
              <w:left w:val="nil"/>
              <w:bottom w:val="nil"/>
              <w:right w:val="nil"/>
            </w:tcBorders>
            <w:shd w:val="clear" w:color="auto" w:fill="auto"/>
            <w:noWrap/>
            <w:vAlign w:val="center"/>
            <w:hideMark/>
          </w:tcPr>
          <w:p w14:paraId="64064B7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-0.062***</w:t>
            </w:r>
          </w:p>
        </w:tc>
        <w:tc>
          <w:tcPr>
            <w:tcW w:w="1984" w:type="dxa"/>
            <w:tcBorders>
              <w:top w:val="nil"/>
              <w:left w:val="nil"/>
              <w:bottom w:val="nil"/>
              <w:right w:val="nil"/>
            </w:tcBorders>
            <w:shd w:val="clear" w:color="auto" w:fill="auto"/>
            <w:noWrap/>
            <w:vAlign w:val="center"/>
            <w:hideMark/>
          </w:tcPr>
          <w:p w14:paraId="608A635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0.123***</w:t>
            </w:r>
          </w:p>
        </w:tc>
        <w:tc>
          <w:tcPr>
            <w:tcW w:w="2006" w:type="dxa"/>
            <w:tcBorders>
              <w:top w:val="nil"/>
              <w:left w:val="nil"/>
              <w:bottom w:val="nil"/>
              <w:right w:val="nil"/>
            </w:tcBorders>
            <w:shd w:val="clear" w:color="auto" w:fill="auto"/>
            <w:noWrap/>
            <w:vAlign w:val="center"/>
            <w:hideMark/>
          </w:tcPr>
          <w:p w14:paraId="38118FD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-0.056***</w:t>
            </w:r>
          </w:p>
        </w:tc>
      </w:tr>
      <w:tr w:rsidR="00CF571C" w:rsidRPr="00CF571C" w14:paraId="561A003D"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35393F48"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703D85D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(146.22)</w:t>
            </w:r>
          </w:p>
        </w:tc>
        <w:tc>
          <w:tcPr>
            <w:tcW w:w="1560" w:type="dxa"/>
            <w:tcBorders>
              <w:top w:val="nil"/>
              <w:left w:val="nil"/>
              <w:bottom w:val="nil"/>
              <w:right w:val="nil"/>
            </w:tcBorders>
            <w:shd w:val="clear" w:color="auto" w:fill="auto"/>
            <w:noWrap/>
            <w:vAlign w:val="center"/>
            <w:hideMark/>
          </w:tcPr>
          <w:p w14:paraId="0345984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(-48.02)</w:t>
            </w:r>
          </w:p>
        </w:tc>
        <w:tc>
          <w:tcPr>
            <w:tcW w:w="1984" w:type="dxa"/>
            <w:tcBorders>
              <w:top w:val="nil"/>
              <w:left w:val="nil"/>
              <w:bottom w:val="nil"/>
              <w:right w:val="nil"/>
            </w:tcBorders>
            <w:shd w:val="clear" w:color="auto" w:fill="auto"/>
            <w:noWrap/>
            <w:vAlign w:val="center"/>
            <w:hideMark/>
          </w:tcPr>
          <w:p w14:paraId="1FEE99C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(50.96)</w:t>
            </w:r>
          </w:p>
        </w:tc>
        <w:tc>
          <w:tcPr>
            <w:tcW w:w="2006" w:type="dxa"/>
            <w:tcBorders>
              <w:top w:val="nil"/>
              <w:left w:val="nil"/>
              <w:bottom w:val="nil"/>
              <w:right w:val="nil"/>
            </w:tcBorders>
            <w:shd w:val="clear" w:color="auto" w:fill="auto"/>
            <w:noWrap/>
            <w:vAlign w:val="center"/>
            <w:hideMark/>
          </w:tcPr>
          <w:p w14:paraId="1F8F436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(-13.10)</w:t>
            </w:r>
          </w:p>
        </w:tc>
      </w:tr>
      <w:tr w:rsidR="00CF571C" w:rsidRPr="00CF571C" w14:paraId="23A8D48D"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3E880FF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人口密度差异</w:t>
            </w:r>
          </w:p>
        </w:tc>
        <w:tc>
          <w:tcPr>
            <w:tcW w:w="1490" w:type="dxa"/>
            <w:tcBorders>
              <w:top w:val="nil"/>
              <w:left w:val="nil"/>
              <w:bottom w:val="nil"/>
              <w:right w:val="nil"/>
            </w:tcBorders>
            <w:shd w:val="clear" w:color="auto" w:fill="auto"/>
            <w:noWrap/>
            <w:vAlign w:val="center"/>
            <w:hideMark/>
          </w:tcPr>
          <w:p w14:paraId="04D9F8A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-0.094***</w:t>
            </w:r>
          </w:p>
        </w:tc>
        <w:tc>
          <w:tcPr>
            <w:tcW w:w="1560" w:type="dxa"/>
            <w:tcBorders>
              <w:top w:val="nil"/>
              <w:left w:val="nil"/>
              <w:bottom w:val="nil"/>
              <w:right w:val="nil"/>
            </w:tcBorders>
            <w:shd w:val="clear" w:color="auto" w:fill="auto"/>
            <w:noWrap/>
            <w:vAlign w:val="center"/>
            <w:hideMark/>
          </w:tcPr>
          <w:p w14:paraId="392440A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0.014***</w:t>
            </w:r>
          </w:p>
        </w:tc>
        <w:tc>
          <w:tcPr>
            <w:tcW w:w="1984" w:type="dxa"/>
            <w:tcBorders>
              <w:top w:val="nil"/>
              <w:left w:val="nil"/>
              <w:bottom w:val="nil"/>
              <w:right w:val="nil"/>
            </w:tcBorders>
            <w:shd w:val="clear" w:color="auto" w:fill="auto"/>
            <w:noWrap/>
            <w:vAlign w:val="center"/>
            <w:hideMark/>
          </w:tcPr>
          <w:p w14:paraId="3ED0624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-0.007***</w:t>
            </w:r>
          </w:p>
        </w:tc>
        <w:tc>
          <w:tcPr>
            <w:tcW w:w="2006" w:type="dxa"/>
            <w:tcBorders>
              <w:top w:val="nil"/>
              <w:left w:val="nil"/>
              <w:bottom w:val="nil"/>
              <w:right w:val="nil"/>
            </w:tcBorders>
            <w:shd w:val="clear" w:color="auto" w:fill="auto"/>
            <w:noWrap/>
            <w:vAlign w:val="center"/>
            <w:hideMark/>
          </w:tcPr>
          <w:p w14:paraId="5B56954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0.010***</w:t>
            </w:r>
          </w:p>
        </w:tc>
      </w:tr>
      <w:tr w:rsidR="00CF571C" w:rsidRPr="00CF571C" w14:paraId="4CD4C592"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1EEEFB51"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512C20F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(-98.55)</w:t>
            </w:r>
          </w:p>
        </w:tc>
        <w:tc>
          <w:tcPr>
            <w:tcW w:w="1560" w:type="dxa"/>
            <w:tcBorders>
              <w:top w:val="nil"/>
              <w:left w:val="nil"/>
              <w:bottom w:val="nil"/>
              <w:right w:val="nil"/>
            </w:tcBorders>
            <w:shd w:val="clear" w:color="auto" w:fill="auto"/>
            <w:noWrap/>
            <w:vAlign w:val="center"/>
            <w:hideMark/>
          </w:tcPr>
          <w:p w14:paraId="24F8F1E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(67.35)</w:t>
            </w:r>
          </w:p>
        </w:tc>
        <w:tc>
          <w:tcPr>
            <w:tcW w:w="1984" w:type="dxa"/>
            <w:tcBorders>
              <w:top w:val="nil"/>
              <w:left w:val="nil"/>
              <w:bottom w:val="nil"/>
              <w:right w:val="nil"/>
            </w:tcBorders>
            <w:shd w:val="clear" w:color="auto" w:fill="auto"/>
            <w:noWrap/>
            <w:vAlign w:val="center"/>
            <w:hideMark/>
          </w:tcPr>
          <w:p w14:paraId="7D650CC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(-17.32)</w:t>
            </w:r>
          </w:p>
        </w:tc>
        <w:tc>
          <w:tcPr>
            <w:tcW w:w="2006" w:type="dxa"/>
            <w:tcBorders>
              <w:top w:val="nil"/>
              <w:left w:val="nil"/>
              <w:bottom w:val="nil"/>
              <w:right w:val="nil"/>
            </w:tcBorders>
            <w:shd w:val="clear" w:color="auto" w:fill="auto"/>
            <w:noWrap/>
            <w:vAlign w:val="center"/>
            <w:hideMark/>
          </w:tcPr>
          <w:p w14:paraId="28A7EA5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(15.32)</w:t>
            </w:r>
          </w:p>
        </w:tc>
      </w:tr>
      <w:tr w:rsidR="00CF571C" w:rsidRPr="00CF571C" w14:paraId="57A90B2B"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19AC48F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地方财力差异</w:t>
            </w:r>
          </w:p>
        </w:tc>
        <w:tc>
          <w:tcPr>
            <w:tcW w:w="1490" w:type="dxa"/>
            <w:tcBorders>
              <w:top w:val="nil"/>
              <w:left w:val="nil"/>
              <w:bottom w:val="nil"/>
              <w:right w:val="nil"/>
            </w:tcBorders>
            <w:shd w:val="clear" w:color="auto" w:fill="auto"/>
            <w:noWrap/>
            <w:vAlign w:val="center"/>
            <w:hideMark/>
          </w:tcPr>
          <w:p w14:paraId="0177AD7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560" w:type="dxa"/>
            <w:tcBorders>
              <w:top w:val="nil"/>
              <w:left w:val="nil"/>
              <w:bottom w:val="nil"/>
              <w:right w:val="nil"/>
            </w:tcBorders>
            <w:shd w:val="clear" w:color="auto" w:fill="auto"/>
            <w:noWrap/>
            <w:vAlign w:val="center"/>
            <w:hideMark/>
          </w:tcPr>
          <w:p w14:paraId="67461BC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984" w:type="dxa"/>
            <w:tcBorders>
              <w:top w:val="nil"/>
              <w:left w:val="nil"/>
              <w:bottom w:val="nil"/>
              <w:right w:val="nil"/>
            </w:tcBorders>
            <w:shd w:val="clear" w:color="auto" w:fill="auto"/>
            <w:noWrap/>
            <w:vAlign w:val="center"/>
            <w:hideMark/>
          </w:tcPr>
          <w:p w14:paraId="07A5471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6AA5047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r>
      <w:tr w:rsidR="00CF571C" w:rsidRPr="00CF571C" w14:paraId="5954A3BB"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0B1E4478"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23356CE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(17.20)</w:t>
            </w:r>
          </w:p>
        </w:tc>
        <w:tc>
          <w:tcPr>
            <w:tcW w:w="1560" w:type="dxa"/>
            <w:tcBorders>
              <w:top w:val="nil"/>
              <w:left w:val="nil"/>
              <w:bottom w:val="nil"/>
              <w:right w:val="nil"/>
            </w:tcBorders>
            <w:shd w:val="clear" w:color="auto" w:fill="auto"/>
            <w:noWrap/>
            <w:vAlign w:val="center"/>
            <w:hideMark/>
          </w:tcPr>
          <w:p w14:paraId="539F0A4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(386.95)</w:t>
            </w:r>
          </w:p>
        </w:tc>
        <w:tc>
          <w:tcPr>
            <w:tcW w:w="1984" w:type="dxa"/>
            <w:tcBorders>
              <w:top w:val="nil"/>
              <w:left w:val="nil"/>
              <w:bottom w:val="nil"/>
              <w:right w:val="nil"/>
            </w:tcBorders>
            <w:shd w:val="clear" w:color="auto" w:fill="auto"/>
            <w:noWrap/>
            <w:vAlign w:val="center"/>
            <w:hideMark/>
          </w:tcPr>
          <w:p w14:paraId="1759CFB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(79.94)</w:t>
            </w:r>
          </w:p>
        </w:tc>
        <w:tc>
          <w:tcPr>
            <w:tcW w:w="2006" w:type="dxa"/>
            <w:tcBorders>
              <w:top w:val="nil"/>
              <w:left w:val="nil"/>
              <w:bottom w:val="nil"/>
              <w:right w:val="nil"/>
            </w:tcBorders>
            <w:shd w:val="clear" w:color="auto" w:fill="auto"/>
            <w:noWrap/>
            <w:vAlign w:val="center"/>
            <w:hideMark/>
          </w:tcPr>
          <w:p w14:paraId="6B81458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(59.95)</w:t>
            </w:r>
          </w:p>
        </w:tc>
      </w:tr>
      <w:tr w:rsidR="00CF571C" w:rsidRPr="00CF571C" w14:paraId="4B5614D6"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1F1A219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职工平均工资差异</w:t>
            </w:r>
          </w:p>
        </w:tc>
        <w:tc>
          <w:tcPr>
            <w:tcW w:w="1490" w:type="dxa"/>
            <w:tcBorders>
              <w:top w:val="nil"/>
              <w:left w:val="nil"/>
              <w:bottom w:val="nil"/>
              <w:right w:val="nil"/>
            </w:tcBorders>
            <w:shd w:val="clear" w:color="auto" w:fill="auto"/>
            <w:noWrap/>
            <w:vAlign w:val="center"/>
            <w:hideMark/>
          </w:tcPr>
          <w:p w14:paraId="488668F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-0.002***</w:t>
            </w:r>
          </w:p>
        </w:tc>
        <w:tc>
          <w:tcPr>
            <w:tcW w:w="1560" w:type="dxa"/>
            <w:tcBorders>
              <w:top w:val="nil"/>
              <w:left w:val="nil"/>
              <w:bottom w:val="nil"/>
              <w:right w:val="nil"/>
            </w:tcBorders>
            <w:shd w:val="clear" w:color="auto" w:fill="auto"/>
            <w:noWrap/>
            <w:vAlign w:val="center"/>
            <w:hideMark/>
          </w:tcPr>
          <w:p w14:paraId="67762C9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0.001***</w:t>
            </w:r>
          </w:p>
        </w:tc>
        <w:tc>
          <w:tcPr>
            <w:tcW w:w="1984" w:type="dxa"/>
            <w:tcBorders>
              <w:top w:val="nil"/>
              <w:left w:val="nil"/>
              <w:bottom w:val="nil"/>
              <w:right w:val="nil"/>
            </w:tcBorders>
            <w:shd w:val="clear" w:color="auto" w:fill="auto"/>
            <w:noWrap/>
            <w:vAlign w:val="center"/>
            <w:hideMark/>
          </w:tcPr>
          <w:p w14:paraId="3B997AA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0A03B57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w:t>
            </w:r>
          </w:p>
        </w:tc>
      </w:tr>
      <w:tr w:rsidR="00CF571C" w:rsidRPr="00CF571C" w14:paraId="42D22DA8"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406A37D3"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45EC6A9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(-34.12)</w:t>
            </w:r>
          </w:p>
        </w:tc>
        <w:tc>
          <w:tcPr>
            <w:tcW w:w="1560" w:type="dxa"/>
            <w:tcBorders>
              <w:top w:val="nil"/>
              <w:left w:val="nil"/>
              <w:bottom w:val="nil"/>
              <w:right w:val="nil"/>
            </w:tcBorders>
            <w:shd w:val="clear" w:color="auto" w:fill="auto"/>
            <w:noWrap/>
            <w:vAlign w:val="center"/>
            <w:hideMark/>
          </w:tcPr>
          <w:p w14:paraId="19C169D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(86.91)</w:t>
            </w:r>
          </w:p>
        </w:tc>
        <w:tc>
          <w:tcPr>
            <w:tcW w:w="1984" w:type="dxa"/>
            <w:tcBorders>
              <w:top w:val="nil"/>
              <w:left w:val="nil"/>
              <w:bottom w:val="nil"/>
              <w:right w:val="nil"/>
            </w:tcBorders>
            <w:shd w:val="clear" w:color="auto" w:fill="auto"/>
            <w:noWrap/>
            <w:vAlign w:val="center"/>
            <w:hideMark/>
          </w:tcPr>
          <w:p w14:paraId="2C0607D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(8.57)</w:t>
            </w:r>
          </w:p>
        </w:tc>
        <w:tc>
          <w:tcPr>
            <w:tcW w:w="2006" w:type="dxa"/>
            <w:tcBorders>
              <w:top w:val="nil"/>
              <w:left w:val="nil"/>
              <w:bottom w:val="nil"/>
              <w:right w:val="nil"/>
            </w:tcBorders>
            <w:shd w:val="clear" w:color="auto" w:fill="auto"/>
            <w:noWrap/>
            <w:vAlign w:val="center"/>
            <w:hideMark/>
          </w:tcPr>
          <w:p w14:paraId="7E66A4E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(62.83)</w:t>
            </w:r>
          </w:p>
        </w:tc>
      </w:tr>
      <w:tr w:rsidR="00CF571C" w:rsidRPr="00CF571C" w14:paraId="6830E3DC"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142E4EC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第二产业比重差异</w:t>
            </w:r>
          </w:p>
        </w:tc>
        <w:tc>
          <w:tcPr>
            <w:tcW w:w="1490" w:type="dxa"/>
            <w:tcBorders>
              <w:top w:val="nil"/>
              <w:left w:val="nil"/>
              <w:bottom w:val="nil"/>
              <w:right w:val="nil"/>
            </w:tcBorders>
            <w:shd w:val="clear" w:color="auto" w:fill="auto"/>
            <w:noWrap/>
            <w:vAlign w:val="center"/>
            <w:hideMark/>
          </w:tcPr>
          <w:p w14:paraId="4F915D2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560" w:type="dxa"/>
            <w:tcBorders>
              <w:top w:val="nil"/>
              <w:left w:val="nil"/>
              <w:bottom w:val="nil"/>
              <w:right w:val="nil"/>
            </w:tcBorders>
            <w:shd w:val="clear" w:color="auto" w:fill="auto"/>
            <w:noWrap/>
            <w:vAlign w:val="center"/>
            <w:hideMark/>
          </w:tcPr>
          <w:p w14:paraId="16B026E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984" w:type="dxa"/>
            <w:tcBorders>
              <w:top w:val="nil"/>
              <w:left w:val="nil"/>
              <w:bottom w:val="nil"/>
              <w:right w:val="nil"/>
            </w:tcBorders>
            <w:shd w:val="clear" w:color="auto" w:fill="auto"/>
            <w:noWrap/>
            <w:vAlign w:val="center"/>
            <w:hideMark/>
          </w:tcPr>
          <w:p w14:paraId="7ED0E4B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2EE37CA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r>
      <w:tr w:rsidR="00CF571C" w:rsidRPr="00CF571C" w14:paraId="3E1B9F66"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36A251AE"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0C24432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(-19.28)</w:t>
            </w:r>
          </w:p>
        </w:tc>
        <w:tc>
          <w:tcPr>
            <w:tcW w:w="1560" w:type="dxa"/>
            <w:tcBorders>
              <w:top w:val="nil"/>
              <w:left w:val="nil"/>
              <w:bottom w:val="nil"/>
              <w:right w:val="nil"/>
            </w:tcBorders>
            <w:shd w:val="clear" w:color="auto" w:fill="auto"/>
            <w:noWrap/>
            <w:vAlign w:val="center"/>
            <w:hideMark/>
          </w:tcPr>
          <w:p w14:paraId="662FDDF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(-71.91)</w:t>
            </w:r>
          </w:p>
        </w:tc>
        <w:tc>
          <w:tcPr>
            <w:tcW w:w="1984" w:type="dxa"/>
            <w:tcBorders>
              <w:top w:val="nil"/>
              <w:left w:val="nil"/>
              <w:bottom w:val="nil"/>
              <w:right w:val="nil"/>
            </w:tcBorders>
            <w:shd w:val="clear" w:color="auto" w:fill="auto"/>
            <w:noWrap/>
            <w:vAlign w:val="center"/>
            <w:hideMark/>
          </w:tcPr>
          <w:p w14:paraId="5563478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(-58.55)</w:t>
            </w:r>
          </w:p>
        </w:tc>
        <w:tc>
          <w:tcPr>
            <w:tcW w:w="2006" w:type="dxa"/>
            <w:tcBorders>
              <w:top w:val="nil"/>
              <w:left w:val="nil"/>
              <w:bottom w:val="nil"/>
              <w:right w:val="nil"/>
            </w:tcBorders>
            <w:shd w:val="clear" w:color="auto" w:fill="auto"/>
            <w:noWrap/>
            <w:vAlign w:val="center"/>
            <w:hideMark/>
          </w:tcPr>
          <w:p w14:paraId="5CBC47C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(-18.92)</w:t>
            </w:r>
          </w:p>
        </w:tc>
      </w:tr>
      <w:tr w:rsidR="00CF571C" w:rsidRPr="00CF571C" w14:paraId="40610D3C"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44BEE5A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第一产业比重差异</w:t>
            </w:r>
          </w:p>
        </w:tc>
        <w:tc>
          <w:tcPr>
            <w:tcW w:w="1490" w:type="dxa"/>
            <w:tcBorders>
              <w:top w:val="nil"/>
              <w:left w:val="nil"/>
              <w:bottom w:val="nil"/>
              <w:right w:val="nil"/>
            </w:tcBorders>
            <w:shd w:val="clear" w:color="auto" w:fill="auto"/>
            <w:noWrap/>
            <w:vAlign w:val="center"/>
            <w:hideMark/>
          </w:tcPr>
          <w:p w14:paraId="6A7DB44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560" w:type="dxa"/>
            <w:tcBorders>
              <w:top w:val="nil"/>
              <w:left w:val="nil"/>
              <w:bottom w:val="nil"/>
              <w:right w:val="nil"/>
            </w:tcBorders>
            <w:shd w:val="clear" w:color="auto" w:fill="auto"/>
            <w:noWrap/>
            <w:vAlign w:val="center"/>
            <w:hideMark/>
          </w:tcPr>
          <w:p w14:paraId="7378E10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984" w:type="dxa"/>
            <w:tcBorders>
              <w:top w:val="nil"/>
              <w:left w:val="nil"/>
              <w:bottom w:val="nil"/>
              <w:right w:val="nil"/>
            </w:tcBorders>
            <w:shd w:val="clear" w:color="auto" w:fill="auto"/>
            <w:noWrap/>
            <w:vAlign w:val="center"/>
            <w:hideMark/>
          </w:tcPr>
          <w:p w14:paraId="7F5CB07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21EA9BA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r>
      <w:tr w:rsidR="00CF571C" w:rsidRPr="00CF571C" w14:paraId="72897592"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664594E8"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166E678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(7.66)</w:t>
            </w:r>
          </w:p>
        </w:tc>
        <w:tc>
          <w:tcPr>
            <w:tcW w:w="1560" w:type="dxa"/>
            <w:tcBorders>
              <w:top w:val="nil"/>
              <w:left w:val="nil"/>
              <w:bottom w:val="nil"/>
              <w:right w:val="nil"/>
            </w:tcBorders>
            <w:shd w:val="clear" w:color="auto" w:fill="auto"/>
            <w:noWrap/>
            <w:vAlign w:val="center"/>
            <w:hideMark/>
          </w:tcPr>
          <w:p w14:paraId="248607A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(58.94)</w:t>
            </w:r>
          </w:p>
        </w:tc>
        <w:tc>
          <w:tcPr>
            <w:tcW w:w="1984" w:type="dxa"/>
            <w:tcBorders>
              <w:top w:val="nil"/>
              <w:left w:val="nil"/>
              <w:bottom w:val="nil"/>
              <w:right w:val="nil"/>
            </w:tcBorders>
            <w:shd w:val="clear" w:color="auto" w:fill="auto"/>
            <w:noWrap/>
            <w:vAlign w:val="center"/>
            <w:hideMark/>
          </w:tcPr>
          <w:p w14:paraId="44DF425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(88.74)</w:t>
            </w:r>
          </w:p>
        </w:tc>
        <w:tc>
          <w:tcPr>
            <w:tcW w:w="2006" w:type="dxa"/>
            <w:tcBorders>
              <w:top w:val="nil"/>
              <w:left w:val="nil"/>
              <w:bottom w:val="nil"/>
              <w:right w:val="nil"/>
            </w:tcBorders>
            <w:shd w:val="clear" w:color="auto" w:fill="auto"/>
            <w:noWrap/>
            <w:vAlign w:val="center"/>
            <w:hideMark/>
          </w:tcPr>
          <w:p w14:paraId="4400ECC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(40.90)</w:t>
            </w:r>
          </w:p>
        </w:tc>
      </w:tr>
      <w:tr w:rsidR="00CF571C" w:rsidRPr="00CF571C" w14:paraId="5627ADBB"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1E7060F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地理距离</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1000km</w:t>
            </w:r>
            <w:r w:rsidRPr="00CF571C">
              <w:rPr>
                <w:rFonts w:ascii="Times New Roman" w:hAnsi="Times New Roman" w:cs="Times New Roman" w:hint="eastAsia"/>
                <w:color w:val="000000" w:themeColor="text1"/>
                <w:sz w:val="21"/>
                <w:szCs w:val="21"/>
              </w:rPr>
              <w:t>)</w:t>
            </w:r>
          </w:p>
        </w:tc>
        <w:tc>
          <w:tcPr>
            <w:tcW w:w="1490" w:type="dxa"/>
            <w:tcBorders>
              <w:top w:val="nil"/>
              <w:left w:val="nil"/>
              <w:bottom w:val="nil"/>
              <w:right w:val="nil"/>
            </w:tcBorders>
            <w:shd w:val="clear" w:color="auto" w:fill="auto"/>
            <w:noWrap/>
            <w:vAlign w:val="center"/>
            <w:hideMark/>
          </w:tcPr>
          <w:p w14:paraId="5844D88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-0.010***</w:t>
            </w:r>
          </w:p>
        </w:tc>
        <w:tc>
          <w:tcPr>
            <w:tcW w:w="1560" w:type="dxa"/>
            <w:tcBorders>
              <w:top w:val="nil"/>
              <w:left w:val="nil"/>
              <w:bottom w:val="nil"/>
              <w:right w:val="nil"/>
            </w:tcBorders>
            <w:shd w:val="clear" w:color="auto" w:fill="auto"/>
            <w:noWrap/>
            <w:vAlign w:val="center"/>
            <w:hideMark/>
          </w:tcPr>
          <w:p w14:paraId="64342D2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-0.009***</w:t>
            </w:r>
          </w:p>
        </w:tc>
        <w:tc>
          <w:tcPr>
            <w:tcW w:w="1984" w:type="dxa"/>
            <w:tcBorders>
              <w:top w:val="nil"/>
              <w:left w:val="nil"/>
              <w:bottom w:val="nil"/>
              <w:right w:val="nil"/>
            </w:tcBorders>
            <w:shd w:val="clear" w:color="auto" w:fill="auto"/>
            <w:noWrap/>
            <w:vAlign w:val="center"/>
            <w:hideMark/>
          </w:tcPr>
          <w:p w14:paraId="40B5172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0.031***</w:t>
            </w:r>
          </w:p>
        </w:tc>
        <w:tc>
          <w:tcPr>
            <w:tcW w:w="2006" w:type="dxa"/>
            <w:tcBorders>
              <w:top w:val="nil"/>
              <w:left w:val="nil"/>
              <w:bottom w:val="nil"/>
              <w:right w:val="nil"/>
            </w:tcBorders>
            <w:shd w:val="clear" w:color="auto" w:fill="auto"/>
            <w:noWrap/>
            <w:vAlign w:val="center"/>
            <w:hideMark/>
          </w:tcPr>
          <w:p w14:paraId="7E45C87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0.117***</w:t>
            </w:r>
          </w:p>
        </w:tc>
      </w:tr>
      <w:tr w:rsidR="00CF571C" w:rsidRPr="00CF571C" w14:paraId="26120ED7" w14:textId="77777777" w:rsidTr="008576B7">
        <w:trPr>
          <w:trHeight w:val="205"/>
          <w:jc w:val="center"/>
        </w:trPr>
        <w:tc>
          <w:tcPr>
            <w:tcW w:w="1912" w:type="dxa"/>
            <w:tcBorders>
              <w:top w:val="nil"/>
              <w:left w:val="nil"/>
              <w:bottom w:val="nil"/>
              <w:right w:val="nil"/>
            </w:tcBorders>
            <w:shd w:val="clear" w:color="auto" w:fill="auto"/>
            <w:noWrap/>
            <w:vAlign w:val="center"/>
            <w:hideMark/>
          </w:tcPr>
          <w:p w14:paraId="4B40C390" w14:textId="77777777" w:rsidR="00D31D73" w:rsidRPr="00CF571C" w:rsidRDefault="00D31D73" w:rsidP="008576B7">
            <w:pP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0E9B42F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(-9.02)</w:t>
            </w:r>
          </w:p>
        </w:tc>
        <w:tc>
          <w:tcPr>
            <w:tcW w:w="1560" w:type="dxa"/>
            <w:tcBorders>
              <w:top w:val="nil"/>
              <w:left w:val="nil"/>
              <w:bottom w:val="nil"/>
              <w:right w:val="nil"/>
            </w:tcBorders>
            <w:shd w:val="clear" w:color="auto" w:fill="auto"/>
            <w:noWrap/>
            <w:vAlign w:val="center"/>
            <w:hideMark/>
          </w:tcPr>
          <w:p w14:paraId="75655E9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(-36.62)</w:t>
            </w:r>
          </w:p>
        </w:tc>
        <w:tc>
          <w:tcPr>
            <w:tcW w:w="1984" w:type="dxa"/>
            <w:tcBorders>
              <w:top w:val="nil"/>
              <w:left w:val="nil"/>
              <w:bottom w:val="nil"/>
              <w:right w:val="nil"/>
            </w:tcBorders>
            <w:shd w:val="clear" w:color="auto" w:fill="auto"/>
            <w:noWrap/>
            <w:vAlign w:val="center"/>
            <w:hideMark/>
          </w:tcPr>
          <w:p w14:paraId="4CEAA4A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(61.20)</w:t>
            </w:r>
          </w:p>
        </w:tc>
        <w:tc>
          <w:tcPr>
            <w:tcW w:w="2006" w:type="dxa"/>
            <w:tcBorders>
              <w:top w:val="nil"/>
              <w:left w:val="nil"/>
              <w:bottom w:val="nil"/>
              <w:right w:val="nil"/>
            </w:tcBorders>
            <w:shd w:val="clear" w:color="auto" w:fill="auto"/>
            <w:noWrap/>
            <w:vAlign w:val="center"/>
            <w:hideMark/>
          </w:tcPr>
          <w:p w14:paraId="60BBF77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(134.91)</w:t>
            </w:r>
          </w:p>
        </w:tc>
      </w:tr>
      <w:tr w:rsidR="00CF571C" w:rsidRPr="00CF571C" w14:paraId="3C4D97A8" w14:textId="77777777" w:rsidTr="008576B7">
        <w:trPr>
          <w:trHeight w:val="205"/>
          <w:jc w:val="center"/>
        </w:trPr>
        <w:tc>
          <w:tcPr>
            <w:tcW w:w="1912" w:type="dxa"/>
            <w:tcBorders>
              <w:top w:val="nil"/>
              <w:left w:val="nil"/>
              <w:bottom w:val="nil"/>
              <w:right w:val="nil"/>
            </w:tcBorders>
            <w:shd w:val="clear" w:color="auto" w:fill="auto"/>
            <w:noWrap/>
            <w:vAlign w:val="center"/>
          </w:tcPr>
          <w:p w14:paraId="1DD009D3" w14:textId="77777777" w:rsidR="00D31D73" w:rsidRPr="00CF571C" w:rsidRDefault="00D31D73" w:rsidP="0075508C">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常数项</w:t>
            </w:r>
          </w:p>
        </w:tc>
        <w:tc>
          <w:tcPr>
            <w:tcW w:w="1490" w:type="dxa"/>
            <w:tcBorders>
              <w:top w:val="nil"/>
              <w:left w:val="nil"/>
              <w:bottom w:val="nil"/>
              <w:right w:val="nil"/>
            </w:tcBorders>
            <w:shd w:val="clear" w:color="auto" w:fill="auto"/>
            <w:noWrap/>
            <w:vAlign w:val="center"/>
          </w:tcPr>
          <w:p w14:paraId="5115B49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是</w:t>
            </w:r>
          </w:p>
        </w:tc>
        <w:tc>
          <w:tcPr>
            <w:tcW w:w="1560" w:type="dxa"/>
            <w:tcBorders>
              <w:top w:val="nil"/>
              <w:left w:val="nil"/>
              <w:bottom w:val="nil"/>
              <w:right w:val="nil"/>
            </w:tcBorders>
            <w:shd w:val="clear" w:color="auto" w:fill="auto"/>
            <w:noWrap/>
            <w:vAlign w:val="center"/>
          </w:tcPr>
          <w:p w14:paraId="48BD4BD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是</w:t>
            </w:r>
          </w:p>
        </w:tc>
        <w:tc>
          <w:tcPr>
            <w:tcW w:w="1984" w:type="dxa"/>
            <w:tcBorders>
              <w:top w:val="nil"/>
              <w:left w:val="nil"/>
              <w:bottom w:val="nil"/>
              <w:right w:val="nil"/>
            </w:tcBorders>
            <w:shd w:val="clear" w:color="auto" w:fill="auto"/>
            <w:noWrap/>
            <w:vAlign w:val="center"/>
          </w:tcPr>
          <w:p w14:paraId="211321D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是</w:t>
            </w:r>
          </w:p>
        </w:tc>
        <w:tc>
          <w:tcPr>
            <w:tcW w:w="2006" w:type="dxa"/>
            <w:tcBorders>
              <w:top w:val="nil"/>
              <w:left w:val="nil"/>
              <w:bottom w:val="nil"/>
              <w:right w:val="nil"/>
            </w:tcBorders>
            <w:shd w:val="clear" w:color="auto" w:fill="auto"/>
            <w:noWrap/>
            <w:vAlign w:val="center"/>
          </w:tcPr>
          <w:p w14:paraId="760516E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是</w:t>
            </w:r>
          </w:p>
        </w:tc>
      </w:tr>
      <w:tr w:rsidR="00CF571C" w:rsidRPr="00CF571C" w14:paraId="1D5E3DCA" w14:textId="77777777" w:rsidTr="008576B7">
        <w:trPr>
          <w:trHeight w:val="205"/>
          <w:jc w:val="center"/>
        </w:trPr>
        <w:tc>
          <w:tcPr>
            <w:tcW w:w="1912" w:type="dxa"/>
            <w:tcBorders>
              <w:top w:val="nil"/>
              <w:left w:val="nil"/>
              <w:right w:val="nil"/>
            </w:tcBorders>
            <w:shd w:val="clear" w:color="auto" w:fill="auto"/>
            <w:noWrap/>
            <w:vAlign w:val="center"/>
            <w:hideMark/>
          </w:tcPr>
          <w:p w14:paraId="07BFD0CA" w14:textId="77777777" w:rsidR="00D31D73" w:rsidRPr="00CF571C" w:rsidRDefault="00F40321" w:rsidP="008576B7">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观测值</w:t>
            </w:r>
          </w:p>
        </w:tc>
        <w:tc>
          <w:tcPr>
            <w:tcW w:w="1490" w:type="dxa"/>
            <w:tcBorders>
              <w:top w:val="nil"/>
              <w:left w:val="nil"/>
              <w:right w:val="nil"/>
            </w:tcBorders>
            <w:shd w:val="clear" w:color="auto" w:fill="auto"/>
            <w:noWrap/>
            <w:vAlign w:val="center"/>
            <w:hideMark/>
          </w:tcPr>
          <w:p w14:paraId="64B9972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541954</w:t>
            </w:r>
          </w:p>
        </w:tc>
        <w:tc>
          <w:tcPr>
            <w:tcW w:w="1560" w:type="dxa"/>
            <w:tcBorders>
              <w:top w:val="nil"/>
              <w:left w:val="nil"/>
              <w:right w:val="nil"/>
            </w:tcBorders>
            <w:shd w:val="clear" w:color="auto" w:fill="auto"/>
            <w:noWrap/>
            <w:vAlign w:val="center"/>
            <w:hideMark/>
          </w:tcPr>
          <w:p w14:paraId="3EE938E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577356</w:t>
            </w:r>
          </w:p>
        </w:tc>
        <w:tc>
          <w:tcPr>
            <w:tcW w:w="1984" w:type="dxa"/>
            <w:tcBorders>
              <w:top w:val="nil"/>
              <w:left w:val="nil"/>
              <w:right w:val="nil"/>
            </w:tcBorders>
            <w:shd w:val="clear" w:color="auto" w:fill="auto"/>
            <w:noWrap/>
            <w:vAlign w:val="center"/>
            <w:hideMark/>
          </w:tcPr>
          <w:p w14:paraId="14386EB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459562</w:t>
            </w:r>
          </w:p>
        </w:tc>
        <w:tc>
          <w:tcPr>
            <w:tcW w:w="2006" w:type="dxa"/>
            <w:tcBorders>
              <w:top w:val="nil"/>
              <w:left w:val="nil"/>
              <w:right w:val="nil"/>
            </w:tcBorders>
            <w:shd w:val="clear" w:color="auto" w:fill="auto"/>
            <w:noWrap/>
            <w:vAlign w:val="center"/>
            <w:hideMark/>
          </w:tcPr>
          <w:p w14:paraId="53FC9EA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501474</w:t>
            </w:r>
          </w:p>
        </w:tc>
      </w:tr>
      <w:tr w:rsidR="00D31D73" w:rsidRPr="00CF571C" w14:paraId="7DDB1322" w14:textId="77777777" w:rsidTr="007E197E">
        <w:trPr>
          <w:trHeight w:val="205"/>
          <w:jc w:val="center"/>
        </w:trPr>
        <w:tc>
          <w:tcPr>
            <w:tcW w:w="1912" w:type="dxa"/>
            <w:tcBorders>
              <w:top w:val="nil"/>
              <w:left w:val="nil"/>
              <w:bottom w:val="single" w:sz="8" w:space="0" w:color="auto"/>
              <w:right w:val="nil"/>
            </w:tcBorders>
            <w:shd w:val="clear" w:color="auto" w:fill="auto"/>
            <w:noWrap/>
            <w:vAlign w:val="center"/>
            <w:hideMark/>
          </w:tcPr>
          <w:p w14:paraId="437523CF" w14:textId="77777777" w:rsidR="00D31D73" w:rsidRPr="00CF571C" w:rsidRDefault="00000000" w:rsidP="008576B7">
            <w:pPr>
              <w:jc w:val="center"/>
              <w:rPr>
                <w:rFonts w:ascii="Times New Roman" w:hAnsi="Times New Roman" w:cs="Times New Roman"/>
                <w:color w:val="000000" w:themeColor="text1"/>
                <w:sz w:val="21"/>
                <w:szCs w:val="21"/>
              </w:rPr>
            </w:pPr>
            <m:oMathPara>
              <m:oMath>
                <m:sSup>
                  <m:sSupPr>
                    <m:ctrlPr>
                      <w:rPr>
                        <w:rFonts w:ascii="Cambria Math" w:hAnsi="Cambria Math" w:cs="Times New Roman"/>
                        <w:color w:val="000000" w:themeColor="text1"/>
                        <w:sz w:val="21"/>
                        <w:szCs w:val="21"/>
                      </w:rPr>
                    </m:ctrlPr>
                  </m:sSupPr>
                  <m:e>
                    <m:r>
                      <m:rPr>
                        <m:sty m:val="p"/>
                      </m:rPr>
                      <w:rPr>
                        <w:rFonts w:ascii="Cambria Math" w:hAnsi="Cambria Math" w:cs="Times New Roman" w:hint="eastAsia"/>
                        <w:color w:val="000000" w:themeColor="text1"/>
                        <w:sz w:val="21"/>
                        <w:szCs w:val="21"/>
                      </w:rPr>
                      <m:t>R</m:t>
                    </m:r>
                  </m:e>
                  <m:sup>
                    <m:r>
                      <m:rPr>
                        <m:sty m:val="p"/>
                      </m:rPr>
                      <w:rPr>
                        <w:rFonts w:ascii="Cambria Math" w:hAnsi="Cambria Math" w:cs="Times New Roman"/>
                        <w:color w:val="000000" w:themeColor="text1"/>
                        <w:sz w:val="21"/>
                        <w:szCs w:val="21"/>
                      </w:rPr>
                      <m:t>2</m:t>
                    </m:r>
                  </m:sup>
                </m:sSup>
              </m:oMath>
            </m:oMathPara>
          </w:p>
        </w:tc>
        <w:tc>
          <w:tcPr>
            <w:tcW w:w="1490" w:type="dxa"/>
            <w:tcBorders>
              <w:top w:val="nil"/>
              <w:left w:val="nil"/>
              <w:bottom w:val="single" w:sz="8" w:space="0" w:color="auto"/>
              <w:right w:val="nil"/>
            </w:tcBorders>
            <w:shd w:val="clear" w:color="auto" w:fill="auto"/>
            <w:noWrap/>
            <w:vAlign w:val="center"/>
            <w:hideMark/>
          </w:tcPr>
          <w:p w14:paraId="7FEB833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0.044</w:t>
            </w:r>
          </w:p>
        </w:tc>
        <w:tc>
          <w:tcPr>
            <w:tcW w:w="1560" w:type="dxa"/>
            <w:tcBorders>
              <w:top w:val="nil"/>
              <w:left w:val="nil"/>
              <w:bottom w:val="single" w:sz="8" w:space="0" w:color="auto"/>
              <w:right w:val="nil"/>
            </w:tcBorders>
            <w:shd w:val="clear" w:color="auto" w:fill="auto"/>
            <w:noWrap/>
            <w:vAlign w:val="center"/>
            <w:hideMark/>
          </w:tcPr>
          <w:p w14:paraId="09164FC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0.279</w:t>
            </w:r>
          </w:p>
        </w:tc>
        <w:tc>
          <w:tcPr>
            <w:tcW w:w="1984" w:type="dxa"/>
            <w:tcBorders>
              <w:top w:val="nil"/>
              <w:left w:val="nil"/>
              <w:bottom w:val="single" w:sz="8" w:space="0" w:color="auto"/>
              <w:right w:val="nil"/>
            </w:tcBorders>
            <w:shd w:val="clear" w:color="auto" w:fill="auto"/>
            <w:noWrap/>
            <w:vAlign w:val="center"/>
            <w:hideMark/>
          </w:tcPr>
          <w:p w14:paraId="37FEEA3F"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0.062</w:t>
            </w:r>
          </w:p>
        </w:tc>
        <w:tc>
          <w:tcPr>
            <w:tcW w:w="2006" w:type="dxa"/>
            <w:tcBorders>
              <w:top w:val="nil"/>
              <w:left w:val="nil"/>
              <w:bottom w:val="single" w:sz="8" w:space="0" w:color="auto"/>
              <w:right w:val="nil"/>
            </w:tcBorders>
            <w:shd w:val="clear" w:color="auto" w:fill="auto"/>
            <w:noWrap/>
            <w:vAlign w:val="center"/>
            <w:hideMark/>
          </w:tcPr>
          <w:p w14:paraId="496D36C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0.075</w:t>
            </w:r>
          </w:p>
        </w:tc>
      </w:tr>
    </w:tbl>
    <w:p w14:paraId="5879EAF3" w14:textId="77777777" w:rsidR="00D31D73" w:rsidRPr="00CF571C" w:rsidRDefault="00D31D73" w:rsidP="00741E5D">
      <w:pPr>
        <w:rPr>
          <w:rFonts w:ascii="Times New Roman" w:hAnsi="Times New Roman" w:cs="Times New Roman"/>
          <w:color w:val="000000" w:themeColor="text1"/>
          <w:sz w:val="21"/>
          <w:szCs w:val="21"/>
        </w:rPr>
      </w:pPr>
    </w:p>
    <w:p w14:paraId="58373FD2"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5</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预算支出结构横向差异</w:t>
      </w:r>
    </w:p>
    <w:tbl>
      <w:tblPr>
        <w:tblW w:w="8952" w:type="dxa"/>
        <w:jc w:val="center"/>
        <w:tblLook w:val="04A0" w:firstRow="1" w:lastRow="0" w:firstColumn="1" w:lastColumn="0" w:noHBand="0" w:noVBand="1"/>
      </w:tblPr>
      <w:tblGrid>
        <w:gridCol w:w="1912"/>
        <w:gridCol w:w="1490"/>
        <w:gridCol w:w="1560"/>
        <w:gridCol w:w="1984"/>
        <w:gridCol w:w="2006"/>
      </w:tblGrid>
      <w:tr w:rsidR="00CF571C" w:rsidRPr="00CF571C" w14:paraId="24F83434" w14:textId="77777777" w:rsidTr="007E197E">
        <w:trPr>
          <w:trHeight w:val="191"/>
          <w:jc w:val="center"/>
        </w:trPr>
        <w:tc>
          <w:tcPr>
            <w:tcW w:w="1912" w:type="dxa"/>
            <w:tcBorders>
              <w:top w:val="single" w:sz="8" w:space="0" w:color="auto"/>
              <w:left w:val="nil"/>
              <w:right w:val="nil"/>
            </w:tcBorders>
            <w:shd w:val="clear" w:color="auto" w:fill="auto"/>
            <w:noWrap/>
            <w:vAlign w:val="center"/>
          </w:tcPr>
          <w:p w14:paraId="5A98496F" w14:textId="77777777" w:rsidR="00D31D73" w:rsidRPr="00CF571C" w:rsidRDefault="00D31D73" w:rsidP="00B636FD">
            <w:pPr>
              <w:jc w:val="center"/>
              <w:rPr>
                <w:rFonts w:ascii="Times New Roman" w:hAnsi="Times New Roman" w:cs="Times New Roman"/>
                <w:color w:val="000000" w:themeColor="text1"/>
                <w:sz w:val="21"/>
                <w:szCs w:val="21"/>
              </w:rPr>
            </w:pPr>
          </w:p>
        </w:tc>
        <w:tc>
          <w:tcPr>
            <w:tcW w:w="1490" w:type="dxa"/>
            <w:tcBorders>
              <w:top w:val="single" w:sz="8" w:space="0" w:color="auto"/>
              <w:left w:val="nil"/>
              <w:right w:val="nil"/>
            </w:tcBorders>
            <w:shd w:val="clear" w:color="auto" w:fill="auto"/>
            <w:noWrap/>
            <w:vAlign w:val="center"/>
          </w:tcPr>
          <w:p w14:paraId="1F46019D"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1</w:t>
            </w:r>
            <w:r w:rsidRPr="00CF571C">
              <w:rPr>
                <w:rFonts w:ascii="Times New Roman" w:hAnsi="Times New Roman" w:cs="Times New Roman"/>
                <w:color w:val="000000" w:themeColor="text1"/>
                <w:sz w:val="21"/>
                <w:szCs w:val="21"/>
              </w:rPr>
              <w:t>）</w:t>
            </w:r>
          </w:p>
        </w:tc>
        <w:tc>
          <w:tcPr>
            <w:tcW w:w="1560" w:type="dxa"/>
            <w:tcBorders>
              <w:top w:val="single" w:sz="8" w:space="0" w:color="auto"/>
              <w:left w:val="nil"/>
              <w:right w:val="nil"/>
            </w:tcBorders>
            <w:shd w:val="clear" w:color="auto" w:fill="auto"/>
            <w:noWrap/>
            <w:vAlign w:val="center"/>
          </w:tcPr>
          <w:p w14:paraId="5BB8B927"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2</w:t>
            </w:r>
            <w:r w:rsidRPr="00CF571C">
              <w:rPr>
                <w:rFonts w:ascii="Times New Roman" w:hAnsi="Times New Roman" w:cs="Times New Roman"/>
                <w:color w:val="000000" w:themeColor="text1"/>
                <w:sz w:val="21"/>
                <w:szCs w:val="21"/>
              </w:rPr>
              <w:t>）</w:t>
            </w:r>
          </w:p>
        </w:tc>
        <w:tc>
          <w:tcPr>
            <w:tcW w:w="1984" w:type="dxa"/>
            <w:tcBorders>
              <w:top w:val="single" w:sz="8" w:space="0" w:color="auto"/>
              <w:left w:val="nil"/>
              <w:right w:val="nil"/>
            </w:tcBorders>
            <w:shd w:val="clear" w:color="auto" w:fill="auto"/>
            <w:noWrap/>
            <w:vAlign w:val="center"/>
          </w:tcPr>
          <w:p w14:paraId="58A3F431"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3</w:t>
            </w:r>
            <w:r w:rsidRPr="00CF571C">
              <w:rPr>
                <w:rFonts w:ascii="Times New Roman" w:hAnsi="Times New Roman" w:cs="Times New Roman"/>
                <w:color w:val="000000" w:themeColor="text1"/>
                <w:sz w:val="21"/>
                <w:szCs w:val="21"/>
              </w:rPr>
              <w:t>）</w:t>
            </w:r>
          </w:p>
        </w:tc>
        <w:tc>
          <w:tcPr>
            <w:tcW w:w="2006" w:type="dxa"/>
            <w:tcBorders>
              <w:top w:val="single" w:sz="8" w:space="0" w:color="auto"/>
              <w:left w:val="nil"/>
              <w:right w:val="nil"/>
            </w:tcBorders>
            <w:shd w:val="clear" w:color="auto" w:fill="auto"/>
            <w:noWrap/>
            <w:vAlign w:val="center"/>
          </w:tcPr>
          <w:p w14:paraId="24DBF2A4"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4</w:t>
            </w:r>
            <w:r w:rsidRPr="00CF571C">
              <w:rPr>
                <w:rFonts w:ascii="Times New Roman" w:hAnsi="Times New Roman" w:cs="Times New Roman"/>
                <w:color w:val="000000" w:themeColor="text1"/>
                <w:sz w:val="21"/>
                <w:szCs w:val="21"/>
              </w:rPr>
              <w:t>）</w:t>
            </w:r>
          </w:p>
        </w:tc>
      </w:tr>
      <w:tr w:rsidR="00CF571C" w:rsidRPr="00CF571C" w14:paraId="4598B91A" w14:textId="77777777" w:rsidTr="00B636FD">
        <w:trPr>
          <w:trHeight w:val="191"/>
          <w:jc w:val="center"/>
        </w:trPr>
        <w:tc>
          <w:tcPr>
            <w:tcW w:w="1912" w:type="dxa"/>
            <w:tcBorders>
              <w:left w:val="nil"/>
              <w:bottom w:val="single" w:sz="4" w:space="0" w:color="auto"/>
              <w:right w:val="nil"/>
            </w:tcBorders>
            <w:shd w:val="clear" w:color="auto" w:fill="auto"/>
            <w:noWrap/>
            <w:vAlign w:val="center"/>
            <w:hideMark/>
          </w:tcPr>
          <w:p w14:paraId="60F77253" w14:textId="77777777" w:rsidR="00D31D73" w:rsidRPr="00CF571C" w:rsidRDefault="00D31D73" w:rsidP="00B636FD">
            <w:pPr>
              <w:rPr>
                <w:rFonts w:ascii="Times New Roman" w:hAnsi="Times New Roman" w:cs="Times New Roman"/>
                <w:color w:val="000000" w:themeColor="text1"/>
                <w:sz w:val="21"/>
                <w:szCs w:val="21"/>
              </w:rPr>
            </w:pPr>
          </w:p>
        </w:tc>
        <w:tc>
          <w:tcPr>
            <w:tcW w:w="1490" w:type="dxa"/>
            <w:tcBorders>
              <w:left w:val="nil"/>
              <w:bottom w:val="single" w:sz="4" w:space="0" w:color="auto"/>
              <w:right w:val="nil"/>
            </w:tcBorders>
            <w:shd w:val="clear" w:color="auto" w:fill="auto"/>
            <w:noWrap/>
            <w:vAlign w:val="center"/>
            <w:hideMark/>
          </w:tcPr>
          <w:p w14:paraId="0FE9C647"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1560" w:type="dxa"/>
            <w:tcBorders>
              <w:left w:val="nil"/>
              <w:bottom w:val="single" w:sz="4" w:space="0" w:color="auto"/>
              <w:right w:val="nil"/>
            </w:tcBorders>
            <w:shd w:val="clear" w:color="auto" w:fill="auto"/>
            <w:noWrap/>
            <w:vAlign w:val="center"/>
            <w:hideMark/>
          </w:tcPr>
          <w:p w14:paraId="16684965"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984" w:type="dxa"/>
            <w:tcBorders>
              <w:left w:val="nil"/>
              <w:bottom w:val="single" w:sz="4" w:space="0" w:color="auto"/>
              <w:right w:val="nil"/>
            </w:tcBorders>
            <w:shd w:val="clear" w:color="auto" w:fill="auto"/>
            <w:noWrap/>
            <w:vAlign w:val="center"/>
            <w:hideMark/>
          </w:tcPr>
          <w:p w14:paraId="39D452A0"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2006" w:type="dxa"/>
            <w:tcBorders>
              <w:left w:val="nil"/>
              <w:bottom w:val="single" w:sz="4" w:space="0" w:color="auto"/>
              <w:right w:val="nil"/>
            </w:tcBorders>
            <w:shd w:val="clear" w:color="auto" w:fill="auto"/>
            <w:noWrap/>
            <w:vAlign w:val="center"/>
            <w:hideMark/>
          </w:tcPr>
          <w:p w14:paraId="2172A10A" w14:textId="77777777" w:rsidR="00D31D73" w:rsidRPr="00CF571C" w:rsidRDefault="00D31D7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071BED64" w14:textId="77777777" w:rsidTr="00B636FD">
        <w:trPr>
          <w:trHeight w:val="205"/>
          <w:jc w:val="center"/>
        </w:trPr>
        <w:tc>
          <w:tcPr>
            <w:tcW w:w="1912" w:type="dxa"/>
            <w:tcBorders>
              <w:top w:val="single" w:sz="4" w:space="0" w:color="auto"/>
              <w:left w:val="nil"/>
              <w:bottom w:val="nil"/>
              <w:right w:val="nil"/>
            </w:tcBorders>
            <w:shd w:val="clear" w:color="auto" w:fill="auto"/>
            <w:noWrap/>
            <w:vAlign w:val="center"/>
            <w:hideMark/>
          </w:tcPr>
          <w:p w14:paraId="0F01E45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毗邻</w:t>
            </w:r>
          </w:p>
        </w:tc>
        <w:tc>
          <w:tcPr>
            <w:tcW w:w="1490" w:type="dxa"/>
            <w:tcBorders>
              <w:top w:val="single" w:sz="4" w:space="0" w:color="auto"/>
              <w:left w:val="nil"/>
              <w:bottom w:val="nil"/>
              <w:right w:val="nil"/>
            </w:tcBorders>
            <w:shd w:val="clear" w:color="auto" w:fill="auto"/>
            <w:noWrap/>
            <w:vAlign w:val="center"/>
            <w:hideMark/>
          </w:tcPr>
          <w:p w14:paraId="56A121BD"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-0.015***</w:t>
            </w:r>
          </w:p>
        </w:tc>
        <w:tc>
          <w:tcPr>
            <w:tcW w:w="1560" w:type="dxa"/>
            <w:tcBorders>
              <w:top w:val="single" w:sz="4" w:space="0" w:color="auto"/>
              <w:left w:val="nil"/>
              <w:bottom w:val="nil"/>
              <w:right w:val="nil"/>
            </w:tcBorders>
            <w:shd w:val="clear" w:color="auto" w:fill="auto"/>
            <w:noWrap/>
            <w:vAlign w:val="center"/>
            <w:hideMark/>
          </w:tcPr>
          <w:p w14:paraId="7E98247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w:t>
            </w:r>
          </w:p>
        </w:tc>
        <w:tc>
          <w:tcPr>
            <w:tcW w:w="1984" w:type="dxa"/>
            <w:tcBorders>
              <w:top w:val="single" w:sz="4" w:space="0" w:color="auto"/>
              <w:left w:val="nil"/>
              <w:bottom w:val="nil"/>
              <w:right w:val="nil"/>
            </w:tcBorders>
            <w:shd w:val="clear" w:color="auto" w:fill="auto"/>
            <w:noWrap/>
            <w:vAlign w:val="center"/>
            <w:hideMark/>
          </w:tcPr>
          <w:p w14:paraId="2DBC4DD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w:t>
            </w:r>
          </w:p>
        </w:tc>
        <w:tc>
          <w:tcPr>
            <w:tcW w:w="2006" w:type="dxa"/>
            <w:tcBorders>
              <w:top w:val="single" w:sz="4" w:space="0" w:color="auto"/>
              <w:left w:val="nil"/>
              <w:bottom w:val="nil"/>
              <w:right w:val="nil"/>
            </w:tcBorders>
            <w:shd w:val="clear" w:color="auto" w:fill="auto"/>
            <w:noWrap/>
            <w:vAlign w:val="center"/>
            <w:hideMark/>
          </w:tcPr>
          <w:p w14:paraId="2C02EBC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0.001** </w:t>
            </w:r>
          </w:p>
        </w:tc>
      </w:tr>
      <w:tr w:rsidR="00CF571C" w:rsidRPr="00CF571C" w14:paraId="2817C140"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556EBC5D"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143D2DF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(-27.46)</w:t>
            </w:r>
          </w:p>
        </w:tc>
        <w:tc>
          <w:tcPr>
            <w:tcW w:w="1560" w:type="dxa"/>
            <w:tcBorders>
              <w:top w:val="nil"/>
              <w:left w:val="nil"/>
              <w:bottom w:val="nil"/>
              <w:right w:val="nil"/>
            </w:tcBorders>
            <w:shd w:val="clear" w:color="auto" w:fill="auto"/>
            <w:noWrap/>
            <w:vAlign w:val="center"/>
            <w:hideMark/>
          </w:tcPr>
          <w:p w14:paraId="0A19A2C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(-28.59)</w:t>
            </w:r>
          </w:p>
        </w:tc>
        <w:tc>
          <w:tcPr>
            <w:tcW w:w="1984" w:type="dxa"/>
            <w:tcBorders>
              <w:top w:val="nil"/>
              <w:left w:val="nil"/>
              <w:bottom w:val="nil"/>
              <w:right w:val="nil"/>
            </w:tcBorders>
            <w:shd w:val="clear" w:color="auto" w:fill="auto"/>
            <w:noWrap/>
            <w:vAlign w:val="center"/>
            <w:hideMark/>
          </w:tcPr>
          <w:p w14:paraId="148615F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(-12.61)</w:t>
            </w:r>
          </w:p>
        </w:tc>
        <w:tc>
          <w:tcPr>
            <w:tcW w:w="2006" w:type="dxa"/>
            <w:tcBorders>
              <w:top w:val="nil"/>
              <w:left w:val="nil"/>
              <w:bottom w:val="nil"/>
              <w:right w:val="nil"/>
            </w:tcBorders>
            <w:shd w:val="clear" w:color="auto" w:fill="auto"/>
            <w:noWrap/>
            <w:vAlign w:val="center"/>
            <w:hideMark/>
          </w:tcPr>
          <w:p w14:paraId="7705799F"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(2.22)   </w:t>
            </w:r>
          </w:p>
        </w:tc>
      </w:tr>
      <w:tr w:rsidR="00CF571C" w:rsidRPr="00CF571C" w14:paraId="20680876"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325D6AB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财政分权差异</w:t>
            </w:r>
          </w:p>
        </w:tc>
        <w:tc>
          <w:tcPr>
            <w:tcW w:w="1490" w:type="dxa"/>
            <w:tcBorders>
              <w:top w:val="nil"/>
              <w:left w:val="nil"/>
              <w:bottom w:val="nil"/>
              <w:right w:val="nil"/>
            </w:tcBorders>
            <w:shd w:val="clear" w:color="auto" w:fill="auto"/>
            <w:noWrap/>
            <w:vAlign w:val="center"/>
            <w:hideMark/>
          </w:tcPr>
          <w:p w14:paraId="44D4171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0.880***</w:t>
            </w:r>
          </w:p>
        </w:tc>
        <w:tc>
          <w:tcPr>
            <w:tcW w:w="1560" w:type="dxa"/>
            <w:tcBorders>
              <w:top w:val="nil"/>
              <w:left w:val="nil"/>
              <w:bottom w:val="nil"/>
              <w:right w:val="nil"/>
            </w:tcBorders>
            <w:shd w:val="clear" w:color="auto" w:fill="auto"/>
            <w:noWrap/>
            <w:vAlign w:val="center"/>
            <w:hideMark/>
          </w:tcPr>
          <w:p w14:paraId="1785DB8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-0.062***</w:t>
            </w:r>
          </w:p>
        </w:tc>
        <w:tc>
          <w:tcPr>
            <w:tcW w:w="1984" w:type="dxa"/>
            <w:tcBorders>
              <w:top w:val="nil"/>
              <w:left w:val="nil"/>
              <w:bottom w:val="nil"/>
              <w:right w:val="nil"/>
            </w:tcBorders>
            <w:shd w:val="clear" w:color="auto" w:fill="auto"/>
            <w:noWrap/>
            <w:vAlign w:val="center"/>
            <w:hideMark/>
          </w:tcPr>
          <w:p w14:paraId="05441A5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0.123***</w:t>
            </w:r>
          </w:p>
        </w:tc>
        <w:tc>
          <w:tcPr>
            <w:tcW w:w="2006" w:type="dxa"/>
            <w:tcBorders>
              <w:top w:val="nil"/>
              <w:left w:val="nil"/>
              <w:bottom w:val="nil"/>
              <w:right w:val="nil"/>
            </w:tcBorders>
            <w:shd w:val="clear" w:color="auto" w:fill="auto"/>
            <w:noWrap/>
            <w:vAlign w:val="center"/>
            <w:hideMark/>
          </w:tcPr>
          <w:p w14:paraId="20B37A5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-0.055***</w:t>
            </w:r>
          </w:p>
        </w:tc>
      </w:tr>
      <w:tr w:rsidR="00CF571C" w:rsidRPr="00CF571C" w14:paraId="1D24B3EE"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52194F96"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300F1A9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(145.99)</w:t>
            </w:r>
          </w:p>
        </w:tc>
        <w:tc>
          <w:tcPr>
            <w:tcW w:w="1560" w:type="dxa"/>
            <w:tcBorders>
              <w:top w:val="nil"/>
              <w:left w:val="nil"/>
              <w:bottom w:val="nil"/>
              <w:right w:val="nil"/>
            </w:tcBorders>
            <w:shd w:val="clear" w:color="auto" w:fill="auto"/>
            <w:noWrap/>
            <w:vAlign w:val="center"/>
            <w:hideMark/>
          </w:tcPr>
          <w:p w14:paraId="4E7BD85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(-48.11)</w:t>
            </w:r>
          </w:p>
        </w:tc>
        <w:tc>
          <w:tcPr>
            <w:tcW w:w="1984" w:type="dxa"/>
            <w:tcBorders>
              <w:top w:val="nil"/>
              <w:left w:val="nil"/>
              <w:bottom w:val="nil"/>
              <w:right w:val="nil"/>
            </w:tcBorders>
            <w:shd w:val="clear" w:color="auto" w:fill="auto"/>
            <w:noWrap/>
            <w:vAlign w:val="center"/>
            <w:hideMark/>
          </w:tcPr>
          <w:p w14:paraId="00265D8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(50.94)</w:t>
            </w:r>
          </w:p>
        </w:tc>
        <w:tc>
          <w:tcPr>
            <w:tcW w:w="2006" w:type="dxa"/>
            <w:tcBorders>
              <w:top w:val="nil"/>
              <w:left w:val="nil"/>
              <w:bottom w:val="nil"/>
              <w:right w:val="nil"/>
            </w:tcBorders>
            <w:shd w:val="clear" w:color="auto" w:fill="auto"/>
            <w:noWrap/>
            <w:vAlign w:val="center"/>
            <w:hideMark/>
          </w:tcPr>
          <w:p w14:paraId="5ADE4C5F"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(-13.00)   </w:t>
            </w:r>
          </w:p>
        </w:tc>
      </w:tr>
      <w:tr w:rsidR="00CF571C" w:rsidRPr="00CF571C" w14:paraId="1B798451"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2417640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人口密度差异</w:t>
            </w:r>
          </w:p>
        </w:tc>
        <w:tc>
          <w:tcPr>
            <w:tcW w:w="1490" w:type="dxa"/>
            <w:tcBorders>
              <w:top w:val="nil"/>
              <w:left w:val="nil"/>
              <w:bottom w:val="nil"/>
              <w:right w:val="nil"/>
            </w:tcBorders>
            <w:shd w:val="clear" w:color="auto" w:fill="auto"/>
            <w:noWrap/>
            <w:vAlign w:val="center"/>
            <w:hideMark/>
          </w:tcPr>
          <w:p w14:paraId="30659E6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-0.094***</w:t>
            </w:r>
          </w:p>
        </w:tc>
        <w:tc>
          <w:tcPr>
            <w:tcW w:w="1560" w:type="dxa"/>
            <w:tcBorders>
              <w:top w:val="nil"/>
              <w:left w:val="nil"/>
              <w:bottom w:val="nil"/>
              <w:right w:val="nil"/>
            </w:tcBorders>
            <w:shd w:val="clear" w:color="auto" w:fill="auto"/>
            <w:noWrap/>
            <w:vAlign w:val="center"/>
            <w:hideMark/>
          </w:tcPr>
          <w:p w14:paraId="457B06A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0.014***</w:t>
            </w:r>
          </w:p>
        </w:tc>
        <w:tc>
          <w:tcPr>
            <w:tcW w:w="1984" w:type="dxa"/>
            <w:tcBorders>
              <w:top w:val="nil"/>
              <w:left w:val="nil"/>
              <w:bottom w:val="nil"/>
              <w:right w:val="nil"/>
            </w:tcBorders>
            <w:shd w:val="clear" w:color="auto" w:fill="auto"/>
            <w:noWrap/>
            <w:vAlign w:val="center"/>
            <w:hideMark/>
          </w:tcPr>
          <w:p w14:paraId="1BB9F1D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-0.007***</w:t>
            </w:r>
          </w:p>
        </w:tc>
        <w:tc>
          <w:tcPr>
            <w:tcW w:w="2006" w:type="dxa"/>
            <w:tcBorders>
              <w:top w:val="nil"/>
              <w:left w:val="nil"/>
              <w:bottom w:val="nil"/>
              <w:right w:val="nil"/>
            </w:tcBorders>
            <w:shd w:val="clear" w:color="auto" w:fill="auto"/>
            <w:noWrap/>
            <w:vAlign w:val="center"/>
            <w:hideMark/>
          </w:tcPr>
          <w:p w14:paraId="47802E3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0.011***</w:t>
            </w:r>
          </w:p>
        </w:tc>
      </w:tr>
      <w:tr w:rsidR="00CF571C" w:rsidRPr="00CF571C" w14:paraId="5FCED445"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1FD5E1D5"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6B456A0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(-98.41)</w:t>
            </w:r>
          </w:p>
        </w:tc>
        <w:tc>
          <w:tcPr>
            <w:tcW w:w="1560" w:type="dxa"/>
            <w:tcBorders>
              <w:top w:val="nil"/>
              <w:left w:val="nil"/>
              <w:bottom w:val="nil"/>
              <w:right w:val="nil"/>
            </w:tcBorders>
            <w:shd w:val="clear" w:color="auto" w:fill="auto"/>
            <w:noWrap/>
            <w:vAlign w:val="center"/>
            <w:hideMark/>
          </w:tcPr>
          <w:p w14:paraId="6100F9C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(67.33)</w:t>
            </w:r>
          </w:p>
        </w:tc>
        <w:tc>
          <w:tcPr>
            <w:tcW w:w="1984" w:type="dxa"/>
            <w:tcBorders>
              <w:top w:val="nil"/>
              <w:left w:val="nil"/>
              <w:bottom w:val="nil"/>
              <w:right w:val="nil"/>
            </w:tcBorders>
            <w:shd w:val="clear" w:color="auto" w:fill="auto"/>
            <w:noWrap/>
            <w:vAlign w:val="center"/>
            <w:hideMark/>
          </w:tcPr>
          <w:p w14:paraId="7D7B883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(-17.37)</w:t>
            </w:r>
          </w:p>
        </w:tc>
        <w:tc>
          <w:tcPr>
            <w:tcW w:w="2006" w:type="dxa"/>
            <w:tcBorders>
              <w:top w:val="nil"/>
              <w:left w:val="nil"/>
              <w:bottom w:val="nil"/>
              <w:right w:val="nil"/>
            </w:tcBorders>
            <w:shd w:val="clear" w:color="auto" w:fill="auto"/>
            <w:noWrap/>
            <w:vAlign w:val="center"/>
            <w:hideMark/>
          </w:tcPr>
          <w:p w14:paraId="0726351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(15.39)   </w:t>
            </w:r>
          </w:p>
        </w:tc>
      </w:tr>
      <w:tr w:rsidR="00CF571C" w:rsidRPr="00CF571C" w14:paraId="48BDF4EE"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1CB2480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地方财力差异</w:t>
            </w:r>
          </w:p>
        </w:tc>
        <w:tc>
          <w:tcPr>
            <w:tcW w:w="1490" w:type="dxa"/>
            <w:tcBorders>
              <w:top w:val="nil"/>
              <w:left w:val="nil"/>
              <w:bottom w:val="nil"/>
              <w:right w:val="nil"/>
            </w:tcBorders>
            <w:shd w:val="clear" w:color="auto" w:fill="auto"/>
            <w:noWrap/>
            <w:vAlign w:val="center"/>
            <w:hideMark/>
          </w:tcPr>
          <w:p w14:paraId="7E8178F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560" w:type="dxa"/>
            <w:tcBorders>
              <w:top w:val="nil"/>
              <w:left w:val="nil"/>
              <w:bottom w:val="nil"/>
              <w:right w:val="nil"/>
            </w:tcBorders>
            <w:shd w:val="clear" w:color="auto" w:fill="auto"/>
            <w:noWrap/>
            <w:vAlign w:val="center"/>
            <w:hideMark/>
          </w:tcPr>
          <w:p w14:paraId="480AD92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984" w:type="dxa"/>
            <w:tcBorders>
              <w:top w:val="nil"/>
              <w:left w:val="nil"/>
              <w:bottom w:val="nil"/>
              <w:right w:val="nil"/>
            </w:tcBorders>
            <w:shd w:val="clear" w:color="auto" w:fill="auto"/>
            <w:noWrap/>
            <w:vAlign w:val="center"/>
            <w:hideMark/>
          </w:tcPr>
          <w:p w14:paraId="633967D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2C515F3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r>
      <w:tr w:rsidR="00CF571C" w:rsidRPr="00CF571C" w14:paraId="75DEF0C8"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3A6A1A4A"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137F5BD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(15.96)</w:t>
            </w:r>
          </w:p>
        </w:tc>
        <w:tc>
          <w:tcPr>
            <w:tcW w:w="1560" w:type="dxa"/>
            <w:tcBorders>
              <w:top w:val="nil"/>
              <w:left w:val="nil"/>
              <w:bottom w:val="nil"/>
              <w:right w:val="nil"/>
            </w:tcBorders>
            <w:shd w:val="clear" w:color="auto" w:fill="auto"/>
            <w:noWrap/>
            <w:vAlign w:val="center"/>
            <w:hideMark/>
          </w:tcPr>
          <w:p w14:paraId="17F2B0C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(385.60)</w:t>
            </w:r>
          </w:p>
        </w:tc>
        <w:tc>
          <w:tcPr>
            <w:tcW w:w="1984" w:type="dxa"/>
            <w:tcBorders>
              <w:top w:val="nil"/>
              <w:left w:val="nil"/>
              <w:bottom w:val="nil"/>
              <w:right w:val="nil"/>
            </w:tcBorders>
            <w:shd w:val="clear" w:color="auto" w:fill="auto"/>
            <w:noWrap/>
            <w:vAlign w:val="center"/>
            <w:hideMark/>
          </w:tcPr>
          <w:p w14:paraId="5474973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(79.58)</w:t>
            </w:r>
          </w:p>
        </w:tc>
        <w:tc>
          <w:tcPr>
            <w:tcW w:w="2006" w:type="dxa"/>
            <w:tcBorders>
              <w:top w:val="nil"/>
              <w:left w:val="nil"/>
              <w:bottom w:val="nil"/>
              <w:right w:val="nil"/>
            </w:tcBorders>
            <w:shd w:val="clear" w:color="auto" w:fill="auto"/>
            <w:noWrap/>
            <w:vAlign w:val="center"/>
            <w:hideMark/>
          </w:tcPr>
          <w:p w14:paraId="17D8DE9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(59.77)   </w:t>
            </w:r>
          </w:p>
        </w:tc>
      </w:tr>
      <w:tr w:rsidR="00CF571C" w:rsidRPr="00CF571C" w14:paraId="1A3E15E4"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04C82AE3"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职工平均工资差异</w:t>
            </w:r>
          </w:p>
        </w:tc>
        <w:tc>
          <w:tcPr>
            <w:tcW w:w="1490" w:type="dxa"/>
            <w:tcBorders>
              <w:top w:val="nil"/>
              <w:left w:val="nil"/>
              <w:bottom w:val="nil"/>
              <w:right w:val="nil"/>
            </w:tcBorders>
            <w:shd w:val="clear" w:color="auto" w:fill="auto"/>
            <w:noWrap/>
            <w:vAlign w:val="center"/>
            <w:hideMark/>
          </w:tcPr>
          <w:p w14:paraId="0E21EE4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-0.002***</w:t>
            </w:r>
          </w:p>
        </w:tc>
        <w:tc>
          <w:tcPr>
            <w:tcW w:w="1560" w:type="dxa"/>
            <w:tcBorders>
              <w:top w:val="nil"/>
              <w:left w:val="nil"/>
              <w:bottom w:val="nil"/>
              <w:right w:val="nil"/>
            </w:tcBorders>
            <w:shd w:val="clear" w:color="auto" w:fill="auto"/>
            <w:noWrap/>
            <w:vAlign w:val="center"/>
            <w:hideMark/>
          </w:tcPr>
          <w:p w14:paraId="46BDF86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0.001***</w:t>
            </w:r>
          </w:p>
        </w:tc>
        <w:tc>
          <w:tcPr>
            <w:tcW w:w="1984" w:type="dxa"/>
            <w:tcBorders>
              <w:top w:val="nil"/>
              <w:left w:val="nil"/>
              <w:bottom w:val="nil"/>
              <w:right w:val="nil"/>
            </w:tcBorders>
            <w:shd w:val="clear" w:color="auto" w:fill="auto"/>
            <w:noWrap/>
            <w:vAlign w:val="center"/>
            <w:hideMark/>
          </w:tcPr>
          <w:p w14:paraId="00EF312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733D85A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w:t>
            </w:r>
          </w:p>
        </w:tc>
      </w:tr>
      <w:tr w:rsidR="00CF571C" w:rsidRPr="00CF571C" w14:paraId="098AD73A"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5ADA9B53"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0F85B4A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(-32.81)</w:t>
            </w:r>
          </w:p>
        </w:tc>
        <w:tc>
          <w:tcPr>
            <w:tcW w:w="1560" w:type="dxa"/>
            <w:tcBorders>
              <w:top w:val="nil"/>
              <w:left w:val="nil"/>
              <w:bottom w:val="nil"/>
              <w:right w:val="nil"/>
            </w:tcBorders>
            <w:shd w:val="clear" w:color="auto" w:fill="auto"/>
            <w:noWrap/>
            <w:vAlign w:val="center"/>
            <w:hideMark/>
          </w:tcPr>
          <w:p w14:paraId="176FCA3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(88.16)</w:t>
            </w:r>
          </w:p>
        </w:tc>
        <w:tc>
          <w:tcPr>
            <w:tcW w:w="1984" w:type="dxa"/>
            <w:tcBorders>
              <w:top w:val="nil"/>
              <w:left w:val="nil"/>
              <w:bottom w:val="nil"/>
              <w:right w:val="nil"/>
            </w:tcBorders>
            <w:shd w:val="clear" w:color="auto" w:fill="auto"/>
            <w:noWrap/>
            <w:vAlign w:val="center"/>
            <w:hideMark/>
          </w:tcPr>
          <w:p w14:paraId="36ADD3F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(8.90)</w:t>
            </w:r>
          </w:p>
        </w:tc>
        <w:tc>
          <w:tcPr>
            <w:tcW w:w="2006" w:type="dxa"/>
            <w:tcBorders>
              <w:top w:val="nil"/>
              <w:left w:val="nil"/>
              <w:bottom w:val="nil"/>
              <w:right w:val="nil"/>
            </w:tcBorders>
            <w:shd w:val="clear" w:color="auto" w:fill="auto"/>
            <w:noWrap/>
            <w:vAlign w:val="center"/>
            <w:hideMark/>
          </w:tcPr>
          <w:p w14:paraId="45A9436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(63.49)   </w:t>
            </w:r>
          </w:p>
        </w:tc>
      </w:tr>
      <w:tr w:rsidR="00CF571C" w:rsidRPr="00CF571C" w14:paraId="747B705B"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2E6F90A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第二产业比重差异</w:t>
            </w:r>
          </w:p>
        </w:tc>
        <w:tc>
          <w:tcPr>
            <w:tcW w:w="1490" w:type="dxa"/>
            <w:tcBorders>
              <w:top w:val="nil"/>
              <w:left w:val="nil"/>
              <w:bottom w:val="nil"/>
              <w:right w:val="nil"/>
            </w:tcBorders>
            <w:shd w:val="clear" w:color="auto" w:fill="auto"/>
            <w:noWrap/>
            <w:vAlign w:val="center"/>
            <w:hideMark/>
          </w:tcPr>
          <w:p w14:paraId="090C520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560" w:type="dxa"/>
            <w:tcBorders>
              <w:top w:val="nil"/>
              <w:left w:val="nil"/>
              <w:bottom w:val="nil"/>
              <w:right w:val="nil"/>
            </w:tcBorders>
            <w:shd w:val="clear" w:color="auto" w:fill="auto"/>
            <w:noWrap/>
            <w:vAlign w:val="center"/>
            <w:hideMark/>
          </w:tcPr>
          <w:p w14:paraId="38B45CD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984" w:type="dxa"/>
            <w:tcBorders>
              <w:top w:val="nil"/>
              <w:left w:val="nil"/>
              <w:bottom w:val="nil"/>
              <w:right w:val="nil"/>
            </w:tcBorders>
            <w:shd w:val="clear" w:color="auto" w:fill="auto"/>
            <w:noWrap/>
            <w:vAlign w:val="center"/>
            <w:hideMark/>
          </w:tcPr>
          <w:p w14:paraId="7A5B879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246C942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r>
      <w:tr w:rsidR="00CF571C" w:rsidRPr="00CF571C" w14:paraId="391AC1D1"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3E924001"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0BAE446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(-19.65)</w:t>
            </w:r>
          </w:p>
        </w:tc>
        <w:tc>
          <w:tcPr>
            <w:tcW w:w="1560" w:type="dxa"/>
            <w:tcBorders>
              <w:top w:val="nil"/>
              <w:left w:val="nil"/>
              <w:bottom w:val="nil"/>
              <w:right w:val="nil"/>
            </w:tcBorders>
            <w:shd w:val="clear" w:color="auto" w:fill="auto"/>
            <w:noWrap/>
            <w:vAlign w:val="center"/>
            <w:hideMark/>
          </w:tcPr>
          <w:p w14:paraId="3782D552"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(-72.32)</w:t>
            </w:r>
          </w:p>
        </w:tc>
        <w:tc>
          <w:tcPr>
            <w:tcW w:w="1984" w:type="dxa"/>
            <w:tcBorders>
              <w:top w:val="nil"/>
              <w:left w:val="nil"/>
              <w:bottom w:val="nil"/>
              <w:right w:val="nil"/>
            </w:tcBorders>
            <w:shd w:val="clear" w:color="auto" w:fill="auto"/>
            <w:noWrap/>
            <w:vAlign w:val="center"/>
            <w:hideMark/>
          </w:tcPr>
          <w:p w14:paraId="313E8395"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(-58.67)</w:t>
            </w:r>
          </w:p>
        </w:tc>
        <w:tc>
          <w:tcPr>
            <w:tcW w:w="2006" w:type="dxa"/>
            <w:tcBorders>
              <w:top w:val="nil"/>
              <w:left w:val="nil"/>
              <w:bottom w:val="nil"/>
              <w:right w:val="nil"/>
            </w:tcBorders>
            <w:shd w:val="clear" w:color="auto" w:fill="auto"/>
            <w:noWrap/>
            <w:vAlign w:val="center"/>
            <w:hideMark/>
          </w:tcPr>
          <w:p w14:paraId="464AA7F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(-19.05)   </w:t>
            </w:r>
          </w:p>
        </w:tc>
      </w:tr>
      <w:tr w:rsidR="00CF571C" w:rsidRPr="00CF571C" w14:paraId="6C2B5460"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528A37E8"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第一产业比重差异</w:t>
            </w:r>
          </w:p>
        </w:tc>
        <w:tc>
          <w:tcPr>
            <w:tcW w:w="1490" w:type="dxa"/>
            <w:tcBorders>
              <w:top w:val="nil"/>
              <w:left w:val="nil"/>
              <w:bottom w:val="nil"/>
              <w:right w:val="nil"/>
            </w:tcBorders>
            <w:shd w:val="clear" w:color="auto" w:fill="auto"/>
            <w:noWrap/>
            <w:vAlign w:val="center"/>
            <w:hideMark/>
          </w:tcPr>
          <w:p w14:paraId="1B8F95FA"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560" w:type="dxa"/>
            <w:tcBorders>
              <w:top w:val="nil"/>
              <w:left w:val="nil"/>
              <w:bottom w:val="nil"/>
              <w:right w:val="nil"/>
            </w:tcBorders>
            <w:shd w:val="clear" w:color="auto" w:fill="auto"/>
            <w:noWrap/>
            <w:vAlign w:val="center"/>
            <w:hideMark/>
          </w:tcPr>
          <w:p w14:paraId="6E79515D"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1984" w:type="dxa"/>
            <w:tcBorders>
              <w:top w:val="nil"/>
              <w:left w:val="nil"/>
              <w:bottom w:val="nil"/>
              <w:right w:val="nil"/>
            </w:tcBorders>
            <w:shd w:val="clear" w:color="auto" w:fill="auto"/>
            <w:noWrap/>
            <w:vAlign w:val="center"/>
            <w:hideMark/>
          </w:tcPr>
          <w:p w14:paraId="3F3349C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c>
          <w:tcPr>
            <w:tcW w:w="2006" w:type="dxa"/>
            <w:tcBorders>
              <w:top w:val="nil"/>
              <w:left w:val="nil"/>
              <w:bottom w:val="nil"/>
              <w:right w:val="nil"/>
            </w:tcBorders>
            <w:shd w:val="clear" w:color="auto" w:fill="auto"/>
            <w:noWrap/>
            <w:vAlign w:val="center"/>
            <w:hideMark/>
          </w:tcPr>
          <w:p w14:paraId="2DA348C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w:t>
            </w:r>
          </w:p>
        </w:tc>
      </w:tr>
      <w:tr w:rsidR="00CF571C" w:rsidRPr="00CF571C" w14:paraId="6F8D6F95"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5550EA86"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1C41F611"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(6.80)</w:t>
            </w:r>
          </w:p>
        </w:tc>
        <w:tc>
          <w:tcPr>
            <w:tcW w:w="1560" w:type="dxa"/>
            <w:tcBorders>
              <w:top w:val="nil"/>
              <w:left w:val="nil"/>
              <w:bottom w:val="nil"/>
              <w:right w:val="nil"/>
            </w:tcBorders>
            <w:shd w:val="clear" w:color="auto" w:fill="auto"/>
            <w:noWrap/>
            <w:vAlign w:val="center"/>
            <w:hideMark/>
          </w:tcPr>
          <w:p w14:paraId="2989A66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(58.06)</w:t>
            </w:r>
          </w:p>
        </w:tc>
        <w:tc>
          <w:tcPr>
            <w:tcW w:w="1984" w:type="dxa"/>
            <w:tcBorders>
              <w:top w:val="nil"/>
              <w:left w:val="nil"/>
              <w:bottom w:val="nil"/>
              <w:right w:val="nil"/>
            </w:tcBorders>
            <w:shd w:val="clear" w:color="auto" w:fill="auto"/>
            <w:noWrap/>
            <w:vAlign w:val="center"/>
            <w:hideMark/>
          </w:tcPr>
          <w:p w14:paraId="20C2323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(88.51)</w:t>
            </w:r>
          </w:p>
        </w:tc>
        <w:tc>
          <w:tcPr>
            <w:tcW w:w="2006" w:type="dxa"/>
            <w:tcBorders>
              <w:top w:val="nil"/>
              <w:left w:val="nil"/>
              <w:bottom w:val="nil"/>
              <w:right w:val="nil"/>
            </w:tcBorders>
            <w:shd w:val="clear" w:color="auto" w:fill="auto"/>
            <w:noWrap/>
            <w:vAlign w:val="center"/>
            <w:hideMark/>
          </w:tcPr>
          <w:p w14:paraId="550D053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(40.65)   </w:t>
            </w:r>
          </w:p>
        </w:tc>
      </w:tr>
      <w:tr w:rsidR="00CF571C" w:rsidRPr="00CF571C" w14:paraId="41CCEAD8"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1FFEA33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地理距离</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1000km</w:t>
            </w:r>
            <w:r w:rsidRPr="00CF571C">
              <w:rPr>
                <w:rFonts w:ascii="Times New Roman" w:hAnsi="Times New Roman" w:cs="Times New Roman" w:hint="eastAsia"/>
                <w:color w:val="000000" w:themeColor="text1"/>
                <w:sz w:val="21"/>
                <w:szCs w:val="21"/>
              </w:rPr>
              <w:t>)</w:t>
            </w:r>
          </w:p>
        </w:tc>
        <w:tc>
          <w:tcPr>
            <w:tcW w:w="1490" w:type="dxa"/>
            <w:tcBorders>
              <w:top w:val="nil"/>
              <w:left w:val="nil"/>
              <w:bottom w:val="nil"/>
              <w:right w:val="nil"/>
            </w:tcBorders>
            <w:shd w:val="clear" w:color="auto" w:fill="auto"/>
            <w:noWrap/>
            <w:vAlign w:val="center"/>
            <w:hideMark/>
          </w:tcPr>
          <w:p w14:paraId="06C820AB"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-0.002**</w:t>
            </w:r>
          </w:p>
        </w:tc>
        <w:tc>
          <w:tcPr>
            <w:tcW w:w="1560" w:type="dxa"/>
            <w:tcBorders>
              <w:top w:val="nil"/>
              <w:left w:val="nil"/>
              <w:bottom w:val="nil"/>
              <w:right w:val="nil"/>
            </w:tcBorders>
            <w:shd w:val="clear" w:color="auto" w:fill="auto"/>
            <w:noWrap/>
            <w:vAlign w:val="center"/>
            <w:hideMark/>
          </w:tcPr>
          <w:p w14:paraId="4699EFA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-0.007***</w:t>
            </w:r>
          </w:p>
        </w:tc>
        <w:tc>
          <w:tcPr>
            <w:tcW w:w="1984" w:type="dxa"/>
            <w:tcBorders>
              <w:top w:val="nil"/>
              <w:left w:val="nil"/>
              <w:bottom w:val="nil"/>
              <w:right w:val="nil"/>
            </w:tcBorders>
            <w:shd w:val="clear" w:color="auto" w:fill="auto"/>
            <w:noWrap/>
            <w:vAlign w:val="center"/>
            <w:hideMark/>
          </w:tcPr>
          <w:p w14:paraId="1A8AAD1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0.031***</w:t>
            </w:r>
          </w:p>
        </w:tc>
        <w:tc>
          <w:tcPr>
            <w:tcW w:w="2006" w:type="dxa"/>
            <w:tcBorders>
              <w:top w:val="nil"/>
              <w:left w:val="nil"/>
              <w:bottom w:val="nil"/>
              <w:right w:val="nil"/>
            </w:tcBorders>
            <w:shd w:val="clear" w:color="auto" w:fill="auto"/>
            <w:noWrap/>
            <w:vAlign w:val="center"/>
            <w:hideMark/>
          </w:tcPr>
          <w:p w14:paraId="551FD8C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0.120***</w:t>
            </w:r>
          </w:p>
        </w:tc>
      </w:tr>
      <w:tr w:rsidR="00CF571C" w:rsidRPr="00CF571C" w14:paraId="620B1963" w14:textId="77777777" w:rsidTr="00B636FD">
        <w:trPr>
          <w:trHeight w:val="205"/>
          <w:jc w:val="center"/>
        </w:trPr>
        <w:tc>
          <w:tcPr>
            <w:tcW w:w="1912" w:type="dxa"/>
            <w:tcBorders>
              <w:top w:val="nil"/>
              <w:left w:val="nil"/>
              <w:bottom w:val="nil"/>
              <w:right w:val="nil"/>
            </w:tcBorders>
            <w:shd w:val="clear" w:color="auto" w:fill="auto"/>
            <w:noWrap/>
            <w:vAlign w:val="center"/>
            <w:hideMark/>
          </w:tcPr>
          <w:p w14:paraId="6D5A270C" w14:textId="77777777" w:rsidR="00D31D73" w:rsidRPr="00CF571C" w:rsidRDefault="00D31D73" w:rsidP="008576B7">
            <w:pPr>
              <w:jc w:val="center"/>
              <w:rPr>
                <w:rFonts w:ascii="Times New Roman" w:hAnsi="Times New Roman" w:cs="Times New Roman"/>
                <w:color w:val="000000" w:themeColor="text1"/>
                <w:sz w:val="21"/>
                <w:szCs w:val="21"/>
              </w:rPr>
            </w:pPr>
          </w:p>
        </w:tc>
        <w:tc>
          <w:tcPr>
            <w:tcW w:w="1490" w:type="dxa"/>
            <w:tcBorders>
              <w:top w:val="nil"/>
              <w:left w:val="nil"/>
              <w:bottom w:val="nil"/>
              <w:right w:val="nil"/>
            </w:tcBorders>
            <w:shd w:val="clear" w:color="auto" w:fill="auto"/>
            <w:noWrap/>
            <w:vAlign w:val="center"/>
            <w:hideMark/>
          </w:tcPr>
          <w:p w14:paraId="3698FB9C"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(-2.13)</w:t>
            </w:r>
          </w:p>
        </w:tc>
        <w:tc>
          <w:tcPr>
            <w:tcW w:w="1560" w:type="dxa"/>
            <w:tcBorders>
              <w:top w:val="nil"/>
              <w:left w:val="nil"/>
              <w:bottom w:val="nil"/>
              <w:right w:val="nil"/>
            </w:tcBorders>
            <w:shd w:val="clear" w:color="auto" w:fill="auto"/>
            <w:noWrap/>
            <w:vAlign w:val="center"/>
            <w:hideMark/>
          </w:tcPr>
          <w:p w14:paraId="25F95A14"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(-30.85)</w:t>
            </w:r>
          </w:p>
        </w:tc>
        <w:tc>
          <w:tcPr>
            <w:tcW w:w="1984" w:type="dxa"/>
            <w:tcBorders>
              <w:top w:val="nil"/>
              <w:left w:val="nil"/>
              <w:bottom w:val="nil"/>
              <w:right w:val="nil"/>
            </w:tcBorders>
            <w:shd w:val="clear" w:color="auto" w:fill="auto"/>
            <w:noWrap/>
            <w:vAlign w:val="center"/>
            <w:hideMark/>
          </w:tcPr>
          <w:p w14:paraId="6A0172E7"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(64.38)</w:t>
            </w:r>
          </w:p>
        </w:tc>
        <w:tc>
          <w:tcPr>
            <w:tcW w:w="2006" w:type="dxa"/>
            <w:tcBorders>
              <w:top w:val="nil"/>
              <w:left w:val="nil"/>
              <w:bottom w:val="nil"/>
              <w:right w:val="nil"/>
            </w:tcBorders>
            <w:shd w:val="clear" w:color="auto" w:fill="auto"/>
            <w:noWrap/>
            <w:vAlign w:val="center"/>
            <w:hideMark/>
          </w:tcPr>
          <w:p w14:paraId="54A1E640"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(142.72)   </w:t>
            </w:r>
          </w:p>
        </w:tc>
      </w:tr>
      <w:tr w:rsidR="00CF571C" w:rsidRPr="00CF571C" w14:paraId="4A8F17B5" w14:textId="77777777" w:rsidTr="00B636FD">
        <w:trPr>
          <w:trHeight w:val="205"/>
          <w:jc w:val="center"/>
        </w:trPr>
        <w:tc>
          <w:tcPr>
            <w:tcW w:w="1912" w:type="dxa"/>
            <w:tcBorders>
              <w:top w:val="nil"/>
              <w:left w:val="nil"/>
              <w:bottom w:val="nil"/>
              <w:right w:val="nil"/>
            </w:tcBorders>
            <w:shd w:val="clear" w:color="auto" w:fill="auto"/>
            <w:noWrap/>
            <w:vAlign w:val="center"/>
          </w:tcPr>
          <w:p w14:paraId="5ED9D9A2" w14:textId="77777777" w:rsidR="00D31D73" w:rsidRPr="00CF571C" w:rsidRDefault="00D31D73"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常数项</w:t>
            </w:r>
          </w:p>
        </w:tc>
        <w:tc>
          <w:tcPr>
            <w:tcW w:w="1490" w:type="dxa"/>
            <w:tcBorders>
              <w:top w:val="nil"/>
              <w:left w:val="nil"/>
              <w:bottom w:val="nil"/>
              <w:right w:val="nil"/>
            </w:tcBorders>
            <w:shd w:val="clear" w:color="auto" w:fill="auto"/>
            <w:noWrap/>
            <w:vAlign w:val="center"/>
          </w:tcPr>
          <w:p w14:paraId="667F008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 </w:t>
            </w:r>
            <w:r w:rsidRPr="00CF571C">
              <w:rPr>
                <w:rFonts w:ascii="Times New Roman" w:hAnsi="Times New Roman" w:cs="Times New Roman"/>
                <w:color w:val="000000" w:themeColor="text1"/>
                <w:sz w:val="21"/>
                <w:szCs w:val="21"/>
              </w:rPr>
              <w:t>是</w:t>
            </w:r>
          </w:p>
        </w:tc>
        <w:tc>
          <w:tcPr>
            <w:tcW w:w="1560" w:type="dxa"/>
            <w:tcBorders>
              <w:top w:val="nil"/>
              <w:left w:val="nil"/>
              <w:bottom w:val="nil"/>
              <w:right w:val="nil"/>
            </w:tcBorders>
            <w:shd w:val="clear" w:color="auto" w:fill="auto"/>
            <w:noWrap/>
            <w:vAlign w:val="center"/>
          </w:tcPr>
          <w:p w14:paraId="31452639"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 </w:t>
            </w:r>
            <w:r w:rsidRPr="00CF571C">
              <w:rPr>
                <w:rFonts w:ascii="Times New Roman" w:hAnsi="Times New Roman" w:cs="Times New Roman"/>
                <w:color w:val="000000" w:themeColor="text1"/>
                <w:sz w:val="21"/>
                <w:szCs w:val="21"/>
              </w:rPr>
              <w:t>是</w:t>
            </w:r>
          </w:p>
        </w:tc>
        <w:tc>
          <w:tcPr>
            <w:tcW w:w="1984" w:type="dxa"/>
            <w:tcBorders>
              <w:top w:val="nil"/>
              <w:left w:val="nil"/>
              <w:bottom w:val="nil"/>
              <w:right w:val="nil"/>
            </w:tcBorders>
            <w:shd w:val="clear" w:color="auto" w:fill="auto"/>
            <w:noWrap/>
            <w:vAlign w:val="center"/>
          </w:tcPr>
          <w:p w14:paraId="44D81BFE"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 </w:t>
            </w:r>
            <w:r w:rsidRPr="00CF571C">
              <w:rPr>
                <w:rFonts w:ascii="Times New Roman" w:hAnsi="Times New Roman" w:cs="Times New Roman"/>
                <w:color w:val="000000" w:themeColor="text1"/>
                <w:sz w:val="21"/>
                <w:szCs w:val="21"/>
              </w:rPr>
              <w:t>是</w:t>
            </w:r>
          </w:p>
        </w:tc>
        <w:tc>
          <w:tcPr>
            <w:tcW w:w="2006" w:type="dxa"/>
            <w:tcBorders>
              <w:top w:val="nil"/>
              <w:left w:val="nil"/>
              <w:bottom w:val="nil"/>
              <w:right w:val="nil"/>
            </w:tcBorders>
            <w:shd w:val="clear" w:color="auto" w:fill="auto"/>
            <w:noWrap/>
            <w:vAlign w:val="center"/>
          </w:tcPr>
          <w:p w14:paraId="31B6BD76" w14:textId="77777777" w:rsidR="00D31D73" w:rsidRPr="00CF571C" w:rsidRDefault="00D31D73" w:rsidP="008576B7">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 xml:space="preserve"> </w:t>
            </w:r>
            <w:r w:rsidRPr="00CF571C">
              <w:rPr>
                <w:rFonts w:ascii="Times New Roman" w:hAnsi="Times New Roman" w:cs="Times New Roman"/>
                <w:color w:val="000000" w:themeColor="text1"/>
                <w:sz w:val="21"/>
                <w:szCs w:val="21"/>
              </w:rPr>
              <w:t>是</w:t>
            </w:r>
          </w:p>
        </w:tc>
      </w:tr>
      <w:tr w:rsidR="00CF571C" w:rsidRPr="00CF571C" w14:paraId="0CB31DBC" w14:textId="77777777" w:rsidTr="00B636FD">
        <w:trPr>
          <w:trHeight w:val="205"/>
          <w:jc w:val="center"/>
        </w:trPr>
        <w:tc>
          <w:tcPr>
            <w:tcW w:w="1912" w:type="dxa"/>
            <w:tcBorders>
              <w:top w:val="nil"/>
              <w:left w:val="nil"/>
              <w:right w:val="nil"/>
            </w:tcBorders>
            <w:shd w:val="clear" w:color="auto" w:fill="auto"/>
            <w:noWrap/>
            <w:vAlign w:val="center"/>
            <w:hideMark/>
          </w:tcPr>
          <w:p w14:paraId="6E8D4B4D"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观测值</w:t>
            </w:r>
          </w:p>
        </w:tc>
        <w:tc>
          <w:tcPr>
            <w:tcW w:w="1490" w:type="dxa"/>
            <w:tcBorders>
              <w:top w:val="nil"/>
              <w:left w:val="nil"/>
              <w:right w:val="nil"/>
            </w:tcBorders>
            <w:shd w:val="clear" w:color="auto" w:fill="auto"/>
            <w:noWrap/>
            <w:hideMark/>
          </w:tcPr>
          <w:p w14:paraId="3D8EACED"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541954</w:t>
            </w:r>
          </w:p>
        </w:tc>
        <w:tc>
          <w:tcPr>
            <w:tcW w:w="1560" w:type="dxa"/>
            <w:tcBorders>
              <w:top w:val="nil"/>
              <w:left w:val="nil"/>
              <w:right w:val="nil"/>
            </w:tcBorders>
            <w:shd w:val="clear" w:color="auto" w:fill="auto"/>
            <w:noWrap/>
            <w:hideMark/>
          </w:tcPr>
          <w:p w14:paraId="258CE5ED"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577356</w:t>
            </w:r>
          </w:p>
        </w:tc>
        <w:tc>
          <w:tcPr>
            <w:tcW w:w="1984" w:type="dxa"/>
            <w:tcBorders>
              <w:top w:val="nil"/>
              <w:left w:val="nil"/>
              <w:right w:val="nil"/>
            </w:tcBorders>
            <w:shd w:val="clear" w:color="auto" w:fill="auto"/>
            <w:noWrap/>
            <w:hideMark/>
          </w:tcPr>
          <w:p w14:paraId="295D892B"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459562</w:t>
            </w:r>
          </w:p>
        </w:tc>
        <w:tc>
          <w:tcPr>
            <w:tcW w:w="2006" w:type="dxa"/>
            <w:tcBorders>
              <w:top w:val="nil"/>
              <w:left w:val="nil"/>
              <w:right w:val="nil"/>
            </w:tcBorders>
            <w:shd w:val="clear" w:color="auto" w:fill="auto"/>
            <w:noWrap/>
            <w:hideMark/>
          </w:tcPr>
          <w:p w14:paraId="046408D2"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501474</w:t>
            </w:r>
          </w:p>
        </w:tc>
      </w:tr>
      <w:tr w:rsidR="00F40321" w:rsidRPr="00CF571C" w14:paraId="4FFB0AEE" w14:textId="77777777" w:rsidTr="007E197E">
        <w:trPr>
          <w:trHeight w:val="205"/>
          <w:jc w:val="center"/>
        </w:trPr>
        <w:tc>
          <w:tcPr>
            <w:tcW w:w="1912" w:type="dxa"/>
            <w:tcBorders>
              <w:top w:val="nil"/>
              <w:left w:val="nil"/>
              <w:bottom w:val="single" w:sz="8" w:space="0" w:color="auto"/>
              <w:right w:val="nil"/>
            </w:tcBorders>
            <w:shd w:val="clear" w:color="auto" w:fill="auto"/>
            <w:noWrap/>
            <w:vAlign w:val="center"/>
            <w:hideMark/>
          </w:tcPr>
          <w:p w14:paraId="4E8866AD" w14:textId="77777777" w:rsidR="00F40321" w:rsidRPr="00CF571C" w:rsidRDefault="00000000" w:rsidP="00F40321">
            <w:pPr>
              <w:jc w:val="center"/>
              <w:rPr>
                <w:rFonts w:ascii="Times New Roman" w:hAnsi="Times New Roman" w:cs="Times New Roman"/>
                <w:color w:val="000000" w:themeColor="text1"/>
                <w:sz w:val="21"/>
                <w:szCs w:val="21"/>
              </w:rPr>
            </w:pPr>
            <m:oMathPara>
              <m:oMath>
                <m:sSup>
                  <m:sSupPr>
                    <m:ctrlPr>
                      <w:rPr>
                        <w:rFonts w:ascii="Cambria Math" w:hAnsi="Cambria Math" w:cs="Times New Roman"/>
                        <w:color w:val="000000" w:themeColor="text1"/>
                        <w:sz w:val="21"/>
                        <w:szCs w:val="21"/>
                      </w:rPr>
                    </m:ctrlPr>
                  </m:sSupPr>
                  <m:e>
                    <m:r>
                      <m:rPr>
                        <m:sty m:val="p"/>
                      </m:rPr>
                      <w:rPr>
                        <w:rFonts w:ascii="Cambria Math" w:hAnsi="Cambria Math" w:cs="Times New Roman" w:hint="eastAsia"/>
                        <w:color w:val="000000" w:themeColor="text1"/>
                        <w:sz w:val="21"/>
                        <w:szCs w:val="21"/>
                      </w:rPr>
                      <m:t>R</m:t>
                    </m:r>
                  </m:e>
                  <m:sup>
                    <m:r>
                      <m:rPr>
                        <m:sty m:val="p"/>
                      </m:rPr>
                      <w:rPr>
                        <w:rFonts w:ascii="Cambria Math" w:hAnsi="Cambria Math" w:cs="Times New Roman"/>
                        <w:color w:val="000000" w:themeColor="text1"/>
                        <w:sz w:val="21"/>
                        <w:szCs w:val="21"/>
                      </w:rPr>
                      <m:t>2</m:t>
                    </m:r>
                  </m:sup>
                </m:sSup>
              </m:oMath>
            </m:oMathPara>
          </w:p>
        </w:tc>
        <w:tc>
          <w:tcPr>
            <w:tcW w:w="1490" w:type="dxa"/>
            <w:tcBorders>
              <w:top w:val="nil"/>
              <w:left w:val="nil"/>
              <w:bottom w:val="single" w:sz="8" w:space="0" w:color="auto"/>
              <w:right w:val="nil"/>
            </w:tcBorders>
            <w:shd w:val="clear" w:color="auto" w:fill="auto"/>
            <w:noWrap/>
            <w:hideMark/>
          </w:tcPr>
          <w:p w14:paraId="61D7C939"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0.042</w:t>
            </w:r>
          </w:p>
        </w:tc>
        <w:tc>
          <w:tcPr>
            <w:tcW w:w="1560" w:type="dxa"/>
            <w:tcBorders>
              <w:top w:val="nil"/>
              <w:left w:val="nil"/>
              <w:bottom w:val="single" w:sz="8" w:space="0" w:color="auto"/>
              <w:right w:val="nil"/>
            </w:tcBorders>
            <w:shd w:val="clear" w:color="auto" w:fill="auto"/>
            <w:noWrap/>
            <w:hideMark/>
          </w:tcPr>
          <w:p w14:paraId="2E4F6966"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0.278</w:t>
            </w:r>
          </w:p>
        </w:tc>
        <w:tc>
          <w:tcPr>
            <w:tcW w:w="1984" w:type="dxa"/>
            <w:tcBorders>
              <w:top w:val="nil"/>
              <w:left w:val="nil"/>
              <w:bottom w:val="single" w:sz="8" w:space="0" w:color="auto"/>
              <w:right w:val="nil"/>
            </w:tcBorders>
            <w:shd w:val="clear" w:color="auto" w:fill="auto"/>
            <w:noWrap/>
            <w:hideMark/>
          </w:tcPr>
          <w:p w14:paraId="378B31CA"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0.062</w:t>
            </w:r>
          </w:p>
        </w:tc>
        <w:tc>
          <w:tcPr>
            <w:tcW w:w="2006" w:type="dxa"/>
            <w:tcBorders>
              <w:top w:val="nil"/>
              <w:left w:val="nil"/>
              <w:bottom w:val="single" w:sz="8" w:space="0" w:color="auto"/>
              <w:right w:val="nil"/>
            </w:tcBorders>
            <w:shd w:val="clear" w:color="auto" w:fill="auto"/>
            <w:noWrap/>
            <w:hideMark/>
          </w:tcPr>
          <w:p w14:paraId="7201F403" w14:textId="77777777" w:rsidR="00F40321" w:rsidRPr="00CF571C" w:rsidRDefault="00F40321" w:rsidP="00F40321">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0.074</w:t>
            </w:r>
          </w:p>
        </w:tc>
      </w:tr>
    </w:tbl>
    <w:p w14:paraId="6CDF1F67" w14:textId="77777777" w:rsidR="00D31D73" w:rsidRPr="00CF571C" w:rsidRDefault="00D31D73" w:rsidP="008576B7">
      <w:pPr>
        <w:rPr>
          <w:rFonts w:ascii="Times New Roman" w:hAnsi="Times New Roman" w:cs="Times New Roman"/>
          <w:color w:val="000000" w:themeColor="text1"/>
          <w:sz w:val="21"/>
          <w:szCs w:val="21"/>
        </w:rPr>
      </w:pPr>
    </w:p>
    <w:p w14:paraId="46C4B58B" w14:textId="77777777" w:rsidR="00D31D73" w:rsidRPr="00CF571C" w:rsidRDefault="00D31D73" w:rsidP="008F1AB5">
      <w:pPr>
        <w:ind w:firstLineChars="200" w:firstLine="420"/>
        <w:jc w:val="both"/>
        <w:rPr>
          <w:rFonts w:ascii="Times New Roman" w:hAnsi="Times New Roman" w:cs="Times New Roman"/>
          <w:color w:val="000000" w:themeColor="text1"/>
          <w:sz w:val="21"/>
          <w:szCs w:val="21"/>
        </w:rPr>
      </w:pPr>
      <w:bookmarkStart w:id="36" w:name="OLE_LINK61"/>
      <w:bookmarkStart w:id="37" w:name="OLE_LINK62"/>
      <w:r w:rsidRPr="00CF571C">
        <w:rPr>
          <w:rFonts w:ascii="Times New Roman" w:hAnsi="Times New Roman" w:cs="Times New Roman" w:hint="eastAsia"/>
          <w:color w:val="000000" w:themeColor="text1"/>
          <w:sz w:val="21"/>
          <w:szCs w:val="21"/>
        </w:rPr>
        <w:t>基于以上初步验证，本文使用夏普利值分解法验证和确认预算支出差异的纵向来源和横向来源。</w:t>
      </w:r>
      <w:bookmarkEnd w:id="36"/>
      <w:bookmarkEnd w:id="37"/>
      <w:r w:rsidRPr="00CF571C">
        <w:rPr>
          <w:rFonts w:ascii="Times New Roman" w:hAnsi="Times New Roman" w:cs="Times New Roman" w:hint="eastAsia"/>
          <w:color w:val="000000" w:themeColor="text1"/>
          <w:sz w:val="21"/>
          <w:szCs w:val="21"/>
        </w:rPr>
        <w:t>具体过程是，</w:t>
      </w:r>
      <w:bookmarkStart w:id="38" w:name="OLE_LINK63"/>
      <w:bookmarkStart w:id="39" w:name="OLE_LINK64"/>
      <w:r w:rsidRPr="00CF571C">
        <w:rPr>
          <w:rFonts w:ascii="Times New Roman" w:hAnsi="Times New Roman" w:cs="Times New Roman" w:hint="eastAsia"/>
          <w:color w:val="000000" w:themeColor="text1"/>
          <w:sz w:val="21"/>
          <w:szCs w:val="21"/>
        </w:rPr>
        <w:t>首先，本文将“城市对”划分为同省组和异省组，对一系列影响预算支出的市级指标夏普利值进行测算。基于此，比较同省样本组的市级指标贡献度和异省样本组的市级指标贡献度。</w:t>
      </w:r>
      <w:bookmarkEnd w:id="38"/>
      <w:bookmarkEnd w:id="39"/>
      <w:r w:rsidRPr="00CF571C">
        <w:rPr>
          <w:rFonts w:ascii="Times New Roman" w:hAnsi="Times New Roman" w:cs="Times New Roman" w:hint="eastAsia"/>
          <w:color w:val="000000" w:themeColor="text1"/>
          <w:sz w:val="21"/>
          <w:szCs w:val="21"/>
        </w:rPr>
        <w:t>图</w:t>
      </w:r>
      <w:r w:rsidRPr="00CF571C">
        <w:rPr>
          <w:rFonts w:ascii="Times New Roman" w:hAnsi="Times New Roman" w:cs="Times New Roman"/>
          <w:color w:val="000000" w:themeColor="text1"/>
          <w:sz w:val="21"/>
          <w:szCs w:val="21"/>
        </w:rPr>
        <w:t>7</w:t>
      </w:r>
      <w:r w:rsidRPr="00CF571C">
        <w:rPr>
          <w:rFonts w:ascii="Times New Roman" w:hAnsi="Times New Roman" w:cs="Times New Roman" w:hint="eastAsia"/>
          <w:color w:val="000000" w:themeColor="text1"/>
          <w:sz w:val="21"/>
          <w:szCs w:val="21"/>
        </w:rPr>
        <w:t>报告了同省组“城市对”和异省组“城市对”夏普利值差异分解情况。</w:t>
      </w:r>
      <w:bookmarkStart w:id="40" w:name="OLE_LINK65"/>
      <w:bookmarkStart w:id="41" w:name="OLE_LINK66"/>
      <w:bookmarkStart w:id="42" w:name="OLE_LINK67"/>
      <w:bookmarkStart w:id="43" w:name="OLE_LINK68"/>
      <w:r w:rsidRPr="00CF571C">
        <w:rPr>
          <w:rFonts w:ascii="Times New Roman" w:hAnsi="Times New Roman" w:cs="Times New Roman" w:hint="eastAsia"/>
          <w:color w:val="000000" w:themeColor="text1"/>
          <w:sz w:val="21"/>
          <w:szCs w:val="21"/>
        </w:rPr>
        <w:t>结果显示，</w:t>
      </w:r>
      <w:r w:rsidRPr="00CF571C">
        <w:rPr>
          <w:rFonts w:ascii="Times New Roman" w:hAnsi="Times New Roman" w:cs="Times New Roman"/>
          <w:bCs/>
          <w:color w:val="000000" w:themeColor="text1"/>
          <w:sz w:val="21"/>
          <w:szCs w:val="21"/>
        </w:rPr>
        <w:t>对于四种预算支出类型，</w:t>
      </w:r>
      <w:r w:rsidRPr="00CF571C">
        <w:rPr>
          <w:rFonts w:ascii="Times New Roman" w:hAnsi="Times New Roman" w:cs="Times New Roman" w:hint="eastAsia"/>
          <w:bCs/>
          <w:color w:val="000000" w:themeColor="text1"/>
          <w:sz w:val="21"/>
          <w:szCs w:val="21"/>
        </w:rPr>
        <w:t>市级指标</w:t>
      </w:r>
      <w:r w:rsidRPr="00CF571C">
        <w:rPr>
          <w:rFonts w:ascii="Times New Roman" w:hAnsi="Times New Roman" w:cs="Times New Roman"/>
          <w:bCs/>
          <w:color w:val="000000" w:themeColor="text1"/>
          <w:sz w:val="21"/>
          <w:szCs w:val="21"/>
        </w:rPr>
        <w:t>对支出比重差异的贡献度均存在统一的共性，即同省组的贡献度均远远大于异省组</w:t>
      </w:r>
      <w:r w:rsidRPr="00CF571C">
        <w:rPr>
          <w:rFonts w:ascii="Times New Roman" w:hAnsi="Times New Roman" w:cs="Times New Roman" w:hint="eastAsia"/>
          <w:bCs/>
          <w:color w:val="000000" w:themeColor="text1"/>
          <w:sz w:val="21"/>
          <w:szCs w:val="21"/>
        </w:rPr>
        <w:t>的</w:t>
      </w:r>
      <w:r w:rsidRPr="00CF571C">
        <w:rPr>
          <w:rFonts w:ascii="Times New Roman" w:hAnsi="Times New Roman" w:cs="Times New Roman"/>
          <w:bCs/>
          <w:color w:val="000000" w:themeColor="text1"/>
          <w:sz w:val="21"/>
          <w:szCs w:val="21"/>
        </w:rPr>
        <w:t>贡献度。</w:t>
      </w:r>
      <w:bookmarkEnd w:id="40"/>
      <w:bookmarkEnd w:id="41"/>
      <w:r w:rsidRPr="00CF571C">
        <w:rPr>
          <w:rFonts w:ascii="Times New Roman" w:hAnsi="Times New Roman" w:cs="Times New Roman" w:hint="eastAsia"/>
          <w:color w:val="000000" w:themeColor="text1"/>
          <w:sz w:val="21"/>
          <w:szCs w:val="21"/>
        </w:rPr>
        <w:t>若省级纵向</w:t>
      </w:r>
      <w:r w:rsidR="00346D17" w:rsidRPr="00CF571C">
        <w:rPr>
          <w:rFonts w:ascii="Times New Roman" w:hAnsi="Times New Roman" w:cs="Times New Roman" w:hint="eastAsia"/>
          <w:color w:val="000000" w:themeColor="text1"/>
          <w:sz w:val="21"/>
          <w:szCs w:val="21"/>
        </w:rPr>
        <w:t>统筹</w:t>
      </w:r>
      <w:r w:rsidRPr="00CF571C">
        <w:rPr>
          <w:rFonts w:ascii="Times New Roman" w:hAnsi="Times New Roman" w:cs="Times New Roman" w:hint="eastAsia"/>
          <w:color w:val="000000" w:themeColor="text1"/>
          <w:sz w:val="21"/>
          <w:szCs w:val="21"/>
        </w:rPr>
        <w:t>不产生作用，同省组和异省组贡献度应更为相近，而</w:t>
      </w:r>
      <w:r w:rsidRPr="00CF571C">
        <w:rPr>
          <w:rFonts w:ascii="Times New Roman" w:hAnsi="Times New Roman" w:cs="Times New Roman" w:hint="eastAsia"/>
          <w:bCs/>
          <w:color w:val="000000" w:themeColor="text1"/>
          <w:sz w:val="21"/>
          <w:szCs w:val="21"/>
        </w:rPr>
        <w:t>相同系列指标在</w:t>
      </w:r>
      <w:r w:rsidRPr="00CF571C">
        <w:rPr>
          <w:rFonts w:ascii="Times New Roman" w:hAnsi="Times New Roman" w:cs="Times New Roman"/>
          <w:bCs/>
          <w:color w:val="000000" w:themeColor="text1"/>
          <w:sz w:val="21"/>
          <w:szCs w:val="21"/>
        </w:rPr>
        <w:t>异省组的普遍性降低恰恰说明了该组</w:t>
      </w:r>
      <w:r w:rsidRPr="00CF571C">
        <w:rPr>
          <w:rFonts w:ascii="Times New Roman" w:hAnsi="Times New Roman" w:cs="Times New Roman" w:hint="eastAsia"/>
          <w:bCs/>
          <w:color w:val="000000" w:themeColor="text1"/>
          <w:sz w:val="21"/>
          <w:szCs w:val="21"/>
        </w:rPr>
        <w:t>可能</w:t>
      </w:r>
      <w:r w:rsidRPr="00CF571C">
        <w:rPr>
          <w:rFonts w:ascii="Times New Roman" w:hAnsi="Times New Roman" w:cs="Times New Roman"/>
          <w:bCs/>
          <w:color w:val="000000" w:themeColor="text1"/>
          <w:sz w:val="21"/>
          <w:szCs w:val="21"/>
        </w:rPr>
        <w:t>存在省级</w:t>
      </w:r>
      <w:r w:rsidRPr="00CF571C">
        <w:rPr>
          <w:rFonts w:ascii="Times New Roman" w:hAnsi="Times New Roman" w:cs="Times New Roman" w:hint="eastAsia"/>
          <w:bCs/>
          <w:color w:val="000000" w:themeColor="text1"/>
          <w:sz w:val="21"/>
          <w:szCs w:val="21"/>
        </w:rPr>
        <w:t>的</w:t>
      </w:r>
      <w:r w:rsidRPr="00CF571C">
        <w:rPr>
          <w:rFonts w:ascii="Times New Roman" w:hAnsi="Times New Roman" w:cs="Times New Roman"/>
          <w:bCs/>
          <w:color w:val="000000" w:themeColor="text1"/>
          <w:sz w:val="21"/>
          <w:szCs w:val="21"/>
        </w:rPr>
        <w:t>纵向影响</w:t>
      </w:r>
      <w:r w:rsidRPr="00CF571C">
        <w:rPr>
          <w:rFonts w:ascii="Times New Roman" w:hAnsi="Times New Roman" w:cs="Times New Roman" w:hint="eastAsia"/>
          <w:bCs/>
          <w:color w:val="000000" w:themeColor="text1"/>
          <w:sz w:val="21"/>
          <w:szCs w:val="21"/>
        </w:rPr>
        <w:t>，从而对预算支出</w:t>
      </w:r>
      <w:r w:rsidRPr="00CF571C">
        <w:rPr>
          <w:rFonts w:ascii="Times New Roman" w:hAnsi="Times New Roman" w:cs="Times New Roman"/>
          <w:bCs/>
          <w:color w:val="000000" w:themeColor="text1"/>
          <w:sz w:val="21"/>
          <w:szCs w:val="21"/>
        </w:rPr>
        <w:t>差异具有一定解释力，使得</w:t>
      </w:r>
      <w:r w:rsidRPr="00CF571C">
        <w:rPr>
          <w:rFonts w:ascii="Times New Roman" w:hAnsi="Times New Roman" w:cs="Times New Roman" w:hint="eastAsia"/>
          <w:bCs/>
          <w:color w:val="000000" w:themeColor="text1"/>
          <w:sz w:val="21"/>
          <w:szCs w:val="21"/>
        </w:rPr>
        <w:t>市级系列</w:t>
      </w:r>
      <w:r w:rsidRPr="00CF571C">
        <w:rPr>
          <w:rFonts w:ascii="Times New Roman" w:hAnsi="Times New Roman" w:cs="Times New Roman"/>
          <w:bCs/>
          <w:color w:val="000000" w:themeColor="text1"/>
          <w:sz w:val="21"/>
          <w:szCs w:val="21"/>
        </w:rPr>
        <w:t>指标的解释力相对缩小。</w:t>
      </w:r>
    </w:p>
    <w:bookmarkEnd w:id="42"/>
    <w:bookmarkEnd w:id="43"/>
    <w:p w14:paraId="03756A8B" w14:textId="77777777" w:rsidR="00D31D73" w:rsidRPr="00CF571C" w:rsidRDefault="00D31D73" w:rsidP="008B4722">
      <w:pPr>
        <w:ind w:firstLineChars="200" w:firstLine="420"/>
        <w:rPr>
          <w:rFonts w:ascii="Times New Roman" w:hAnsi="Times New Roman" w:cs="Times New Roman"/>
          <w:color w:val="000000" w:themeColor="text1"/>
          <w:sz w:val="21"/>
          <w:szCs w:val="21"/>
        </w:rPr>
      </w:pPr>
    </w:p>
    <w:p w14:paraId="4A851031" w14:textId="77777777" w:rsidR="00D31D73" w:rsidRPr="00CF571C" w:rsidRDefault="00D31D73" w:rsidP="006255F9">
      <w:pPr>
        <w:jc w:val="center"/>
        <w:rPr>
          <w:rFonts w:ascii="Times New Roman" w:hAnsi="Times New Roman" w:cs="Times New Roman"/>
          <w:color w:val="000000" w:themeColor="text1"/>
        </w:rPr>
      </w:pPr>
      <w:r w:rsidRPr="00CF571C">
        <w:rPr>
          <w:noProof/>
          <w:color w:val="000000" w:themeColor="text1"/>
        </w:rPr>
        <w:drawing>
          <wp:inline distT="0" distB="0" distL="0" distR="0" wp14:anchorId="6658E52F" wp14:editId="7B5D1DB4">
            <wp:extent cx="4020014" cy="2766060"/>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028347" cy="2771794"/>
                    </a:xfrm>
                    <a:prstGeom prst="rect">
                      <a:avLst/>
                    </a:prstGeom>
                  </pic:spPr>
                </pic:pic>
              </a:graphicData>
            </a:graphic>
          </wp:inline>
        </w:drawing>
      </w:r>
    </w:p>
    <w:p w14:paraId="6DCAFC64"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图</w:t>
      </w:r>
      <w:r w:rsidRPr="00CF571C">
        <w:rPr>
          <w:rFonts w:ascii="Times New Roman" w:eastAsia="楷体" w:hAnsi="Times New Roman" w:cs="Times New Roman"/>
          <w:bCs/>
          <w:color w:val="000000" w:themeColor="text1"/>
          <w:kern w:val="2"/>
          <w:sz w:val="21"/>
          <w:szCs w:val="21"/>
        </w:rPr>
        <w:t xml:space="preserve">7    </w:t>
      </w:r>
      <w:r w:rsidRPr="00CF571C">
        <w:rPr>
          <w:rFonts w:ascii="Times New Roman" w:eastAsia="楷体" w:hAnsi="Times New Roman" w:cs="Times New Roman"/>
          <w:bCs/>
          <w:color w:val="000000" w:themeColor="text1"/>
          <w:kern w:val="2"/>
          <w:sz w:val="21"/>
          <w:szCs w:val="21"/>
        </w:rPr>
        <w:t>分样本</w:t>
      </w:r>
      <w:r w:rsidRPr="00CF571C">
        <w:rPr>
          <w:rFonts w:ascii="Times New Roman" w:eastAsia="楷体" w:hAnsi="Times New Roman" w:cs="Times New Roman"/>
          <w:bCs/>
          <w:color w:val="000000" w:themeColor="text1"/>
          <w:sz w:val="21"/>
          <w:szCs w:val="21"/>
        </w:rPr>
        <w:t>夏普利值分解对比</w:t>
      </w:r>
    </w:p>
    <w:p w14:paraId="1F418B4E" w14:textId="77777777" w:rsidR="00D31D73" w:rsidRPr="00CF571C" w:rsidRDefault="00D31D73" w:rsidP="00741E5D">
      <w:pPr>
        <w:rPr>
          <w:rFonts w:ascii="Times New Roman" w:hAnsi="Times New Roman" w:cs="Times New Roman"/>
          <w:color w:val="000000" w:themeColor="text1"/>
        </w:rPr>
      </w:pPr>
    </w:p>
    <w:p w14:paraId="3089F64B" w14:textId="77777777" w:rsidR="00D31D73" w:rsidRPr="00CF571C" w:rsidRDefault="00D31D73" w:rsidP="00D31EB2">
      <w:pPr>
        <w:ind w:firstLineChars="200" w:firstLine="420"/>
        <w:jc w:val="both"/>
        <w:rPr>
          <w:rFonts w:ascii="Times New Roman" w:hAnsi="Times New Roman" w:cs="Times New Roman"/>
          <w:color w:val="000000" w:themeColor="text1"/>
          <w:sz w:val="21"/>
          <w:szCs w:val="21"/>
        </w:rPr>
      </w:pPr>
      <w:bookmarkStart w:id="44" w:name="OLE_LINK69"/>
      <w:bookmarkStart w:id="45" w:name="OLE_LINK70"/>
      <w:r w:rsidRPr="00CF571C">
        <w:rPr>
          <w:rFonts w:ascii="Times New Roman" w:hAnsi="Times New Roman" w:cs="Times New Roman" w:hint="eastAsia"/>
          <w:color w:val="000000" w:themeColor="text1"/>
          <w:sz w:val="21"/>
          <w:szCs w:val="21"/>
        </w:rPr>
        <w:t>为了验证以上猜测，本文进一步对全样本“城市对”的差异来源进行分解。检验省级系列指标，地理距离指标和市级系列指标在其中的解释力情况，其中，省级指标可以反映省级纵向影响，地理距离可以反映横向影响，若二者均具有一定解释力，则可在一定程度</w:t>
      </w:r>
      <w:r w:rsidRPr="00CF571C">
        <w:rPr>
          <w:rFonts w:ascii="Times New Roman" w:hAnsi="Times New Roman" w:cs="Times New Roman" w:hint="eastAsia"/>
          <w:color w:val="000000" w:themeColor="text1"/>
          <w:sz w:val="21"/>
          <w:szCs w:val="21"/>
        </w:rPr>
        <w:lastRenderedPageBreak/>
        <w:t>上证明城市间预算支出结构差异存在纵向和横向两个重要来源。</w:t>
      </w:r>
      <w:bookmarkEnd w:id="44"/>
      <w:bookmarkEnd w:id="45"/>
      <w:r w:rsidRPr="00CF571C">
        <w:rPr>
          <w:rFonts w:ascii="Times New Roman" w:hAnsi="Times New Roman" w:cs="Times New Roman" w:hint="eastAsia"/>
          <w:color w:val="000000" w:themeColor="text1"/>
          <w:sz w:val="21"/>
          <w:szCs w:val="21"/>
        </w:rPr>
        <w:t>表</w:t>
      </w:r>
      <w:bookmarkStart w:id="46" w:name="OLE_LINK71"/>
      <w:bookmarkStart w:id="47" w:name="OLE_LINK72"/>
      <w:r w:rsidR="003F73D6" w:rsidRPr="00CF571C">
        <w:rPr>
          <w:rFonts w:ascii="Times New Roman" w:hAnsi="Times New Roman" w:cs="Times New Roman"/>
          <w:color w:val="000000" w:themeColor="text1"/>
          <w:sz w:val="21"/>
          <w:szCs w:val="21"/>
        </w:rPr>
        <w:t>6</w:t>
      </w:r>
      <w:r w:rsidRPr="00CF571C">
        <w:rPr>
          <w:rFonts w:ascii="Times New Roman" w:hAnsi="Times New Roman" w:cs="Times New Roman" w:hint="eastAsia"/>
          <w:color w:val="000000" w:themeColor="text1"/>
          <w:sz w:val="21"/>
          <w:szCs w:val="21"/>
        </w:rPr>
        <w:t>结果显示，一方面，在加入省级指标解释市级预算支出比重差异后，省级指标具有一定的程度的解释力，说明省级层面对于地级市预算支出比重差异具有一定影响，证明了纵向来源的存在。另一方面，城市间的地理距离对于预算支出比重差异同样具有一定程度的解释力，其贡献度略小于省级指标，说明地理横向影响相对于省级纵向影响偏小，但仍证明了差异的横向来源存在性。这一结果说明，纵向与横向影响在影响强度上存在差异，整体来看，省级政府可能对地方预算支出差异的影响更为关键，这与我国地方实际预算自主权有限的背景较为一致，</w:t>
      </w:r>
      <w:r w:rsidRPr="00CF571C">
        <w:rPr>
          <w:rFonts w:ascii="Times New Roman" w:hAnsi="Times New Roman" w:cs="Times New Roman"/>
          <w:color w:val="000000" w:themeColor="text1"/>
          <w:sz w:val="21"/>
          <w:szCs w:val="21"/>
        </w:rPr>
        <w:t>预算</w:t>
      </w:r>
      <w:r w:rsidRPr="00CF571C">
        <w:rPr>
          <w:rFonts w:ascii="Times New Roman" w:hAnsi="Times New Roman" w:cs="Times New Roman" w:hint="eastAsia"/>
          <w:color w:val="000000" w:themeColor="text1"/>
          <w:sz w:val="21"/>
          <w:szCs w:val="21"/>
        </w:rPr>
        <w:t>职权</w:t>
      </w:r>
      <w:r w:rsidRPr="00CF571C">
        <w:rPr>
          <w:rFonts w:ascii="Times New Roman" w:hAnsi="Times New Roman" w:cs="Times New Roman"/>
          <w:color w:val="000000" w:themeColor="text1"/>
          <w:sz w:val="21"/>
          <w:szCs w:val="21"/>
        </w:rPr>
        <w:t>纵向配置多表现为</w:t>
      </w:r>
      <w:r w:rsidRPr="00CF571C">
        <w:rPr>
          <w:rFonts w:ascii="Times New Roman" w:hAnsi="Times New Roman" w:cs="Times New Roman" w:hint="eastAsia"/>
          <w:color w:val="000000" w:themeColor="text1"/>
          <w:sz w:val="21"/>
          <w:szCs w:val="21"/>
        </w:rPr>
        <w:t>上级</w:t>
      </w:r>
      <w:r w:rsidRPr="00CF571C">
        <w:rPr>
          <w:rFonts w:ascii="Times New Roman" w:hAnsi="Times New Roman" w:cs="Times New Roman"/>
          <w:color w:val="000000" w:themeColor="text1"/>
          <w:sz w:val="21"/>
          <w:szCs w:val="21"/>
        </w:rPr>
        <w:t>政府对地方预算的约束</w:t>
      </w:r>
      <w:r w:rsidRPr="00CF571C">
        <w:rPr>
          <w:rFonts w:ascii="Times New Roman" w:hAnsi="Times New Roman" w:cs="Times New Roman" w:hint="eastAsia"/>
          <w:color w:val="000000" w:themeColor="text1"/>
          <w:sz w:val="21"/>
          <w:szCs w:val="21"/>
        </w:rPr>
        <w:t>。当然，纵向与横向两种力量的比较，还需要结合不同支出类型进一步具体分析。</w:t>
      </w:r>
      <w:bookmarkEnd w:id="46"/>
      <w:bookmarkEnd w:id="47"/>
    </w:p>
    <w:p w14:paraId="37BA759C" w14:textId="77777777" w:rsidR="008132A8" w:rsidRPr="00CF571C" w:rsidRDefault="008132A8" w:rsidP="00D31EB2">
      <w:pPr>
        <w:ind w:firstLineChars="200" w:firstLine="420"/>
        <w:jc w:val="both"/>
        <w:rPr>
          <w:rFonts w:ascii="Times New Roman" w:hAnsi="Times New Roman" w:cs="Times New Roman"/>
          <w:color w:val="000000" w:themeColor="text1"/>
          <w:sz w:val="21"/>
          <w:szCs w:val="21"/>
        </w:rPr>
      </w:pPr>
    </w:p>
    <w:p w14:paraId="073EBDC3"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6</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全样本</w:t>
      </w:r>
      <w:r w:rsidRPr="00CF571C">
        <w:rPr>
          <w:rFonts w:ascii="Times New Roman" w:eastAsia="楷体" w:hAnsi="Times New Roman" w:cs="Times New Roman"/>
          <w:bCs/>
          <w:color w:val="000000" w:themeColor="text1"/>
          <w:sz w:val="21"/>
          <w:szCs w:val="21"/>
        </w:rPr>
        <w:t>夏普利值分解</w:t>
      </w:r>
    </w:p>
    <w:tbl>
      <w:tblPr>
        <w:tblW w:w="5120" w:type="pct"/>
        <w:jc w:val="center"/>
        <w:tblLayout w:type="fixed"/>
        <w:tblLook w:val="04A0" w:firstRow="1" w:lastRow="0" w:firstColumn="1" w:lastColumn="0" w:noHBand="0" w:noVBand="1"/>
      </w:tblPr>
      <w:tblGrid>
        <w:gridCol w:w="1748"/>
        <w:gridCol w:w="2035"/>
        <w:gridCol w:w="1164"/>
        <w:gridCol w:w="1164"/>
        <w:gridCol w:w="1309"/>
        <w:gridCol w:w="1307"/>
      </w:tblGrid>
      <w:tr w:rsidR="00CF571C" w:rsidRPr="00CF571C" w14:paraId="56493FD8" w14:textId="77777777" w:rsidTr="0075508C">
        <w:trPr>
          <w:trHeight w:val="318"/>
          <w:jc w:val="center"/>
        </w:trPr>
        <w:tc>
          <w:tcPr>
            <w:tcW w:w="1001" w:type="pct"/>
            <w:tcBorders>
              <w:top w:val="single" w:sz="8" w:space="0" w:color="auto"/>
              <w:left w:val="nil"/>
              <w:bottom w:val="single" w:sz="8" w:space="0" w:color="auto"/>
              <w:right w:val="nil"/>
            </w:tcBorders>
            <w:vAlign w:val="center"/>
          </w:tcPr>
          <w:p w14:paraId="0D029E63" w14:textId="77777777" w:rsidR="00BB563F" w:rsidRPr="00CF571C" w:rsidRDefault="00BB563F" w:rsidP="00BB563F">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color w:val="000000" w:themeColor="text1"/>
                <w:sz w:val="21"/>
                <w:szCs w:val="21"/>
              </w:rPr>
              <w:t>维度</w:t>
            </w:r>
          </w:p>
        </w:tc>
        <w:tc>
          <w:tcPr>
            <w:tcW w:w="1166" w:type="pct"/>
            <w:tcBorders>
              <w:top w:val="single" w:sz="8" w:space="0" w:color="auto"/>
              <w:left w:val="nil"/>
              <w:bottom w:val="single" w:sz="8" w:space="0" w:color="auto"/>
              <w:right w:val="nil"/>
            </w:tcBorders>
            <w:shd w:val="clear" w:color="auto" w:fill="auto"/>
            <w:noWrap/>
            <w:vAlign w:val="center"/>
            <w:hideMark/>
          </w:tcPr>
          <w:p w14:paraId="3882E673"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变量名称</w:t>
            </w:r>
          </w:p>
        </w:tc>
        <w:tc>
          <w:tcPr>
            <w:tcW w:w="667" w:type="pct"/>
            <w:tcBorders>
              <w:top w:val="single" w:sz="8" w:space="0" w:color="auto"/>
              <w:left w:val="nil"/>
              <w:bottom w:val="single" w:sz="8" w:space="0" w:color="auto"/>
              <w:right w:val="nil"/>
            </w:tcBorders>
            <w:shd w:val="clear" w:color="auto" w:fill="auto"/>
            <w:noWrap/>
            <w:vAlign w:val="center"/>
            <w:hideMark/>
          </w:tcPr>
          <w:p w14:paraId="10CFA33F"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667" w:type="pct"/>
            <w:tcBorders>
              <w:top w:val="single" w:sz="8" w:space="0" w:color="auto"/>
              <w:left w:val="nil"/>
              <w:bottom w:val="single" w:sz="8" w:space="0" w:color="auto"/>
              <w:right w:val="nil"/>
            </w:tcBorders>
            <w:shd w:val="clear" w:color="auto" w:fill="auto"/>
            <w:noWrap/>
            <w:vAlign w:val="center"/>
            <w:hideMark/>
          </w:tcPr>
          <w:p w14:paraId="08B656B8"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科学支出比重差异</w:t>
            </w:r>
          </w:p>
        </w:tc>
        <w:tc>
          <w:tcPr>
            <w:tcW w:w="750" w:type="pct"/>
            <w:tcBorders>
              <w:top w:val="single" w:sz="8" w:space="0" w:color="auto"/>
              <w:left w:val="nil"/>
              <w:bottom w:val="single" w:sz="8" w:space="0" w:color="auto"/>
              <w:right w:val="nil"/>
            </w:tcBorders>
            <w:shd w:val="clear" w:color="auto" w:fill="auto"/>
            <w:noWrap/>
            <w:vAlign w:val="center"/>
            <w:hideMark/>
          </w:tcPr>
          <w:p w14:paraId="56299879"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749" w:type="pct"/>
            <w:tcBorders>
              <w:top w:val="single" w:sz="8" w:space="0" w:color="auto"/>
              <w:left w:val="nil"/>
              <w:bottom w:val="single" w:sz="8" w:space="0" w:color="auto"/>
              <w:right w:val="nil"/>
            </w:tcBorders>
            <w:shd w:val="clear" w:color="auto" w:fill="auto"/>
            <w:noWrap/>
            <w:vAlign w:val="center"/>
            <w:hideMark/>
          </w:tcPr>
          <w:p w14:paraId="14CB4CAD"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207D5062" w14:textId="77777777" w:rsidTr="0075508C">
        <w:trPr>
          <w:trHeight w:val="318"/>
          <w:jc w:val="center"/>
        </w:trPr>
        <w:tc>
          <w:tcPr>
            <w:tcW w:w="1001" w:type="pct"/>
            <w:vMerge w:val="restart"/>
            <w:tcBorders>
              <w:top w:val="single" w:sz="8" w:space="0" w:color="auto"/>
              <w:left w:val="nil"/>
              <w:right w:val="nil"/>
            </w:tcBorders>
            <w:vAlign w:val="center"/>
          </w:tcPr>
          <w:p w14:paraId="532327BF"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纵向：省级</w:t>
            </w:r>
            <w:r w:rsidRPr="00CF571C">
              <w:rPr>
                <w:rFonts w:ascii="Times New Roman" w:hAnsi="Times New Roman" w:cs="Times New Roman" w:hint="eastAsia"/>
                <w:color w:val="000000" w:themeColor="text1"/>
                <w:sz w:val="21"/>
                <w:szCs w:val="21"/>
              </w:rPr>
              <w:t>指标</w:t>
            </w:r>
          </w:p>
        </w:tc>
        <w:tc>
          <w:tcPr>
            <w:tcW w:w="1166" w:type="pct"/>
            <w:tcBorders>
              <w:top w:val="single" w:sz="8" w:space="0" w:color="auto"/>
              <w:left w:val="nil"/>
              <w:bottom w:val="nil"/>
              <w:right w:val="nil"/>
            </w:tcBorders>
            <w:shd w:val="clear" w:color="auto" w:fill="auto"/>
            <w:noWrap/>
            <w:vAlign w:val="center"/>
          </w:tcPr>
          <w:p w14:paraId="06B8A1E8"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w:t>
            </w:r>
          </w:p>
        </w:tc>
        <w:tc>
          <w:tcPr>
            <w:tcW w:w="667" w:type="pct"/>
            <w:vMerge w:val="restart"/>
            <w:tcBorders>
              <w:top w:val="single" w:sz="8" w:space="0" w:color="auto"/>
              <w:left w:val="nil"/>
              <w:right w:val="nil"/>
            </w:tcBorders>
            <w:shd w:val="clear" w:color="auto" w:fill="auto"/>
            <w:noWrap/>
            <w:vAlign w:val="center"/>
          </w:tcPr>
          <w:p w14:paraId="7427FAC0"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2.67%</w:t>
            </w:r>
          </w:p>
        </w:tc>
        <w:tc>
          <w:tcPr>
            <w:tcW w:w="667" w:type="pct"/>
            <w:vMerge w:val="restart"/>
            <w:tcBorders>
              <w:top w:val="single" w:sz="8" w:space="0" w:color="auto"/>
              <w:left w:val="nil"/>
              <w:right w:val="nil"/>
            </w:tcBorders>
            <w:shd w:val="clear" w:color="auto" w:fill="auto"/>
            <w:noWrap/>
            <w:vAlign w:val="center"/>
          </w:tcPr>
          <w:p w14:paraId="3CCB7DCE"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12.26%</w:t>
            </w:r>
          </w:p>
        </w:tc>
        <w:tc>
          <w:tcPr>
            <w:tcW w:w="750" w:type="pct"/>
            <w:vMerge w:val="restart"/>
            <w:tcBorders>
              <w:top w:val="single" w:sz="8" w:space="0" w:color="auto"/>
              <w:left w:val="nil"/>
              <w:right w:val="nil"/>
            </w:tcBorders>
            <w:shd w:val="clear" w:color="auto" w:fill="auto"/>
            <w:noWrap/>
            <w:vAlign w:val="center"/>
          </w:tcPr>
          <w:p w14:paraId="65A60A98"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1.82%</w:t>
            </w:r>
          </w:p>
        </w:tc>
        <w:tc>
          <w:tcPr>
            <w:tcW w:w="749" w:type="pct"/>
            <w:vMerge w:val="restart"/>
            <w:tcBorders>
              <w:top w:val="single" w:sz="8" w:space="0" w:color="auto"/>
              <w:left w:val="nil"/>
              <w:right w:val="nil"/>
            </w:tcBorders>
            <w:shd w:val="clear" w:color="auto" w:fill="auto"/>
            <w:noWrap/>
            <w:vAlign w:val="center"/>
          </w:tcPr>
          <w:p w14:paraId="2DF1635A"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4.49%</w:t>
            </w:r>
          </w:p>
        </w:tc>
      </w:tr>
      <w:tr w:rsidR="00CF571C" w:rsidRPr="00CF571C" w14:paraId="7D7CA9F8" w14:textId="77777777" w:rsidTr="0075508C">
        <w:trPr>
          <w:trHeight w:val="318"/>
          <w:jc w:val="center"/>
        </w:trPr>
        <w:tc>
          <w:tcPr>
            <w:tcW w:w="1001" w:type="pct"/>
            <w:vMerge/>
            <w:tcBorders>
              <w:left w:val="nil"/>
              <w:right w:val="nil"/>
            </w:tcBorders>
            <w:vAlign w:val="center"/>
          </w:tcPr>
          <w:p w14:paraId="02818D88"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3F1F4A49"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省财政分权</w:t>
            </w:r>
          </w:p>
        </w:tc>
        <w:tc>
          <w:tcPr>
            <w:tcW w:w="667" w:type="pct"/>
            <w:vMerge/>
            <w:tcBorders>
              <w:left w:val="nil"/>
              <w:right w:val="nil"/>
            </w:tcBorders>
            <w:shd w:val="clear" w:color="auto" w:fill="auto"/>
            <w:noWrap/>
            <w:vAlign w:val="center"/>
            <w:hideMark/>
          </w:tcPr>
          <w:p w14:paraId="2E71AEFC" w14:textId="77777777" w:rsidR="00BB563F" w:rsidRPr="00CF571C" w:rsidRDefault="00BB563F" w:rsidP="00BB563F">
            <w:pPr>
              <w:jc w:val="center"/>
              <w:rPr>
                <w:rFonts w:ascii="Times New Roman" w:hAnsi="Times New Roman" w:cs="Times New Roman"/>
                <w:b/>
                <w:bCs/>
                <w:color w:val="000000" w:themeColor="text1"/>
                <w:sz w:val="21"/>
                <w:szCs w:val="21"/>
              </w:rPr>
            </w:pPr>
          </w:p>
        </w:tc>
        <w:tc>
          <w:tcPr>
            <w:tcW w:w="667" w:type="pct"/>
            <w:vMerge/>
            <w:tcBorders>
              <w:left w:val="nil"/>
              <w:right w:val="nil"/>
            </w:tcBorders>
            <w:shd w:val="clear" w:color="auto" w:fill="auto"/>
            <w:noWrap/>
            <w:vAlign w:val="center"/>
            <w:hideMark/>
          </w:tcPr>
          <w:p w14:paraId="5A52C992" w14:textId="77777777" w:rsidR="00BB563F" w:rsidRPr="00CF571C" w:rsidRDefault="00BB563F" w:rsidP="00BB563F">
            <w:pPr>
              <w:jc w:val="center"/>
              <w:rPr>
                <w:rFonts w:ascii="Times New Roman" w:hAnsi="Times New Roman" w:cs="Times New Roman"/>
                <w:b/>
                <w:bCs/>
                <w:color w:val="000000" w:themeColor="text1"/>
                <w:sz w:val="21"/>
                <w:szCs w:val="21"/>
              </w:rPr>
            </w:pPr>
          </w:p>
        </w:tc>
        <w:tc>
          <w:tcPr>
            <w:tcW w:w="750" w:type="pct"/>
            <w:vMerge/>
            <w:tcBorders>
              <w:left w:val="nil"/>
              <w:right w:val="nil"/>
            </w:tcBorders>
            <w:shd w:val="clear" w:color="auto" w:fill="auto"/>
            <w:noWrap/>
            <w:vAlign w:val="center"/>
            <w:hideMark/>
          </w:tcPr>
          <w:p w14:paraId="350BBF94" w14:textId="77777777" w:rsidR="00BB563F" w:rsidRPr="00CF571C" w:rsidRDefault="00BB563F" w:rsidP="00BB563F">
            <w:pPr>
              <w:jc w:val="center"/>
              <w:rPr>
                <w:rFonts w:ascii="Times New Roman" w:hAnsi="Times New Roman" w:cs="Times New Roman"/>
                <w:b/>
                <w:bCs/>
                <w:color w:val="000000" w:themeColor="text1"/>
                <w:sz w:val="21"/>
                <w:szCs w:val="21"/>
              </w:rPr>
            </w:pPr>
          </w:p>
        </w:tc>
        <w:tc>
          <w:tcPr>
            <w:tcW w:w="749" w:type="pct"/>
            <w:vMerge/>
            <w:tcBorders>
              <w:left w:val="nil"/>
              <w:right w:val="nil"/>
            </w:tcBorders>
            <w:shd w:val="clear" w:color="auto" w:fill="auto"/>
            <w:noWrap/>
            <w:vAlign w:val="center"/>
            <w:hideMark/>
          </w:tcPr>
          <w:p w14:paraId="1EC16CEE" w14:textId="77777777" w:rsidR="00BB563F" w:rsidRPr="00CF571C" w:rsidRDefault="00BB563F" w:rsidP="00BB563F">
            <w:pPr>
              <w:jc w:val="center"/>
              <w:rPr>
                <w:rFonts w:ascii="Times New Roman" w:hAnsi="Times New Roman" w:cs="Times New Roman"/>
                <w:b/>
                <w:bCs/>
                <w:color w:val="000000" w:themeColor="text1"/>
                <w:sz w:val="21"/>
                <w:szCs w:val="21"/>
              </w:rPr>
            </w:pPr>
          </w:p>
        </w:tc>
      </w:tr>
      <w:tr w:rsidR="00CF571C" w:rsidRPr="00CF571C" w14:paraId="3FC46BA3" w14:textId="77777777" w:rsidTr="0075508C">
        <w:trPr>
          <w:trHeight w:val="318"/>
          <w:jc w:val="center"/>
        </w:trPr>
        <w:tc>
          <w:tcPr>
            <w:tcW w:w="1001" w:type="pct"/>
            <w:vMerge/>
            <w:tcBorders>
              <w:left w:val="nil"/>
              <w:right w:val="nil"/>
            </w:tcBorders>
            <w:vAlign w:val="center"/>
          </w:tcPr>
          <w:p w14:paraId="3291822F"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133C1EEB"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省人口密度</w:t>
            </w:r>
          </w:p>
        </w:tc>
        <w:tc>
          <w:tcPr>
            <w:tcW w:w="667" w:type="pct"/>
            <w:vMerge/>
            <w:tcBorders>
              <w:left w:val="nil"/>
              <w:right w:val="nil"/>
            </w:tcBorders>
            <w:vAlign w:val="center"/>
            <w:hideMark/>
          </w:tcPr>
          <w:p w14:paraId="047AC8AF" w14:textId="77777777" w:rsidR="00BB563F" w:rsidRPr="00CF571C" w:rsidRDefault="00BB563F" w:rsidP="00BB563F">
            <w:pPr>
              <w:rPr>
                <w:rFonts w:ascii="Times New Roman" w:hAnsi="Times New Roman" w:cs="Times New Roman"/>
                <w:b/>
                <w:bCs/>
                <w:color w:val="000000" w:themeColor="text1"/>
                <w:sz w:val="21"/>
                <w:szCs w:val="21"/>
              </w:rPr>
            </w:pPr>
          </w:p>
        </w:tc>
        <w:tc>
          <w:tcPr>
            <w:tcW w:w="667" w:type="pct"/>
            <w:vMerge/>
            <w:tcBorders>
              <w:left w:val="nil"/>
              <w:right w:val="nil"/>
            </w:tcBorders>
            <w:vAlign w:val="center"/>
            <w:hideMark/>
          </w:tcPr>
          <w:p w14:paraId="75719499" w14:textId="77777777" w:rsidR="00BB563F" w:rsidRPr="00CF571C" w:rsidRDefault="00BB563F" w:rsidP="00BB563F">
            <w:pPr>
              <w:rPr>
                <w:rFonts w:ascii="Times New Roman" w:hAnsi="Times New Roman" w:cs="Times New Roman"/>
                <w:b/>
                <w:bCs/>
                <w:color w:val="000000" w:themeColor="text1"/>
                <w:sz w:val="21"/>
                <w:szCs w:val="21"/>
              </w:rPr>
            </w:pPr>
          </w:p>
        </w:tc>
        <w:tc>
          <w:tcPr>
            <w:tcW w:w="750" w:type="pct"/>
            <w:vMerge/>
            <w:tcBorders>
              <w:left w:val="nil"/>
              <w:right w:val="nil"/>
            </w:tcBorders>
            <w:vAlign w:val="center"/>
            <w:hideMark/>
          </w:tcPr>
          <w:p w14:paraId="215EA62C" w14:textId="77777777" w:rsidR="00BB563F" w:rsidRPr="00CF571C" w:rsidRDefault="00BB563F" w:rsidP="00BB563F">
            <w:pPr>
              <w:rPr>
                <w:rFonts w:ascii="Times New Roman" w:hAnsi="Times New Roman" w:cs="Times New Roman"/>
                <w:b/>
                <w:bCs/>
                <w:color w:val="000000" w:themeColor="text1"/>
                <w:sz w:val="21"/>
                <w:szCs w:val="21"/>
              </w:rPr>
            </w:pPr>
          </w:p>
        </w:tc>
        <w:tc>
          <w:tcPr>
            <w:tcW w:w="749" w:type="pct"/>
            <w:vMerge/>
            <w:tcBorders>
              <w:left w:val="nil"/>
              <w:right w:val="nil"/>
            </w:tcBorders>
            <w:vAlign w:val="center"/>
            <w:hideMark/>
          </w:tcPr>
          <w:p w14:paraId="4719B1BD" w14:textId="77777777" w:rsidR="00BB563F" w:rsidRPr="00CF571C" w:rsidRDefault="00BB563F" w:rsidP="00BB563F">
            <w:pPr>
              <w:rPr>
                <w:rFonts w:ascii="Times New Roman" w:hAnsi="Times New Roman" w:cs="Times New Roman"/>
                <w:b/>
                <w:bCs/>
                <w:color w:val="000000" w:themeColor="text1"/>
                <w:sz w:val="21"/>
                <w:szCs w:val="21"/>
              </w:rPr>
            </w:pPr>
          </w:p>
        </w:tc>
      </w:tr>
      <w:tr w:rsidR="00CF571C" w:rsidRPr="00CF571C" w14:paraId="3838AE22" w14:textId="77777777" w:rsidTr="0075508C">
        <w:trPr>
          <w:trHeight w:val="318"/>
          <w:jc w:val="center"/>
        </w:trPr>
        <w:tc>
          <w:tcPr>
            <w:tcW w:w="1001" w:type="pct"/>
            <w:vMerge/>
            <w:tcBorders>
              <w:left w:val="nil"/>
              <w:right w:val="nil"/>
            </w:tcBorders>
            <w:vAlign w:val="center"/>
          </w:tcPr>
          <w:p w14:paraId="6D622D18"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6A68EC99"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省地方财力</w:t>
            </w:r>
          </w:p>
        </w:tc>
        <w:tc>
          <w:tcPr>
            <w:tcW w:w="667" w:type="pct"/>
            <w:vMerge/>
            <w:tcBorders>
              <w:left w:val="nil"/>
              <w:right w:val="nil"/>
            </w:tcBorders>
            <w:vAlign w:val="center"/>
            <w:hideMark/>
          </w:tcPr>
          <w:p w14:paraId="5649A596" w14:textId="77777777" w:rsidR="00BB563F" w:rsidRPr="00CF571C" w:rsidRDefault="00BB563F" w:rsidP="00BB563F">
            <w:pPr>
              <w:rPr>
                <w:rFonts w:ascii="Times New Roman" w:hAnsi="Times New Roman" w:cs="Times New Roman"/>
                <w:b/>
                <w:bCs/>
                <w:color w:val="000000" w:themeColor="text1"/>
                <w:sz w:val="21"/>
                <w:szCs w:val="21"/>
              </w:rPr>
            </w:pPr>
          </w:p>
        </w:tc>
        <w:tc>
          <w:tcPr>
            <w:tcW w:w="667" w:type="pct"/>
            <w:vMerge/>
            <w:tcBorders>
              <w:left w:val="nil"/>
              <w:right w:val="nil"/>
            </w:tcBorders>
            <w:vAlign w:val="center"/>
            <w:hideMark/>
          </w:tcPr>
          <w:p w14:paraId="62625CEF" w14:textId="77777777" w:rsidR="00BB563F" w:rsidRPr="00CF571C" w:rsidRDefault="00BB563F" w:rsidP="00BB563F">
            <w:pPr>
              <w:rPr>
                <w:rFonts w:ascii="Times New Roman" w:hAnsi="Times New Roman" w:cs="Times New Roman"/>
                <w:b/>
                <w:bCs/>
                <w:color w:val="000000" w:themeColor="text1"/>
                <w:sz w:val="21"/>
                <w:szCs w:val="21"/>
              </w:rPr>
            </w:pPr>
          </w:p>
        </w:tc>
        <w:tc>
          <w:tcPr>
            <w:tcW w:w="750" w:type="pct"/>
            <w:vMerge/>
            <w:tcBorders>
              <w:left w:val="nil"/>
              <w:right w:val="nil"/>
            </w:tcBorders>
            <w:vAlign w:val="center"/>
            <w:hideMark/>
          </w:tcPr>
          <w:p w14:paraId="729416CF" w14:textId="77777777" w:rsidR="00BB563F" w:rsidRPr="00CF571C" w:rsidRDefault="00BB563F" w:rsidP="00BB563F">
            <w:pPr>
              <w:rPr>
                <w:rFonts w:ascii="Times New Roman" w:hAnsi="Times New Roman" w:cs="Times New Roman"/>
                <w:b/>
                <w:bCs/>
                <w:color w:val="000000" w:themeColor="text1"/>
                <w:sz w:val="21"/>
                <w:szCs w:val="21"/>
              </w:rPr>
            </w:pPr>
          </w:p>
        </w:tc>
        <w:tc>
          <w:tcPr>
            <w:tcW w:w="749" w:type="pct"/>
            <w:vMerge/>
            <w:tcBorders>
              <w:left w:val="nil"/>
              <w:right w:val="nil"/>
            </w:tcBorders>
            <w:vAlign w:val="center"/>
            <w:hideMark/>
          </w:tcPr>
          <w:p w14:paraId="363C092C" w14:textId="77777777" w:rsidR="00BB563F" w:rsidRPr="00CF571C" w:rsidRDefault="00BB563F" w:rsidP="00BB563F">
            <w:pPr>
              <w:rPr>
                <w:rFonts w:ascii="Times New Roman" w:hAnsi="Times New Roman" w:cs="Times New Roman"/>
                <w:b/>
                <w:bCs/>
                <w:color w:val="000000" w:themeColor="text1"/>
                <w:sz w:val="21"/>
                <w:szCs w:val="21"/>
              </w:rPr>
            </w:pPr>
          </w:p>
        </w:tc>
      </w:tr>
      <w:tr w:rsidR="00CF571C" w:rsidRPr="00CF571C" w14:paraId="2F08C601" w14:textId="77777777" w:rsidTr="0075508C">
        <w:trPr>
          <w:trHeight w:val="318"/>
          <w:jc w:val="center"/>
        </w:trPr>
        <w:tc>
          <w:tcPr>
            <w:tcW w:w="1001" w:type="pct"/>
            <w:vMerge/>
            <w:tcBorders>
              <w:left w:val="nil"/>
              <w:bottom w:val="single" w:sz="4" w:space="0" w:color="auto"/>
              <w:right w:val="nil"/>
            </w:tcBorders>
            <w:vAlign w:val="center"/>
          </w:tcPr>
          <w:p w14:paraId="717D1D53"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single" w:sz="4" w:space="0" w:color="auto"/>
              <w:right w:val="nil"/>
            </w:tcBorders>
            <w:shd w:val="clear" w:color="auto" w:fill="auto"/>
            <w:noWrap/>
            <w:vAlign w:val="center"/>
            <w:hideMark/>
          </w:tcPr>
          <w:p w14:paraId="67DAE439"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省</w:t>
            </w:r>
            <w:r w:rsidRPr="00CF571C">
              <w:rPr>
                <w:rFonts w:ascii="Times New Roman" w:hAnsi="Times New Roman" w:cs="Times New Roman" w:hint="eastAsia"/>
                <w:color w:val="000000" w:themeColor="text1"/>
                <w:sz w:val="21"/>
                <w:szCs w:val="21"/>
              </w:rPr>
              <w:t>第三</w:t>
            </w:r>
            <w:r w:rsidRPr="00CF571C">
              <w:rPr>
                <w:rFonts w:ascii="Times New Roman" w:hAnsi="Times New Roman" w:cs="Times New Roman"/>
                <w:color w:val="000000" w:themeColor="text1"/>
                <w:sz w:val="21"/>
                <w:szCs w:val="21"/>
              </w:rPr>
              <w:t>产业比重</w:t>
            </w:r>
          </w:p>
        </w:tc>
        <w:tc>
          <w:tcPr>
            <w:tcW w:w="667" w:type="pct"/>
            <w:vMerge/>
            <w:tcBorders>
              <w:left w:val="nil"/>
              <w:bottom w:val="single" w:sz="4" w:space="0" w:color="auto"/>
              <w:right w:val="nil"/>
            </w:tcBorders>
            <w:vAlign w:val="center"/>
            <w:hideMark/>
          </w:tcPr>
          <w:p w14:paraId="53724E46" w14:textId="77777777" w:rsidR="00BB563F" w:rsidRPr="00CF571C" w:rsidRDefault="00BB563F" w:rsidP="00BB563F">
            <w:pPr>
              <w:rPr>
                <w:rFonts w:ascii="Times New Roman" w:hAnsi="Times New Roman" w:cs="Times New Roman"/>
                <w:b/>
                <w:bCs/>
                <w:color w:val="000000" w:themeColor="text1"/>
                <w:sz w:val="21"/>
                <w:szCs w:val="21"/>
              </w:rPr>
            </w:pPr>
          </w:p>
        </w:tc>
        <w:tc>
          <w:tcPr>
            <w:tcW w:w="667" w:type="pct"/>
            <w:vMerge/>
            <w:tcBorders>
              <w:left w:val="nil"/>
              <w:bottom w:val="single" w:sz="4" w:space="0" w:color="auto"/>
              <w:right w:val="nil"/>
            </w:tcBorders>
            <w:vAlign w:val="center"/>
            <w:hideMark/>
          </w:tcPr>
          <w:p w14:paraId="6331BF06" w14:textId="77777777" w:rsidR="00BB563F" w:rsidRPr="00CF571C" w:rsidRDefault="00BB563F" w:rsidP="00BB563F">
            <w:pPr>
              <w:rPr>
                <w:rFonts w:ascii="Times New Roman" w:hAnsi="Times New Roman" w:cs="Times New Roman"/>
                <w:b/>
                <w:bCs/>
                <w:color w:val="000000" w:themeColor="text1"/>
                <w:sz w:val="21"/>
                <w:szCs w:val="21"/>
              </w:rPr>
            </w:pPr>
          </w:p>
        </w:tc>
        <w:tc>
          <w:tcPr>
            <w:tcW w:w="750" w:type="pct"/>
            <w:vMerge/>
            <w:tcBorders>
              <w:left w:val="nil"/>
              <w:bottom w:val="single" w:sz="4" w:space="0" w:color="auto"/>
              <w:right w:val="nil"/>
            </w:tcBorders>
            <w:vAlign w:val="center"/>
            <w:hideMark/>
          </w:tcPr>
          <w:p w14:paraId="067A4318" w14:textId="77777777" w:rsidR="00BB563F" w:rsidRPr="00CF571C" w:rsidRDefault="00BB563F" w:rsidP="00BB563F">
            <w:pPr>
              <w:rPr>
                <w:rFonts w:ascii="Times New Roman" w:hAnsi="Times New Roman" w:cs="Times New Roman"/>
                <w:b/>
                <w:bCs/>
                <w:color w:val="000000" w:themeColor="text1"/>
                <w:sz w:val="21"/>
                <w:szCs w:val="21"/>
              </w:rPr>
            </w:pPr>
          </w:p>
        </w:tc>
        <w:tc>
          <w:tcPr>
            <w:tcW w:w="749" w:type="pct"/>
            <w:vMerge/>
            <w:tcBorders>
              <w:left w:val="nil"/>
              <w:bottom w:val="single" w:sz="4" w:space="0" w:color="auto"/>
              <w:right w:val="nil"/>
            </w:tcBorders>
            <w:vAlign w:val="center"/>
            <w:hideMark/>
          </w:tcPr>
          <w:p w14:paraId="1B6C9124" w14:textId="77777777" w:rsidR="00BB563F" w:rsidRPr="00CF571C" w:rsidRDefault="00BB563F" w:rsidP="00BB563F">
            <w:pPr>
              <w:rPr>
                <w:rFonts w:ascii="Times New Roman" w:hAnsi="Times New Roman" w:cs="Times New Roman"/>
                <w:b/>
                <w:bCs/>
                <w:color w:val="000000" w:themeColor="text1"/>
                <w:sz w:val="21"/>
                <w:szCs w:val="21"/>
              </w:rPr>
            </w:pPr>
          </w:p>
        </w:tc>
      </w:tr>
      <w:tr w:rsidR="00CF571C" w:rsidRPr="00CF571C" w14:paraId="3BF028E8" w14:textId="77777777" w:rsidTr="0075508C">
        <w:trPr>
          <w:trHeight w:val="318"/>
          <w:jc w:val="center"/>
        </w:trPr>
        <w:tc>
          <w:tcPr>
            <w:tcW w:w="1001" w:type="pct"/>
            <w:tcBorders>
              <w:top w:val="single" w:sz="4" w:space="0" w:color="auto"/>
              <w:left w:val="nil"/>
              <w:bottom w:val="single" w:sz="4" w:space="0" w:color="auto"/>
              <w:right w:val="nil"/>
            </w:tcBorders>
            <w:vAlign w:val="center"/>
          </w:tcPr>
          <w:p w14:paraId="7EA0E97A"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横向：</w:t>
            </w:r>
            <w:r w:rsidRPr="00CF571C">
              <w:rPr>
                <w:rFonts w:ascii="Times New Roman" w:hAnsi="Times New Roman" w:cs="Times New Roman" w:hint="eastAsia"/>
                <w:color w:val="000000" w:themeColor="text1"/>
                <w:sz w:val="21"/>
                <w:szCs w:val="21"/>
              </w:rPr>
              <w:t>距离指标</w:t>
            </w:r>
          </w:p>
        </w:tc>
        <w:tc>
          <w:tcPr>
            <w:tcW w:w="1166" w:type="pct"/>
            <w:tcBorders>
              <w:top w:val="single" w:sz="4" w:space="0" w:color="auto"/>
              <w:left w:val="nil"/>
              <w:bottom w:val="single" w:sz="4" w:space="0" w:color="auto"/>
              <w:right w:val="nil"/>
            </w:tcBorders>
            <w:shd w:val="clear" w:color="auto" w:fill="auto"/>
            <w:noWrap/>
            <w:vAlign w:val="center"/>
            <w:hideMark/>
          </w:tcPr>
          <w:p w14:paraId="7E29FAB5"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地理距离差异</w:t>
            </w:r>
          </w:p>
        </w:tc>
        <w:tc>
          <w:tcPr>
            <w:tcW w:w="667" w:type="pct"/>
            <w:tcBorders>
              <w:top w:val="single" w:sz="4" w:space="0" w:color="auto"/>
              <w:left w:val="nil"/>
              <w:bottom w:val="single" w:sz="4" w:space="0" w:color="auto"/>
              <w:right w:val="nil"/>
            </w:tcBorders>
            <w:shd w:val="clear" w:color="auto" w:fill="auto"/>
            <w:noWrap/>
            <w:vAlign w:val="center"/>
            <w:hideMark/>
          </w:tcPr>
          <w:p w14:paraId="2B83E8AB"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0.54%</w:t>
            </w:r>
          </w:p>
        </w:tc>
        <w:tc>
          <w:tcPr>
            <w:tcW w:w="667" w:type="pct"/>
            <w:tcBorders>
              <w:top w:val="single" w:sz="4" w:space="0" w:color="auto"/>
              <w:left w:val="nil"/>
              <w:bottom w:val="single" w:sz="4" w:space="0" w:color="auto"/>
              <w:right w:val="nil"/>
            </w:tcBorders>
            <w:shd w:val="clear" w:color="auto" w:fill="auto"/>
            <w:noWrap/>
            <w:vAlign w:val="center"/>
            <w:hideMark/>
          </w:tcPr>
          <w:p w14:paraId="7E81A5C9"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0.81%</w:t>
            </w:r>
          </w:p>
        </w:tc>
        <w:tc>
          <w:tcPr>
            <w:tcW w:w="750" w:type="pct"/>
            <w:tcBorders>
              <w:top w:val="single" w:sz="4" w:space="0" w:color="auto"/>
              <w:left w:val="nil"/>
              <w:bottom w:val="single" w:sz="4" w:space="0" w:color="auto"/>
              <w:right w:val="nil"/>
            </w:tcBorders>
            <w:shd w:val="clear" w:color="auto" w:fill="auto"/>
            <w:noWrap/>
            <w:vAlign w:val="center"/>
            <w:hideMark/>
          </w:tcPr>
          <w:p w14:paraId="4EC1FCAA"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1.19%</w:t>
            </w:r>
          </w:p>
        </w:tc>
        <w:tc>
          <w:tcPr>
            <w:tcW w:w="749" w:type="pct"/>
            <w:tcBorders>
              <w:top w:val="single" w:sz="4" w:space="0" w:color="auto"/>
              <w:left w:val="nil"/>
              <w:bottom w:val="single" w:sz="4" w:space="0" w:color="auto"/>
              <w:right w:val="nil"/>
            </w:tcBorders>
            <w:shd w:val="clear" w:color="auto" w:fill="auto"/>
            <w:noWrap/>
            <w:vAlign w:val="center"/>
            <w:hideMark/>
          </w:tcPr>
          <w:p w14:paraId="0306EE49"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3.53%</w:t>
            </w:r>
          </w:p>
        </w:tc>
      </w:tr>
      <w:tr w:rsidR="00CF571C" w:rsidRPr="00CF571C" w14:paraId="5EF9A84C" w14:textId="77777777" w:rsidTr="0075508C">
        <w:trPr>
          <w:trHeight w:val="318"/>
          <w:jc w:val="center"/>
        </w:trPr>
        <w:tc>
          <w:tcPr>
            <w:tcW w:w="1001" w:type="pct"/>
            <w:vMerge w:val="restart"/>
            <w:tcBorders>
              <w:top w:val="single" w:sz="4" w:space="0" w:color="auto"/>
              <w:left w:val="nil"/>
              <w:right w:val="nil"/>
            </w:tcBorders>
            <w:vAlign w:val="center"/>
          </w:tcPr>
          <w:p w14:paraId="075E2394"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市级系列指标</w:t>
            </w:r>
          </w:p>
        </w:tc>
        <w:tc>
          <w:tcPr>
            <w:tcW w:w="1166" w:type="pct"/>
            <w:tcBorders>
              <w:top w:val="single" w:sz="4" w:space="0" w:color="auto"/>
              <w:left w:val="nil"/>
              <w:bottom w:val="nil"/>
              <w:right w:val="nil"/>
            </w:tcBorders>
            <w:shd w:val="clear" w:color="auto" w:fill="auto"/>
            <w:noWrap/>
            <w:vAlign w:val="center"/>
            <w:hideMark/>
          </w:tcPr>
          <w:p w14:paraId="4187A055"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财政分权差异</w:t>
            </w:r>
          </w:p>
        </w:tc>
        <w:tc>
          <w:tcPr>
            <w:tcW w:w="667" w:type="pct"/>
            <w:vMerge w:val="restart"/>
            <w:tcBorders>
              <w:top w:val="single" w:sz="4" w:space="0" w:color="auto"/>
              <w:left w:val="nil"/>
              <w:bottom w:val="single" w:sz="4" w:space="0" w:color="000000"/>
              <w:right w:val="nil"/>
            </w:tcBorders>
            <w:shd w:val="clear" w:color="auto" w:fill="auto"/>
            <w:noWrap/>
            <w:vAlign w:val="center"/>
            <w:hideMark/>
          </w:tcPr>
          <w:p w14:paraId="0B1EC63B"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3.99%</w:t>
            </w:r>
          </w:p>
        </w:tc>
        <w:tc>
          <w:tcPr>
            <w:tcW w:w="667" w:type="pct"/>
            <w:vMerge w:val="restart"/>
            <w:tcBorders>
              <w:top w:val="single" w:sz="4" w:space="0" w:color="auto"/>
              <w:left w:val="nil"/>
              <w:bottom w:val="single" w:sz="4" w:space="0" w:color="000000"/>
              <w:right w:val="nil"/>
            </w:tcBorders>
            <w:shd w:val="clear" w:color="auto" w:fill="auto"/>
            <w:noWrap/>
            <w:vAlign w:val="center"/>
            <w:hideMark/>
          </w:tcPr>
          <w:p w14:paraId="36A787BF"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23.10%</w:t>
            </w:r>
          </w:p>
        </w:tc>
        <w:tc>
          <w:tcPr>
            <w:tcW w:w="750" w:type="pct"/>
            <w:vMerge w:val="restart"/>
            <w:tcBorders>
              <w:top w:val="single" w:sz="4" w:space="0" w:color="auto"/>
              <w:left w:val="nil"/>
              <w:bottom w:val="single" w:sz="4" w:space="0" w:color="000000"/>
              <w:right w:val="nil"/>
            </w:tcBorders>
            <w:shd w:val="clear" w:color="auto" w:fill="auto"/>
            <w:noWrap/>
            <w:vAlign w:val="center"/>
            <w:hideMark/>
          </w:tcPr>
          <w:p w14:paraId="540F7AB5"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4.91%</w:t>
            </w:r>
          </w:p>
        </w:tc>
        <w:tc>
          <w:tcPr>
            <w:tcW w:w="749" w:type="pct"/>
            <w:vMerge w:val="restart"/>
            <w:tcBorders>
              <w:top w:val="single" w:sz="4" w:space="0" w:color="auto"/>
              <w:left w:val="nil"/>
              <w:bottom w:val="single" w:sz="4" w:space="0" w:color="000000"/>
              <w:right w:val="nil"/>
            </w:tcBorders>
            <w:shd w:val="clear" w:color="auto" w:fill="auto"/>
            <w:noWrap/>
            <w:vAlign w:val="center"/>
            <w:hideMark/>
          </w:tcPr>
          <w:p w14:paraId="70E3672A"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2.93%</w:t>
            </w:r>
          </w:p>
        </w:tc>
      </w:tr>
      <w:tr w:rsidR="00CF571C" w:rsidRPr="00CF571C" w14:paraId="605164ED" w14:textId="77777777" w:rsidTr="0075508C">
        <w:trPr>
          <w:trHeight w:val="318"/>
          <w:jc w:val="center"/>
        </w:trPr>
        <w:tc>
          <w:tcPr>
            <w:tcW w:w="1001" w:type="pct"/>
            <w:vMerge/>
            <w:tcBorders>
              <w:left w:val="nil"/>
              <w:right w:val="nil"/>
            </w:tcBorders>
            <w:vAlign w:val="center"/>
          </w:tcPr>
          <w:p w14:paraId="2ABA5722"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49AD7FEE"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人口密度差异</w:t>
            </w:r>
          </w:p>
        </w:tc>
        <w:tc>
          <w:tcPr>
            <w:tcW w:w="667" w:type="pct"/>
            <w:vMerge/>
            <w:tcBorders>
              <w:top w:val="nil"/>
              <w:left w:val="nil"/>
              <w:bottom w:val="single" w:sz="4" w:space="0" w:color="000000"/>
              <w:right w:val="nil"/>
            </w:tcBorders>
            <w:vAlign w:val="center"/>
            <w:hideMark/>
          </w:tcPr>
          <w:p w14:paraId="2011995E" w14:textId="77777777" w:rsidR="00BB563F" w:rsidRPr="00CF571C" w:rsidRDefault="00BB563F" w:rsidP="00BB563F">
            <w:pPr>
              <w:rPr>
                <w:rFonts w:ascii="Times New Roman" w:hAnsi="Times New Roman" w:cs="Times New Roman"/>
                <w:color w:val="000000" w:themeColor="text1"/>
                <w:sz w:val="21"/>
                <w:szCs w:val="21"/>
              </w:rPr>
            </w:pPr>
          </w:p>
        </w:tc>
        <w:tc>
          <w:tcPr>
            <w:tcW w:w="667" w:type="pct"/>
            <w:vMerge/>
            <w:tcBorders>
              <w:top w:val="nil"/>
              <w:left w:val="nil"/>
              <w:bottom w:val="single" w:sz="4" w:space="0" w:color="000000"/>
              <w:right w:val="nil"/>
            </w:tcBorders>
            <w:vAlign w:val="center"/>
            <w:hideMark/>
          </w:tcPr>
          <w:p w14:paraId="5E355EB3" w14:textId="77777777" w:rsidR="00BB563F" w:rsidRPr="00CF571C" w:rsidRDefault="00BB563F" w:rsidP="00BB563F">
            <w:pPr>
              <w:rPr>
                <w:rFonts w:ascii="Times New Roman" w:hAnsi="Times New Roman" w:cs="Times New Roman"/>
                <w:color w:val="000000" w:themeColor="text1"/>
                <w:sz w:val="21"/>
                <w:szCs w:val="21"/>
              </w:rPr>
            </w:pPr>
          </w:p>
        </w:tc>
        <w:tc>
          <w:tcPr>
            <w:tcW w:w="750" w:type="pct"/>
            <w:vMerge/>
            <w:tcBorders>
              <w:top w:val="nil"/>
              <w:left w:val="nil"/>
              <w:bottom w:val="single" w:sz="4" w:space="0" w:color="000000"/>
              <w:right w:val="nil"/>
            </w:tcBorders>
            <w:vAlign w:val="center"/>
            <w:hideMark/>
          </w:tcPr>
          <w:p w14:paraId="407ED1AB" w14:textId="77777777" w:rsidR="00BB563F" w:rsidRPr="00CF571C" w:rsidRDefault="00BB563F" w:rsidP="00BB563F">
            <w:pPr>
              <w:rPr>
                <w:rFonts w:ascii="Times New Roman" w:hAnsi="Times New Roman" w:cs="Times New Roman"/>
                <w:color w:val="000000" w:themeColor="text1"/>
                <w:sz w:val="21"/>
                <w:szCs w:val="21"/>
              </w:rPr>
            </w:pPr>
          </w:p>
        </w:tc>
        <w:tc>
          <w:tcPr>
            <w:tcW w:w="749" w:type="pct"/>
            <w:vMerge/>
            <w:tcBorders>
              <w:top w:val="nil"/>
              <w:left w:val="nil"/>
              <w:bottom w:val="single" w:sz="4" w:space="0" w:color="000000"/>
              <w:right w:val="nil"/>
            </w:tcBorders>
            <w:vAlign w:val="center"/>
            <w:hideMark/>
          </w:tcPr>
          <w:p w14:paraId="5C3E6263" w14:textId="77777777" w:rsidR="00BB563F" w:rsidRPr="00CF571C" w:rsidRDefault="00BB563F" w:rsidP="00BB563F">
            <w:pPr>
              <w:rPr>
                <w:rFonts w:ascii="Times New Roman" w:hAnsi="Times New Roman" w:cs="Times New Roman"/>
                <w:color w:val="000000" w:themeColor="text1"/>
                <w:sz w:val="21"/>
                <w:szCs w:val="21"/>
              </w:rPr>
            </w:pPr>
          </w:p>
        </w:tc>
      </w:tr>
      <w:tr w:rsidR="00CF571C" w:rsidRPr="00CF571C" w14:paraId="6624F3DF" w14:textId="77777777" w:rsidTr="0075508C">
        <w:trPr>
          <w:trHeight w:val="318"/>
          <w:jc w:val="center"/>
        </w:trPr>
        <w:tc>
          <w:tcPr>
            <w:tcW w:w="1001" w:type="pct"/>
            <w:vMerge/>
            <w:tcBorders>
              <w:left w:val="nil"/>
              <w:right w:val="nil"/>
            </w:tcBorders>
            <w:vAlign w:val="center"/>
          </w:tcPr>
          <w:p w14:paraId="2D99C6B1"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7F685208"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地方财力差异</w:t>
            </w:r>
          </w:p>
        </w:tc>
        <w:tc>
          <w:tcPr>
            <w:tcW w:w="667" w:type="pct"/>
            <w:vMerge/>
            <w:tcBorders>
              <w:top w:val="nil"/>
              <w:left w:val="nil"/>
              <w:bottom w:val="single" w:sz="4" w:space="0" w:color="000000"/>
              <w:right w:val="nil"/>
            </w:tcBorders>
            <w:vAlign w:val="center"/>
            <w:hideMark/>
          </w:tcPr>
          <w:p w14:paraId="60200606" w14:textId="77777777" w:rsidR="00BB563F" w:rsidRPr="00CF571C" w:rsidRDefault="00BB563F" w:rsidP="00BB563F">
            <w:pPr>
              <w:rPr>
                <w:rFonts w:ascii="Times New Roman" w:hAnsi="Times New Roman" w:cs="Times New Roman"/>
                <w:color w:val="000000" w:themeColor="text1"/>
                <w:sz w:val="21"/>
                <w:szCs w:val="21"/>
              </w:rPr>
            </w:pPr>
          </w:p>
        </w:tc>
        <w:tc>
          <w:tcPr>
            <w:tcW w:w="667" w:type="pct"/>
            <w:vMerge/>
            <w:tcBorders>
              <w:top w:val="nil"/>
              <w:left w:val="nil"/>
              <w:bottom w:val="single" w:sz="4" w:space="0" w:color="000000"/>
              <w:right w:val="nil"/>
            </w:tcBorders>
            <w:vAlign w:val="center"/>
            <w:hideMark/>
          </w:tcPr>
          <w:p w14:paraId="4793FD9B" w14:textId="77777777" w:rsidR="00BB563F" w:rsidRPr="00CF571C" w:rsidRDefault="00BB563F" w:rsidP="00BB563F">
            <w:pPr>
              <w:rPr>
                <w:rFonts w:ascii="Times New Roman" w:hAnsi="Times New Roman" w:cs="Times New Roman"/>
                <w:color w:val="000000" w:themeColor="text1"/>
                <w:sz w:val="21"/>
                <w:szCs w:val="21"/>
              </w:rPr>
            </w:pPr>
          </w:p>
        </w:tc>
        <w:tc>
          <w:tcPr>
            <w:tcW w:w="750" w:type="pct"/>
            <w:vMerge/>
            <w:tcBorders>
              <w:top w:val="nil"/>
              <w:left w:val="nil"/>
              <w:bottom w:val="single" w:sz="4" w:space="0" w:color="000000"/>
              <w:right w:val="nil"/>
            </w:tcBorders>
            <w:vAlign w:val="center"/>
            <w:hideMark/>
          </w:tcPr>
          <w:p w14:paraId="1374EC97" w14:textId="77777777" w:rsidR="00BB563F" w:rsidRPr="00CF571C" w:rsidRDefault="00BB563F" w:rsidP="00BB563F">
            <w:pPr>
              <w:rPr>
                <w:rFonts w:ascii="Times New Roman" w:hAnsi="Times New Roman" w:cs="Times New Roman"/>
                <w:color w:val="000000" w:themeColor="text1"/>
                <w:sz w:val="21"/>
                <w:szCs w:val="21"/>
              </w:rPr>
            </w:pPr>
          </w:p>
        </w:tc>
        <w:tc>
          <w:tcPr>
            <w:tcW w:w="749" w:type="pct"/>
            <w:vMerge/>
            <w:tcBorders>
              <w:top w:val="nil"/>
              <w:left w:val="nil"/>
              <w:bottom w:val="single" w:sz="4" w:space="0" w:color="000000"/>
              <w:right w:val="nil"/>
            </w:tcBorders>
            <w:vAlign w:val="center"/>
            <w:hideMark/>
          </w:tcPr>
          <w:p w14:paraId="07A52910" w14:textId="77777777" w:rsidR="00BB563F" w:rsidRPr="00CF571C" w:rsidRDefault="00BB563F" w:rsidP="00BB563F">
            <w:pPr>
              <w:rPr>
                <w:rFonts w:ascii="Times New Roman" w:hAnsi="Times New Roman" w:cs="Times New Roman"/>
                <w:color w:val="000000" w:themeColor="text1"/>
                <w:sz w:val="21"/>
                <w:szCs w:val="21"/>
              </w:rPr>
            </w:pPr>
          </w:p>
        </w:tc>
      </w:tr>
      <w:tr w:rsidR="00CF571C" w:rsidRPr="00CF571C" w14:paraId="6516E255" w14:textId="77777777" w:rsidTr="0075508C">
        <w:trPr>
          <w:trHeight w:val="318"/>
          <w:jc w:val="center"/>
        </w:trPr>
        <w:tc>
          <w:tcPr>
            <w:tcW w:w="1001" w:type="pct"/>
            <w:vMerge/>
            <w:tcBorders>
              <w:left w:val="nil"/>
              <w:right w:val="nil"/>
            </w:tcBorders>
            <w:vAlign w:val="center"/>
          </w:tcPr>
          <w:p w14:paraId="32ACA088"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2397582D"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职工平均工资差异</w:t>
            </w:r>
          </w:p>
        </w:tc>
        <w:tc>
          <w:tcPr>
            <w:tcW w:w="667" w:type="pct"/>
            <w:vMerge/>
            <w:tcBorders>
              <w:top w:val="nil"/>
              <w:left w:val="nil"/>
              <w:bottom w:val="single" w:sz="4" w:space="0" w:color="000000"/>
              <w:right w:val="nil"/>
            </w:tcBorders>
            <w:vAlign w:val="center"/>
            <w:hideMark/>
          </w:tcPr>
          <w:p w14:paraId="001E76DD" w14:textId="77777777" w:rsidR="00BB563F" w:rsidRPr="00CF571C" w:rsidRDefault="00BB563F" w:rsidP="00BB563F">
            <w:pPr>
              <w:rPr>
                <w:rFonts w:ascii="Times New Roman" w:hAnsi="Times New Roman" w:cs="Times New Roman"/>
                <w:color w:val="000000" w:themeColor="text1"/>
                <w:sz w:val="21"/>
                <w:szCs w:val="21"/>
              </w:rPr>
            </w:pPr>
          </w:p>
        </w:tc>
        <w:tc>
          <w:tcPr>
            <w:tcW w:w="667" w:type="pct"/>
            <w:vMerge/>
            <w:tcBorders>
              <w:top w:val="nil"/>
              <w:left w:val="nil"/>
              <w:bottom w:val="single" w:sz="4" w:space="0" w:color="000000"/>
              <w:right w:val="nil"/>
            </w:tcBorders>
            <w:vAlign w:val="center"/>
            <w:hideMark/>
          </w:tcPr>
          <w:p w14:paraId="2BC2BED3" w14:textId="77777777" w:rsidR="00BB563F" w:rsidRPr="00CF571C" w:rsidRDefault="00BB563F" w:rsidP="00BB563F">
            <w:pPr>
              <w:rPr>
                <w:rFonts w:ascii="Times New Roman" w:hAnsi="Times New Roman" w:cs="Times New Roman"/>
                <w:color w:val="000000" w:themeColor="text1"/>
                <w:sz w:val="21"/>
                <w:szCs w:val="21"/>
              </w:rPr>
            </w:pPr>
          </w:p>
        </w:tc>
        <w:tc>
          <w:tcPr>
            <w:tcW w:w="750" w:type="pct"/>
            <w:vMerge/>
            <w:tcBorders>
              <w:top w:val="nil"/>
              <w:left w:val="nil"/>
              <w:bottom w:val="single" w:sz="4" w:space="0" w:color="000000"/>
              <w:right w:val="nil"/>
            </w:tcBorders>
            <w:vAlign w:val="center"/>
            <w:hideMark/>
          </w:tcPr>
          <w:p w14:paraId="691F6384" w14:textId="77777777" w:rsidR="00BB563F" w:rsidRPr="00CF571C" w:rsidRDefault="00BB563F" w:rsidP="00BB563F">
            <w:pPr>
              <w:rPr>
                <w:rFonts w:ascii="Times New Roman" w:hAnsi="Times New Roman" w:cs="Times New Roman"/>
                <w:color w:val="000000" w:themeColor="text1"/>
                <w:sz w:val="21"/>
                <w:szCs w:val="21"/>
              </w:rPr>
            </w:pPr>
          </w:p>
        </w:tc>
        <w:tc>
          <w:tcPr>
            <w:tcW w:w="749" w:type="pct"/>
            <w:vMerge/>
            <w:tcBorders>
              <w:top w:val="nil"/>
              <w:left w:val="nil"/>
              <w:bottom w:val="single" w:sz="4" w:space="0" w:color="000000"/>
              <w:right w:val="nil"/>
            </w:tcBorders>
            <w:vAlign w:val="center"/>
            <w:hideMark/>
          </w:tcPr>
          <w:p w14:paraId="7439B663" w14:textId="77777777" w:rsidR="00BB563F" w:rsidRPr="00CF571C" w:rsidRDefault="00BB563F" w:rsidP="00BB563F">
            <w:pPr>
              <w:rPr>
                <w:rFonts w:ascii="Times New Roman" w:hAnsi="Times New Roman" w:cs="Times New Roman"/>
                <w:color w:val="000000" w:themeColor="text1"/>
                <w:sz w:val="21"/>
                <w:szCs w:val="21"/>
              </w:rPr>
            </w:pPr>
          </w:p>
        </w:tc>
      </w:tr>
      <w:tr w:rsidR="00CF571C" w:rsidRPr="00CF571C" w14:paraId="652D7663" w14:textId="77777777" w:rsidTr="0075508C">
        <w:trPr>
          <w:trHeight w:val="318"/>
          <w:jc w:val="center"/>
        </w:trPr>
        <w:tc>
          <w:tcPr>
            <w:tcW w:w="1001" w:type="pct"/>
            <w:vMerge/>
            <w:tcBorders>
              <w:left w:val="nil"/>
              <w:right w:val="nil"/>
            </w:tcBorders>
            <w:vAlign w:val="center"/>
          </w:tcPr>
          <w:p w14:paraId="39F5C626"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nil"/>
              <w:right w:val="nil"/>
            </w:tcBorders>
            <w:shd w:val="clear" w:color="auto" w:fill="auto"/>
            <w:noWrap/>
            <w:vAlign w:val="center"/>
            <w:hideMark/>
          </w:tcPr>
          <w:p w14:paraId="24BF6F88"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第一产业比重差异</w:t>
            </w:r>
          </w:p>
        </w:tc>
        <w:tc>
          <w:tcPr>
            <w:tcW w:w="667" w:type="pct"/>
            <w:vMerge/>
            <w:tcBorders>
              <w:top w:val="nil"/>
              <w:left w:val="nil"/>
              <w:bottom w:val="single" w:sz="4" w:space="0" w:color="000000"/>
              <w:right w:val="nil"/>
            </w:tcBorders>
            <w:vAlign w:val="center"/>
            <w:hideMark/>
          </w:tcPr>
          <w:p w14:paraId="5F267212" w14:textId="77777777" w:rsidR="00BB563F" w:rsidRPr="00CF571C" w:rsidRDefault="00BB563F" w:rsidP="00BB563F">
            <w:pPr>
              <w:rPr>
                <w:rFonts w:ascii="Times New Roman" w:hAnsi="Times New Roman" w:cs="Times New Roman"/>
                <w:color w:val="000000" w:themeColor="text1"/>
                <w:sz w:val="21"/>
                <w:szCs w:val="21"/>
              </w:rPr>
            </w:pPr>
          </w:p>
        </w:tc>
        <w:tc>
          <w:tcPr>
            <w:tcW w:w="667" w:type="pct"/>
            <w:vMerge/>
            <w:tcBorders>
              <w:top w:val="nil"/>
              <w:left w:val="nil"/>
              <w:bottom w:val="single" w:sz="4" w:space="0" w:color="000000"/>
              <w:right w:val="nil"/>
            </w:tcBorders>
            <w:vAlign w:val="center"/>
            <w:hideMark/>
          </w:tcPr>
          <w:p w14:paraId="60F3092F" w14:textId="77777777" w:rsidR="00BB563F" w:rsidRPr="00CF571C" w:rsidRDefault="00BB563F" w:rsidP="00BB563F">
            <w:pPr>
              <w:rPr>
                <w:rFonts w:ascii="Times New Roman" w:hAnsi="Times New Roman" w:cs="Times New Roman"/>
                <w:color w:val="000000" w:themeColor="text1"/>
                <w:sz w:val="21"/>
                <w:szCs w:val="21"/>
              </w:rPr>
            </w:pPr>
          </w:p>
        </w:tc>
        <w:tc>
          <w:tcPr>
            <w:tcW w:w="750" w:type="pct"/>
            <w:vMerge/>
            <w:tcBorders>
              <w:top w:val="nil"/>
              <w:left w:val="nil"/>
              <w:bottom w:val="single" w:sz="4" w:space="0" w:color="000000"/>
              <w:right w:val="nil"/>
            </w:tcBorders>
            <w:vAlign w:val="center"/>
            <w:hideMark/>
          </w:tcPr>
          <w:p w14:paraId="66B43873" w14:textId="77777777" w:rsidR="00BB563F" w:rsidRPr="00CF571C" w:rsidRDefault="00BB563F" w:rsidP="00BB563F">
            <w:pPr>
              <w:rPr>
                <w:rFonts w:ascii="Times New Roman" w:hAnsi="Times New Roman" w:cs="Times New Roman"/>
                <w:color w:val="000000" w:themeColor="text1"/>
                <w:sz w:val="21"/>
                <w:szCs w:val="21"/>
              </w:rPr>
            </w:pPr>
          </w:p>
        </w:tc>
        <w:tc>
          <w:tcPr>
            <w:tcW w:w="749" w:type="pct"/>
            <w:vMerge/>
            <w:tcBorders>
              <w:top w:val="nil"/>
              <w:left w:val="nil"/>
              <w:bottom w:val="single" w:sz="4" w:space="0" w:color="000000"/>
              <w:right w:val="nil"/>
            </w:tcBorders>
            <w:vAlign w:val="center"/>
            <w:hideMark/>
          </w:tcPr>
          <w:p w14:paraId="2AE66E98" w14:textId="77777777" w:rsidR="00BB563F" w:rsidRPr="00CF571C" w:rsidRDefault="00BB563F" w:rsidP="00BB563F">
            <w:pPr>
              <w:rPr>
                <w:rFonts w:ascii="Times New Roman" w:hAnsi="Times New Roman" w:cs="Times New Roman"/>
                <w:color w:val="000000" w:themeColor="text1"/>
                <w:sz w:val="21"/>
                <w:szCs w:val="21"/>
              </w:rPr>
            </w:pPr>
          </w:p>
        </w:tc>
      </w:tr>
      <w:tr w:rsidR="00BB563F" w:rsidRPr="00CF571C" w14:paraId="5018B02A" w14:textId="77777777" w:rsidTr="0075508C">
        <w:trPr>
          <w:trHeight w:val="318"/>
          <w:jc w:val="center"/>
        </w:trPr>
        <w:tc>
          <w:tcPr>
            <w:tcW w:w="1001" w:type="pct"/>
            <w:vMerge/>
            <w:tcBorders>
              <w:left w:val="nil"/>
              <w:bottom w:val="single" w:sz="8" w:space="0" w:color="auto"/>
              <w:right w:val="nil"/>
            </w:tcBorders>
            <w:vAlign w:val="center"/>
          </w:tcPr>
          <w:p w14:paraId="1C23A482" w14:textId="77777777" w:rsidR="00BB563F" w:rsidRPr="00CF571C" w:rsidRDefault="00BB563F" w:rsidP="00BB563F">
            <w:pPr>
              <w:jc w:val="center"/>
              <w:rPr>
                <w:rFonts w:ascii="Times New Roman" w:hAnsi="Times New Roman" w:cs="Times New Roman"/>
                <w:color w:val="000000" w:themeColor="text1"/>
                <w:sz w:val="21"/>
                <w:szCs w:val="21"/>
              </w:rPr>
            </w:pPr>
          </w:p>
        </w:tc>
        <w:tc>
          <w:tcPr>
            <w:tcW w:w="1166" w:type="pct"/>
            <w:tcBorders>
              <w:top w:val="nil"/>
              <w:left w:val="nil"/>
              <w:bottom w:val="single" w:sz="8" w:space="0" w:color="auto"/>
              <w:right w:val="nil"/>
            </w:tcBorders>
            <w:shd w:val="clear" w:color="auto" w:fill="auto"/>
            <w:noWrap/>
            <w:vAlign w:val="center"/>
            <w:hideMark/>
          </w:tcPr>
          <w:p w14:paraId="1E6AE253" w14:textId="77777777" w:rsidR="00BB563F" w:rsidRPr="00CF571C" w:rsidRDefault="00BB563F" w:rsidP="00BB563F">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第二产业比重差异</w:t>
            </w:r>
          </w:p>
        </w:tc>
        <w:tc>
          <w:tcPr>
            <w:tcW w:w="667" w:type="pct"/>
            <w:vMerge/>
            <w:tcBorders>
              <w:top w:val="nil"/>
              <w:left w:val="nil"/>
              <w:bottom w:val="single" w:sz="8" w:space="0" w:color="auto"/>
              <w:right w:val="nil"/>
            </w:tcBorders>
            <w:vAlign w:val="center"/>
            <w:hideMark/>
          </w:tcPr>
          <w:p w14:paraId="05794E7E" w14:textId="77777777" w:rsidR="00BB563F" w:rsidRPr="00CF571C" w:rsidRDefault="00BB563F" w:rsidP="00BB563F">
            <w:pPr>
              <w:rPr>
                <w:rFonts w:ascii="Times New Roman" w:hAnsi="Times New Roman" w:cs="Times New Roman"/>
                <w:color w:val="000000" w:themeColor="text1"/>
                <w:sz w:val="21"/>
                <w:szCs w:val="21"/>
              </w:rPr>
            </w:pPr>
          </w:p>
        </w:tc>
        <w:tc>
          <w:tcPr>
            <w:tcW w:w="667" w:type="pct"/>
            <w:vMerge/>
            <w:tcBorders>
              <w:top w:val="nil"/>
              <w:left w:val="nil"/>
              <w:bottom w:val="single" w:sz="8" w:space="0" w:color="auto"/>
              <w:right w:val="nil"/>
            </w:tcBorders>
            <w:vAlign w:val="center"/>
            <w:hideMark/>
          </w:tcPr>
          <w:p w14:paraId="19C4DE11" w14:textId="77777777" w:rsidR="00BB563F" w:rsidRPr="00CF571C" w:rsidRDefault="00BB563F" w:rsidP="00BB563F">
            <w:pPr>
              <w:rPr>
                <w:rFonts w:ascii="Times New Roman" w:hAnsi="Times New Roman" w:cs="Times New Roman"/>
                <w:color w:val="000000" w:themeColor="text1"/>
                <w:sz w:val="21"/>
                <w:szCs w:val="21"/>
              </w:rPr>
            </w:pPr>
          </w:p>
        </w:tc>
        <w:tc>
          <w:tcPr>
            <w:tcW w:w="750" w:type="pct"/>
            <w:vMerge/>
            <w:tcBorders>
              <w:top w:val="nil"/>
              <w:left w:val="nil"/>
              <w:bottom w:val="single" w:sz="8" w:space="0" w:color="auto"/>
              <w:right w:val="nil"/>
            </w:tcBorders>
            <w:vAlign w:val="center"/>
            <w:hideMark/>
          </w:tcPr>
          <w:p w14:paraId="3087DEAF" w14:textId="77777777" w:rsidR="00BB563F" w:rsidRPr="00CF571C" w:rsidRDefault="00BB563F" w:rsidP="00BB563F">
            <w:pPr>
              <w:rPr>
                <w:rFonts w:ascii="Times New Roman" w:hAnsi="Times New Roman" w:cs="Times New Roman"/>
                <w:color w:val="000000" w:themeColor="text1"/>
                <w:sz w:val="21"/>
                <w:szCs w:val="21"/>
              </w:rPr>
            </w:pPr>
          </w:p>
        </w:tc>
        <w:tc>
          <w:tcPr>
            <w:tcW w:w="749" w:type="pct"/>
            <w:vMerge/>
            <w:tcBorders>
              <w:top w:val="nil"/>
              <w:left w:val="nil"/>
              <w:bottom w:val="single" w:sz="8" w:space="0" w:color="auto"/>
              <w:right w:val="nil"/>
            </w:tcBorders>
            <w:vAlign w:val="center"/>
            <w:hideMark/>
          </w:tcPr>
          <w:p w14:paraId="6776B55D" w14:textId="77777777" w:rsidR="00BB563F" w:rsidRPr="00CF571C" w:rsidRDefault="00BB563F" w:rsidP="00BB563F">
            <w:pPr>
              <w:rPr>
                <w:rFonts w:ascii="Times New Roman" w:hAnsi="Times New Roman" w:cs="Times New Roman"/>
                <w:color w:val="000000" w:themeColor="text1"/>
                <w:sz w:val="21"/>
                <w:szCs w:val="21"/>
              </w:rPr>
            </w:pPr>
          </w:p>
        </w:tc>
      </w:tr>
    </w:tbl>
    <w:p w14:paraId="5E2B0D01" w14:textId="77777777" w:rsidR="00D31D73" w:rsidRPr="00CF571C" w:rsidRDefault="00D31D73" w:rsidP="00741E5D">
      <w:pPr>
        <w:rPr>
          <w:rFonts w:ascii="Times New Roman" w:hAnsi="Times New Roman" w:cs="Times New Roman"/>
          <w:color w:val="000000" w:themeColor="text1"/>
        </w:rPr>
      </w:pPr>
    </w:p>
    <w:p w14:paraId="349EBFB9" w14:textId="77777777" w:rsidR="00D31D73" w:rsidRPr="00CF571C" w:rsidRDefault="00D31D73" w:rsidP="0075508C">
      <w:pPr>
        <w:ind w:firstLineChars="200" w:firstLine="420"/>
        <w:jc w:val="both"/>
        <w:rPr>
          <w:rFonts w:ascii="黑体" w:eastAsia="黑体" w:hAnsi="黑体" w:cs="Times New Roman"/>
          <w:color w:val="000000" w:themeColor="text1"/>
          <w:sz w:val="21"/>
          <w:szCs w:val="21"/>
        </w:rPr>
      </w:pPr>
      <w:r w:rsidRPr="00CF571C">
        <w:rPr>
          <w:rFonts w:ascii="黑体" w:eastAsia="黑体" w:hAnsi="黑体" w:cs="Times New Roman" w:hint="eastAsia"/>
          <w:color w:val="000000" w:themeColor="text1"/>
          <w:sz w:val="21"/>
          <w:szCs w:val="21"/>
        </w:rPr>
        <w:t>（二）纵向、横向影响的分离与比较</w:t>
      </w:r>
    </w:p>
    <w:p w14:paraId="492DE650" w14:textId="77777777" w:rsidR="00D31D73" w:rsidRPr="00CF571C" w:rsidRDefault="00D31D73" w:rsidP="00536E76">
      <w:pPr>
        <w:ind w:firstLineChars="200" w:firstLine="420"/>
        <w:jc w:val="both"/>
        <w:rPr>
          <w:rFonts w:ascii="Times New Roman" w:hAnsi="Times New Roman" w:cs="Times New Roman"/>
          <w:bCs/>
          <w:color w:val="000000" w:themeColor="text1"/>
          <w:sz w:val="21"/>
          <w:szCs w:val="21"/>
        </w:rPr>
      </w:pPr>
      <w:r w:rsidRPr="00CF571C">
        <w:rPr>
          <w:rFonts w:ascii="Times New Roman" w:hAnsi="Times New Roman" w:cs="Times New Roman" w:hint="eastAsia"/>
          <w:bCs/>
          <w:color w:val="000000" w:themeColor="text1"/>
          <w:sz w:val="21"/>
          <w:szCs w:val="21"/>
        </w:rPr>
        <w:t>前文已经阐述、验证了纵向和横向影响的存在。对于纵向和横向两种影响的方向与大小，还需要进行更精准地分离识别。因此，本文使用倾向得分匹配法进一步研究对于不同的支出类型，纵向影响可以多大程度上扩大城市间预算支出差异，横向影响可以多大程度上缩小城市间预算支出差异。</w:t>
      </w:r>
    </w:p>
    <w:p w14:paraId="00E95732" w14:textId="77777777" w:rsidR="00D31D73" w:rsidRPr="00CF571C" w:rsidRDefault="00D31D73" w:rsidP="00297C78">
      <w:pPr>
        <w:ind w:firstLineChars="200" w:firstLine="422"/>
        <w:jc w:val="both"/>
        <w:rPr>
          <w:rFonts w:ascii="Times New Roman" w:hAnsi="Times New Roman" w:cs="Times New Roman"/>
          <w:bCs/>
          <w:color w:val="000000" w:themeColor="text1"/>
          <w:sz w:val="21"/>
          <w:szCs w:val="21"/>
        </w:rPr>
      </w:pPr>
      <w:r w:rsidRPr="00CF571C">
        <w:rPr>
          <w:rFonts w:ascii="Times New Roman" w:hAnsi="Times New Roman" w:cs="Times New Roman"/>
          <w:b/>
          <w:bCs/>
          <w:color w:val="000000" w:themeColor="text1"/>
          <w:sz w:val="21"/>
          <w:szCs w:val="21"/>
        </w:rPr>
        <w:t>1.</w:t>
      </w:r>
      <w:r w:rsidRPr="00CF571C">
        <w:rPr>
          <w:rFonts w:ascii="Times New Roman" w:hAnsi="Times New Roman" w:cs="Times New Roman" w:hint="eastAsia"/>
          <w:b/>
          <w:bCs/>
          <w:color w:val="000000" w:themeColor="text1"/>
          <w:sz w:val="21"/>
          <w:szCs w:val="21"/>
        </w:rPr>
        <w:t>纵向影响</w:t>
      </w:r>
      <w:r w:rsidR="00297C78" w:rsidRPr="00CF571C">
        <w:rPr>
          <w:rFonts w:ascii="Times New Roman" w:hAnsi="Times New Roman" w:cs="Times New Roman" w:hint="eastAsia"/>
          <w:b/>
          <w:bCs/>
          <w:color w:val="000000" w:themeColor="text1"/>
          <w:sz w:val="21"/>
          <w:szCs w:val="21"/>
        </w:rPr>
        <w:t>。</w:t>
      </w:r>
      <w:r w:rsidRPr="00CF571C">
        <w:rPr>
          <w:rFonts w:ascii="Times New Roman" w:hAnsi="Times New Roman" w:cs="Times New Roman" w:hint="eastAsia"/>
          <w:bCs/>
          <w:color w:val="000000" w:themeColor="text1"/>
          <w:sz w:val="21"/>
          <w:szCs w:val="21"/>
        </w:rPr>
        <w:t>表</w:t>
      </w:r>
      <w:r w:rsidR="00B7176D" w:rsidRPr="00CF571C">
        <w:rPr>
          <w:rFonts w:ascii="Times New Roman" w:hAnsi="Times New Roman" w:cs="Times New Roman"/>
          <w:bCs/>
          <w:color w:val="000000" w:themeColor="text1"/>
          <w:sz w:val="21"/>
          <w:szCs w:val="21"/>
        </w:rPr>
        <w:t>7</w:t>
      </w:r>
      <w:r w:rsidRPr="00CF571C">
        <w:rPr>
          <w:rFonts w:ascii="Times New Roman" w:hAnsi="Times New Roman" w:cs="Times New Roman" w:hint="eastAsia"/>
          <w:bCs/>
          <w:color w:val="000000" w:themeColor="text1"/>
          <w:sz w:val="21"/>
          <w:szCs w:val="21"/>
        </w:rPr>
        <w:t>报告了跨省纵向因素对城市间预算支出差异影响的</w:t>
      </w:r>
      <w:r w:rsidRPr="00CF571C">
        <w:rPr>
          <w:rFonts w:ascii="Times New Roman" w:hAnsi="Times New Roman" w:cs="Times New Roman"/>
          <w:bCs/>
          <w:color w:val="000000" w:themeColor="text1"/>
          <w:sz w:val="21"/>
          <w:szCs w:val="21"/>
        </w:rPr>
        <w:t>PSM</w:t>
      </w:r>
      <w:r w:rsidRPr="00CF571C">
        <w:rPr>
          <w:rFonts w:ascii="Times New Roman" w:hAnsi="Times New Roman" w:cs="Times New Roman" w:hint="eastAsia"/>
          <w:bCs/>
          <w:color w:val="000000" w:themeColor="text1"/>
          <w:sz w:val="21"/>
          <w:szCs w:val="21"/>
        </w:rPr>
        <w:t>估计结果。处理组为异省毗邻“城市对”，控制组为同省毗邻“城市对”，在对“城市对”之间的财政状况、经济状况、支出目标特征状况、民生状况、环境状况和地理特征等一系列指标进行最近邻匹配后，结果显示，异省毗邻组的教育、科技、医疗卫生和社会保障支出比重差异均显著大于同省毗邻组的差异。这说明，跨省城市拥有更大的预算支出差异，同省城市拥有更小的预算支出差异，即省级因素的存在会扩大跨省城市的预算支出差异，缩小省内城市的差异。验证了本文提出的第一个假设。</w:t>
      </w:r>
    </w:p>
    <w:p w14:paraId="12C2BB42" w14:textId="77777777" w:rsidR="00D31D73" w:rsidRPr="00CF571C" w:rsidRDefault="00D31D73" w:rsidP="006E1C9B">
      <w:pPr>
        <w:ind w:firstLineChars="200" w:firstLine="420"/>
        <w:rPr>
          <w:rFonts w:ascii="Times New Roman" w:hAnsi="Times New Roman" w:cs="Times New Roman"/>
          <w:bCs/>
          <w:color w:val="000000" w:themeColor="text1"/>
          <w:sz w:val="21"/>
          <w:szCs w:val="21"/>
        </w:rPr>
      </w:pPr>
    </w:p>
    <w:p w14:paraId="53969F41"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7</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纵向影响倾向得分匹配结果</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24"/>
        <w:gridCol w:w="1668"/>
        <w:gridCol w:w="1668"/>
        <w:gridCol w:w="2031"/>
        <w:gridCol w:w="2031"/>
      </w:tblGrid>
      <w:tr w:rsidR="00CF571C" w:rsidRPr="00CF571C" w14:paraId="7D7E6685" w14:textId="77777777" w:rsidTr="007E197E">
        <w:trPr>
          <w:trHeight w:val="269"/>
          <w:jc w:val="center"/>
        </w:trPr>
        <w:tc>
          <w:tcPr>
            <w:tcW w:w="661" w:type="pct"/>
            <w:tcBorders>
              <w:top w:val="single" w:sz="8" w:space="0" w:color="auto"/>
              <w:bottom w:val="single" w:sz="4" w:space="0" w:color="auto"/>
            </w:tcBorders>
            <w:shd w:val="clear" w:color="auto" w:fill="auto"/>
            <w:noWrap/>
            <w:vAlign w:val="center"/>
            <w:hideMark/>
          </w:tcPr>
          <w:p w14:paraId="54686282" w14:textId="77777777" w:rsidR="00D31D73" w:rsidRPr="00CF571C" w:rsidRDefault="00D31D73" w:rsidP="00741E5D">
            <w:pPr>
              <w:jc w:val="both"/>
              <w:rPr>
                <w:rFonts w:ascii="Times New Roman" w:hAnsi="Times New Roman" w:cs="Times New Roman"/>
                <w:color w:val="000000" w:themeColor="text1"/>
                <w:sz w:val="21"/>
                <w:szCs w:val="21"/>
              </w:rPr>
            </w:pPr>
          </w:p>
        </w:tc>
        <w:tc>
          <w:tcPr>
            <w:tcW w:w="1217" w:type="pct"/>
            <w:tcBorders>
              <w:top w:val="single" w:sz="8" w:space="0" w:color="auto"/>
              <w:bottom w:val="single" w:sz="4" w:space="0" w:color="auto"/>
            </w:tcBorders>
            <w:shd w:val="clear" w:color="auto" w:fill="auto"/>
            <w:noWrap/>
            <w:vAlign w:val="center"/>
            <w:hideMark/>
          </w:tcPr>
          <w:p w14:paraId="4397E7F3" w14:textId="77777777" w:rsidR="00D31D73" w:rsidRPr="00CF571C" w:rsidRDefault="00D31D73" w:rsidP="007529E0">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741" w:type="pct"/>
            <w:tcBorders>
              <w:top w:val="single" w:sz="8" w:space="0" w:color="auto"/>
              <w:bottom w:val="single" w:sz="4" w:space="0" w:color="auto"/>
            </w:tcBorders>
            <w:shd w:val="clear" w:color="auto" w:fill="auto"/>
            <w:noWrap/>
            <w:vAlign w:val="center"/>
            <w:hideMark/>
          </w:tcPr>
          <w:p w14:paraId="35AA1D22" w14:textId="77777777" w:rsidR="00D31D73" w:rsidRPr="00CF571C" w:rsidRDefault="00D31D73" w:rsidP="007529E0">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191" w:type="pct"/>
            <w:tcBorders>
              <w:top w:val="single" w:sz="8" w:space="0" w:color="auto"/>
              <w:bottom w:val="single" w:sz="4" w:space="0" w:color="auto"/>
            </w:tcBorders>
            <w:shd w:val="clear" w:color="auto" w:fill="auto"/>
            <w:noWrap/>
            <w:vAlign w:val="center"/>
            <w:hideMark/>
          </w:tcPr>
          <w:p w14:paraId="5A2C829B" w14:textId="77777777" w:rsidR="00D31D73" w:rsidRPr="00CF571C" w:rsidRDefault="00D31D73" w:rsidP="007529E0">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1191" w:type="pct"/>
            <w:tcBorders>
              <w:top w:val="single" w:sz="8" w:space="0" w:color="auto"/>
              <w:bottom w:val="single" w:sz="4" w:space="0" w:color="auto"/>
            </w:tcBorders>
            <w:shd w:val="clear" w:color="auto" w:fill="auto"/>
            <w:noWrap/>
            <w:vAlign w:val="center"/>
            <w:hideMark/>
          </w:tcPr>
          <w:p w14:paraId="789B6BAB" w14:textId="77777777" w:rsidR="00D31D73" w:rsidRPr="00CF571C" w:rsidRDefault="00D31D73" w:rsidP="007529E0">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64D89BCC" w14:textId="77777777" w:rsidTr="00EE122F">
        <w:trPr>
          <w:trHeight w:val="269"/>
          <w:jc w:val="center"/>
        </w:trPr>
        <w:tc>
          <w:tcPr>
            <w:tcW w:w="661" w:type="pct"/>
            <w:tcBorders>
              <w:top w:val="single" w:sz="4" w:space="0" w:color="auto"/>
            </w:tcBorders>
            <w:shd w:val="clear" w:color="auto" w:fill="auto"/>
            <w:noWrap/>
            <w:vAlign w:val="center"/>
            <w:hideMark/>
          </w:tcPr>
          <w:p w14:paraId="752FEFA1"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异省毗邻组</w:t>
            </w:r>
          </w:p>
        </w:tc>
        <w:tc>
          <w:tcPr>
            <w:tcW w:w="1217" w:type="pct"/>
            <w:tcBorders>
              <w:top w:val="single" w:sz="4" w:space="0" w:color="auto"/>
            </w:tcBorders>
            <w:shd w:val="clear" w:color="auto" w:fill="auto"/>
            <w:noWrap/>
            <w:vAlign w:val="center"/>
            <w:hideMark/>
          </w:tcPr>
          <w:p w14:paraId="4B08E24F"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0.0495</w:t>
            </w:r>
          </w:p>
        </w:tc>
        <w:tc>
          <w:tcPr>
            <w:tcW w:w="741" w:type="pct"/>
            <w:tcBorders>
              <w:top w:val="single" w:sz="4" w:space="0" w:color="auto"/>
            </w:tcBorders>
            <w:shd w:val="clear" w:color="auto" w:fill="auto"/>
            <w:noWrap/>
            <w:vAlign w:val="center"/>
            <w:hideMark/>
          </w:tcPr>
          <w:p w14:paraId="2EDEBD0D"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0.0080</w:t>
            </w:r>
          </w:p>
        </w:tc>
        <w:tc>
          <w:tcPr>
            <w:tcW w:w="1191" w:type="pct"/>
            <w:tcBorders>
              <w:top w:val="single" w:sz="4" w:space="0" w:color="auto"/>
            </w:tcBorders>
            <w:shd w:val="clear" w:color="auto" w:fill="auto"/>
            <w:noWrap/>
            <w:vAlign w:val="center"/>
            <w:hideMark/>
          </w:tcPr>
          <w:p w14:paraId="32077916"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0.0223</w:t>
            </w:r>
          </w:p>
        </w:tc>
        <w:tc>
          <w:tcPr>
            <w:tcW w:w="1191" w:type="pct"/>
            <w:tcBorders>
              <w:top w:val="single" w:sz="4" w:space="0" w:color="auto"/>
            </w:tcBorders>
            <w:shd w:val="clear" w:color="auto" w:fill="auto"/>
            <w:noWrap/>
            <w:vAlign w:val="center"/>
            <w:hideMark/>
          </w:tcPr>
          <w:p w14:paraId="63BD00E7"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0.0378</w:t>
            </w:r>
          </w:p>
        </w:tc>
      </w:tr>
      <w:tr w:rsidR="00CF571C" w:rsidRPr="00CF571C" w14:paraId="780B647B" w14:textId="77777777" w:rsidTr="00EE122F">
        <w:trPr>
          <w:trHeight w:val="269"/>
          <w:jc w:val="center"/>
        </w:trPr>
        <w:tc>
          <w:tcPr>
            <w:tcW w:w="661" w:type="pct"/>
            <w:shd w:val="clear" w:color="auto" w:fill="auto"/>
            <w:noWrap/>
            <w:vAlign w:val="center"/>
            <w:hideMark/>
          </w:tcPr>
          <w:p w14:paraId="64DDC0F1"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同省毗邻</w:t>
            </w:r>
            <w:r w:rsidRPr="00CF571C">
              <w:rPr>
                <w:rFonts w:ascii="Times New Roman" w:hAnsi="Times New Roman" w:cs="Times New Roman"/>
                <w:color w:val="000000" w:themeColor="text1"/>
                <w:sz w:val="21"/>
                <w:szCs w:val="21"/>
              </w:rPr>
              <w:lastRenderedPageBreak/>
              <w:t>组</w:t>
            </w:r>
          </w:p>
        </w:tc>
        <w:tc>
          <w:tcPr>
            <w:tcW w:w="1217" w:type="pct"/>
            <w:shd w:val="clear" w:color="auto" w:fill="auto"/>
            <w:noWrap/>
            <w:vAlign w:val="center"/>
            <w:hideMark/>
          </w:tcPr>
          <w:p w14:paraId="2A3FC39B"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lastRenderedPageBreak/>
              <w:t>0.0433</w:t>
            </w:r>
          </w:p>
        </w:tc>
        <w:tc>
          <w:tcPr>
            <w:tcW w:w="741" w:type="pct"/>
            <w:shd w:val="clear" w:color="auto" w:fill="auto"/>
            <w:noWrap/>
            <w:vAlign w:val="center"/>
            <w:hideMark/>
          </w:tcPr>
          <w:p w14:paraId="6B3FD3EB"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0.0071</w:t>
            </w:r>
          </w:p>
        </w:tc>
        <w:tc>
          <w:tcPr>
            <w:tcW w:w="1191" w:type="pct"/>
            <w:shd w:val="clear" w:color="auto" w:fill="auto"/>
            <w:noWrap/>
            <w:vAlign w:val="center"/>
            <w:hideMark/>
          </w:tcPr>
          <w:p w14:paraId="0AB1CA92"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0.0186</w:t>
            </w:r>
          </w:p>
        </w:tc>
        <w:tc>
          <w:tcPr>
            <w:tcW w:w="1191" w:type="pct"/>
            <w:shd w:val="clear" w:color="auto" w:fill="auto"/>
            <w:noWrap/>
            <w:vAlign w:val="center"/>
            <w:hideMark/>
          </w:tcPr>
          <w:p w14:paraId="61B5019A"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0.0243</w:t>
            </w:r>
          </w:p>
        </w:tc>
      </w:tr>
      <w:tr w:rsidR="00CF571C" w:rsidRPr="00CF571C" w14:paraId="078ED219" w14:textId="77777777" w:rsidTr="00EE122F">
        <w:trPr>
          <w:trHeight w:val="269"/>
          <w:jc w:val="center"/>
        </w:trPr>
        <w:tc>
          <w:tcPr>
            <w:tcW w:w="661" w:type="pct"/>
            <w:shd w:val="clear" w:color="auto" w:fill="auto"/>
            <w:noWrap/>
            <w:vAlign w:val="center"/>
            <w:hideMark/>
          </w:tcPr>
          <w:p w14:paraId="681AC655"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处理效应</w:t>
            </w:r>
          </w:p>
        </w:tc>
        <w:tc>
          <w:tcPr>
            <w:tcW w:w="1217" w:type="pct"/>
            <w:shd w:val="clear" w:color="auto" w:fill="auto"/>
            <w:noWrap/>
            <w:vAlign w:val="center"/>
            <w:hideMark/>
          </w:tcPr>
          <w:p w14:paraId="66378A43"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0.0062</w:t>
            </w:r>
          </w:p>
        </w:tc>
        <w:tc>
          <w:tcPr>
            <w:tcW w:w="741" w:type="pct"/>
            <w:shd w:val="clear" w:color="auto" w:fill="auto"/>
            <w:noWrap/>
            <w:vAlign w:val="center"/>
            <w:hideMark/>
          </w:tcPr>
          <w:p w14:paraId="7BC00EF1"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0.0009</w:t>
            </w:r>
          </w:p>
        </w:tc>
        <w:tc>
          <w:tcPr>
            <w:tcW w:w="1191" w:type="pct"/>
            <w:shd w:val="clear" w:color="auto" w:fill="auto"/>
            <w:noWrap/>
            <w:vAlign w:val="center"/>
            <w:hideMark/>
          </w:tcPr>
          <w:p w14:paraId="120A3541"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0.0037</w:t>
            </w:r>
          </w:p>
        </w:tc>
        <w:tc>
          <w:tcPr>
            <w:tcW w:w="1191" w:type="pct"/>
            <w:shd w:val="clear" w:color="auto" w:fill="auto"/>
            <w:noWrap/>
            <w:vAlign w:val="center"/>
            <w:hideMark/>
          </w:tcPr>
          <w:p w14:paraId="2CA9C246"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0.0136</w:t>
            </w:r>
          </w:p>
        </w:tc>
      </w:tr>
      <w:tr w:rsidR="00D31D73" w:rsidRPr="00CF571C" w14:paraId="5FD41371" w14:textId="77777777" w:rsidTr="007E197E">
        <w:trPr>
          <w:trHeight w:val="269"/>
          <w:jc w:val="center"/>
        </w:trPr>
        <w:tc>
          <w:tcPr>
            <w:tcW w:w="661" w:type="pct"/>
            <w:tcBorders>
              <w:bottom w:val="single" w:sz="8" w:space="0" w:color="auto"/>
            </w:tcBorders>
            <w:shd w:val="clear" w:color="auto" w:fill="auto"/>
            <w:noWrap/>
            <w:vAlign w:val="center"/>
            <w:hideMark/>
          </w:tcPr>
          <w:p w14:paraId="0D1EB452"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i/>
                <w:iCs/>
                <w:color w:val="000000" w:themeColor="text1"/>
                <w:sz w:val="21"/>
                <w:szCs w:val="21"/>
              </w:rPr>
              <w:t>t</w:t>
            </w:r>
            <w:r w:rsidRPr="00CF571C">
              <w:rPr>
                <w:rFonts w:ascii="Times New Roman" w:hAnsi="Times New Roman" w:cs="Times New Roman"/>
                <w:color w:val="000000" w:themeColor="text1"/>
                <w:sz w:val="21"/>
                <w:szCs w:val="21"/>
              </w:rPr>
              <w:t>值</w:t>
            </w:r>
          </w:p>
        </w:tc>
        <w:tc>
          <w:tcPr>
            <w:tcW w:w="1217" w:type="pct"/>
            <w:tcBorders>
              <w:bottom w:val="single" w:sz="8" w:space="0" w:color="auto"/>
            </w:tcBorders>
            <w:shd w:val="clear" w:color="auto" w:fill="auto"/>
            <w:noWrap/>
            <w:vAlign w:val="center"/>
            <w:hideMark/>
          </w:tcPr>
          <w:p w14:paraId="6DF859D8"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2.32</w:t>
            </w:r>
          </w:p>
        </w:tc>
        <w:tc>
          <w:tcPr>
            <w:tcW w:w="741" w:type="pct"/>
            <w:tcBorders>
              <w:bottom w:val="single" w:sz="8" w:space="0" w:color="auto"/>
            </w:tcBorders>
            <w:shd w:val="clear" w:color="auto" w:fill="auto"/>
            <w:noWrap/>
            <w:vAlign w:val="center"/>
            <w:hideMark/>
          </w:tcPr>
          <w:p w14:paraId="6B9BAC2D"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2.06</w:t>
            </w:r>
          </w:p>
        </w:tc>
        <w:tc>
          <w:tcPr>
            <w:tcW w:w="1191" w:type="pct"/>
            <w:tcBorders>
              <w:bottom w:val="single" w:sz="8" w:space="0" w:color="auto"/>
            </w:tcBorders>
            <w:shd w:val="clear" w:color="auto" w:fill="auto"/>
            <w:noWrap/>
            <w:vAlign w:val="center"/>
            <w:hideMark/>
          </w:tcPr>
          <w:p w14:paraId="4E292C2A"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4.28</w:t>
            </w:r>
          </w:p>
        </w:tc>
        <w:tc>
          <w:tcPr>
            <w:tcW w:w="1191" w:type="pct"/>
            <w:tcBorders>
              <w:bottom w:val="single" w:sz="8" w:space="0" w:color="auto"/>
            </w:tcBorders>
            <w:shd w:val="clear" w:color="auto" w:fill="auto"/>
            <w:noWrap/>
            <w:vAlign w:val="center"/>
            <w:hideMark/>
          </w:tcPr>
          <w:p w14:paraId="1C901DCD"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10.86</w:t>
            </w:r>
          </w:p>
        </w:tc>
      </w:tr>
    </w:tbl>
    <w:p w14:paraId="65FACB50" w14:textId="77777777" w:rsidR="00D31D73" w:rsidRPr="00CF571C" w:rsidRDefault="00D31D73" w:rsidP="00741E5D">
      <w:pPr>
        <w:jc w:val="both"/>
        <w:rPr>
          <w:rFonts w:ascii="Times New Roman" w:hAnsi="Times New Roman" w:cs="Times New Roman"/>
          <w:color w:val="000000" w:themeColor="text1"/>
        </w:rPr>
      </w:pPr>
    </w:p>
    <w:p w14:paraId="6156A02A" w14:textId="77777777" w:rsidR="00D31D73" w:rsidRPr="00CF571C" w:rsidRDefault="00D31D73" w:rsidP="006E1C9B">
      <w:pPr>
        <w:ind w:firstLineChars="200" w:firstLine="420"/>
        <w:jc w:val="both"/>
        <w:rPr>
          <w:rFonts w:ascii="Times New Roman" w:hAnsi="Times New Roman" w:cs="Times New Roman"/>
          <w:color w:val="000000" w:themeColor="text1"/>
        </w:rPr>
      </w:pPr>
      <w:r w:rsidRPr="00CF571C">
        <w:rPr>
          <w:rFonts w:ascii="Times New Roman" w:hAnsi="Times New Roman" w:cs="Times New Roman"/>
          <w:bCs/>
          <w:color w:val="000000" w:themeColor="text1"/>
          <w:sz w:val="21"/>
          <w:szCs w:val="21"/>
        </w:rPr>
        <w:t>倾向得分匹配的关键所在是保证处理组和控制组配对的有效性</w:t>
      </w:r>
      <w:r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通过倾向得分匹配后，协变量特征相近的</w:t>
      </w:r>
      <w:r w:rsidR="002B2F17"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城市对</w:t>
      </w:r>
      <w:r w:rsidR="002B2F17"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匹配在一起，处理组和控制组协变量的差异应较匹配前大大缩小，此时可以认为倾向得分匹配是有效的。</w:t>
      </w:r>
      <w:r w:rsidRPr="00CF571C">
        <w:rPr>
          <w:rFonts w:ascii="Times New Roman" w:hAnsi="Times New Roman" w:cs="Times New Roman" w:hint="eastAsia"/>
          <w:bCs/>
          <w:color w:val="000000" w:themeColor="text1"/>
          <w:sz w:val="21"/>
          <w:szCs w:val="21"/>
        </w:rPr>
        <w:t>因此，我们对样本的配对进行了匹配的平衡性检验。如图</w:t>
      </w:r>
      <w:r w:rsidRPr="00CF571C">
        <w:rPr>
          <w:rFonts w:ascii="Times New Roman" w:hAnsi="Times New Roman" w:cs="Times New Roman"/>
          <w:bCs/>
          <w:color w:val="000000" w:themeColor="text1"/>
          <w:sz w:val="21"/>
          <w:szCs w:val="21"/>
        </w:rPr>
        <w:t>8</w:t>
      </w:r>
      <w:r w:rsidRPr="00CF571C">
        <w:rPr>
          <w:rFonts w:ascii="Times New Roman" w:hAnsi="Times New Roman" w:cs="Times New Roman" w:hint="eastAsia"/>
          <w:bCs/>
          <w:color w:val="000000" w:themeColor="text1"/>
          <w:sz w:val="21"/>
          <w:szCs w:val="21"/>
        </w:rPr>
        <w:t>所示，匹配前，处理组和控制组样本的倾向得分值分布存在非共同取值范围，在匹配后，两组样本的倾向得分值分布基本一致，样本平衡性较好。</w:t>
      </w:r>
    </w:p>
    <w:p w14:paraId="534B5EDF" w14:textId="77777777" w:rsidR="00D31D73" w:rsidRPr="00CF571C" w:rsidRDefault="00D31D73" w:rsidP="00741E5D">
      <w:pPr>
        <w:jc w:val="both"/>
        <w:rPr>
          <w:rFonts w:ascii="Times New Roman" w:hAnsi="Times New Roman" w:cs="Times New Roman"/>
          <w:color w:val="000000" w:themeColor="text1"/>
        </w:rPr>
      </w:pPr>
      <w:r w:rsidRPr="00CF571C">
        <w:rPr>
          <w:rFonts w:ascii="Times New Roman" w:hAnsi="Times New Roman" w:cs="Times New Roman"/>
          <w:noProof/>
          <w:color w:val="000000" w:themeColor="text1"/>
        </w:rPr>
        <w:drawing>
          <wp:anchor distT="0" distB="0" distL="114300" distR="114300" simplePos="0" relativeHeight="251658240" behindDoc="1" locked="0" layoutInCell="1" allowOverlap="1" wp14:anchorId="3E49763B" wp14:editId="23498862">
            <wp:simplePos x="0" y="0"/>
            <wp:positionH relativeFrom="column">
              <wp:posOffset>-142240</wp:posOffset>
            </wp:positionH>
            <wp:positionV relativeFrom="paragraph">
              <wp:posOffset>201295</wp:posOffset>
            </wp:positionV>
            <wp:extent cx="2723515" cy="1954530"/>
            <wp:effectExtent l="0" t="0" r="0" b="1270"/>
            <wp:wrapTight wrapText="bothSides">
              <wp:wrapPolygon edited="0">
                <wp:start x="0" y="0"/>
                <wp:lineTo x="0" y="21474"/>
                <wp:lineTo x="21454" y="21474"/>
                <wp:lineTo x="21454" y="0"/>
                <wp:lineTo x="0" y="0"/>
              </wp:wrapPolygon>
            </wp:wrapTight>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3515" cy="1954530"/>
                    </a:xfrm>
                    <a:prstGeom prst="rect">
                      <a:avLst/>
                    </a:prstGeom>
                  </pic:spPr>
                </pic:pic>
              </a:graphicData>
            </a:graphic>
          </wp:anchor>
        </w:drawing>
      </w:r>
      <w:r w:rsidRPr="00CF571C">
        <w:rPr>
          <w:rFonts w:ascii="Times New Roman" w:hAnsi="Times New Roman" w:cs="Times New Roman"/>
          <w:noProof/>
          <w:color w:val="000000" w:themeColor="text1"/>
        </w:rPr>
        <w:drawing>
          <wp:anchor distT="0" distB="0" distL="114300" distR="114300" simplePos="0" relativeHeight="251656192" behindDoc="1" locked="0" layoutInCell="1" allowOverlap="1" wp14:anchorId="5701CE00" wp14:editId="7B48AAE4">
            <wp:simplePos x="0" y="0"/>
            <wp:positionH relativeFrom="column">
              <wp:posOffset>2580640</wp:posOffset>
            </wp:positionH>
            <wp:positionV relativeFrom="paragraph">
              <wp:posOffset>197908</wp:posOffset>
            </wp:positionV>
            <wp:extent cx="2730500" cy="1963420"/>
            <wp:effectExtent l="0" t="0" r="0" b="5080"/>
            <wp:wrapTight wrapText="bothSides">
              <wp:wrapPolygon edited="0">
                <wp:start x="0" y="0"/>
                <wp:lineTo x="0" y="21516"/>
                <wp:lineTo x="21500" y="21516"/>
                <wp:lineTo x="21500" y="0"/>
                <wp:lineTo x="0" y="0"/>
              </wp:wrapPolygon>
            </wp:wrapTight>
            <wp:docPr id="5"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500" cy="1963420"/>
                    </a:xfrm>
                    <a:prstGeom prst="rect">
                      <a:avLst/>
                    </a:prstGeom>
                  </pic:spPr>
                </pic:pic>
              </a:graphicData>
            </a:graphic>
          </wp:anchor>
        </w:drawing>
      </w:r>
    </w:p>
    <w:p w14:paraId="0D837545" w14:textId="77777777" w:rsidR="00D31D73" w:rsidRPr="00CF571C" w:rsidRDefault="00D31D73" w:rsidP="00982873">
      <w:pPr>
        <w:adjustRightInd w:val="0"/>
        <w:snapToGrid w:val="0"/>
        <w:ind w:firstLineChars="200" w:firstLine="420"/>
        <w:jc w:val="center"/>
        <w:rPr>
          <w:rFonts w:ascii="Times New Roman" w:eastAsia="楷体" w:hAnsi="Times New Roman" w:cs="Times New Roman"/>
          <w:color w:val="000000" w:themeColor="text1"/>
          <w:sz w:val="21"/>
          <w:szCs w:val="21"/>
        </w:rPr>
      </w:pPr>
      <w:r w:rsidRPr="00CF571C">
        <w:rPr>
          <w:rFonts w:ascii="Times New Roman" w:eastAsia="楷体" w:hAnsi="Times New Roman" w:cs="Times New Roman"/>
          <w:color w:val="000000" w:themeColor="text1"/>
          <w:sz w:val="21"/>
          <w:szCs w:val="21"/>
        </w:rPr>
        <w:t>图</w:t>
      </w:r>
      <w:r w:rsidRPr="00CF571C">
        <w:rPr>
          <w:rFonts w:ascii="Times New Roman" w:eastAsia="楷体" w:hAnsi="Times New Roman" w:cs="Times New Roman"/>
          <w:color w:val="000000" w:themeColor="text1"/>
          <w:sz w:val="21"/>
          <w:szCs w:val="21"/>
        </w:rPr>
        <w:t xml:space="preserve">8     </w:t>
      </w:r>
      <w:r w:rsidRPr="00CF571C">
        <w:rPr>
          <w:rFonts w:ascii="Times New Roman" w:eastAsia="楷体" w:hAnsi="Times New Roman" w:cs="Times New Roman"/>
          <w:color w:val="000000" w:themeColor="text1"/>
          <w:sz w:val="21"/>
          <w:szCs w:val="21"/>
        </w:rPr>
        <w:t>匹配前后倾向得分变化</w:t>
      </w:r>
    </w:p>
    <w:p w14:paraId="07368CE5" w14:textId="77777777" w:rsidR="00D31D73" w:rsidRPr="00CF571C" w:rsidRDefault="00D31D73" w:rsidP="00741E5D">
      <w:pPr>
        <w:jc w:val="both"/>
        <w:rPr>
          <w:rFonts w:ascii="Times New Roman" w:hAnsi="Times New Roman" w:cs="Times New Roman"/>
          <w:color w:val="000000" w:themeColor="text1"/>
        </w:rPr>
      </w:pPr>
    </w:p>
    <w:p w14:paraId="52C7E2D7" w14:textId="77777777" w:rsidR="00D31D73" w:rsidRPr="00CF571C" w:rsidRDefault="00D31D73" w:rsidP="00536E76">
      <w:pPr>
        <w:ind w:firstLineChars="200" w:firstLine="420"/>
        <w:jc w:val="both"/>
        <w:rPr>
          <w:rFonts w:ascii="Times New Roman" w:hAnsi="Times New Roman" w:cs="Times New Roman"/>
          <w:bCs/>
          <w:color w:val="000000" w:themeColor="text1"/>
          <w:sz w:val="21"/>
          <w:szCs w:val="21"/>
        </w:rPr>
      </w:pPr>
      <w:r w:rsidRPr="00CF571C">
        <w:rPr>
          <w:rFonts w:ascii="Times New Roman" w:hAnsi="Times New Roman" w:cs="Times New Roman" w:hint="eastAsia"/>
          <w:bCs/>
          <w:color w:val="000000" w:themeColor="text1"/>
          <w:sz w:val="21"/>
          <w:szCs w:val="21"/>
        </w:rPr>
        <w:t>图</w:t>
      </w:r>
      <w:r w:rsidRPr="00CF571C">
        <w:rPr>
          <w:rFonts w:ascii="Times New Roman" w:hAnsi="Times New Roman" w:cs="Times New Roman"/>
          <w:bCs/>
          <w:color w:val="000000" w:themeColor="text1"/>
          <w:sz w:val="21"/>
          <w:szCs w:val="21"/>
        </w:rPr>
        <w:t>9</w:t>
      </w:r>
      <w:r w:rsidRPr="00CF571C">
        <w:rPr>
          <w:rFonts w:ascii="Times New Roman" w:hAnsi="Times New Roman" w:cs="Times New Roman" w:hint="eastAsia"/>
          <w:bCs/>
          <w:color w:val="000000" w:themeColor="text1"/>
          <w:sz w:val="21"/>
          <w:szCs w:val="21"/>
        </w:rPr>
        <w:t>展示了匹配前后各匹配变量的标准偏差变化情况，结果显示，匹配后各变量的标准偏差绝对值均小于</w:t>
      </w:r>
      <w:r w:rsidRPr="00CF571C">
        <w:rPr>
          <w:rFonts w:ascii="Times New Roman" w:hAnsi="Times New Roman" w:cs="Times New Roman" w:hint="eastAsia"/>
          <w:bCs/>
          <w:color w:val="000000" w:themeColor="text1"/>
          <w:sz w:val="21"/>
          <w:szCs w:val="21"/>
        </w:rPr>
        <w:t>1</w:t>
      </w:r>
      <w:r w:rsidRPr="00CF571C">
        <w:rPr>
          <w:rFonts w:ascii="Times New Roman" w:hAnsi="Times New Roman" w:cs="Times New Roman"/>
          <w:bCs/>
          <w:color w:val="000000" w:themeColor="text1"/>
          <w:sz w:val="21"/>
          <w:szCs w:val="21"/>
        </w:rPr>
        <w:t>0%</w:t>
      </w:r>
      <w:r w:rsidRPr="00CF571C">
        <w:rPr>
          <w:rFonts w:ascii="Times New Roman" w:hAnsi="Times New Roman" w:cs="Times New Roman" w:hint="eastAsia"/>
          <w:bCs/>
          <w:color w:val="000000" w:themeColor="text1"/>
          <w:sz w:val="21"/>
          <w:szCs w:val="21"/>
        </w:rPr>
        <w:t>，说明处理组与控制组在所有可观测特征上均不存在显著差异，表明本文对匹配变量和方法的选取是恰当的，以此为基础的倾向得分匹配是可靠的。</w:t>
      </w:r>
    </w:p>
    <w:p w14:paraId="59562E0B" w14:textId="77777777" w:rsidR="00D31D73" w:rsidRPr="00CF571C" w:rsidRDefault="00D31D73" w:rsidP="00741E5D">
      <w:pPr>
        <w:jc w:val="both"/>
        <w:rPr>
          <w:rFonts w:ascii="Times New Roman" w:hAnsi="Times New Roman" w:cs="Times New Roman"/>
          <w:color w:val="000000" w:themeColor="text1"/>
        </w:rPr>
      </w:pPr>
      <w:r w:rsidRPr="00CF571C">
        <w:rPr>
          <w:rFonts w:ascii="Times New Roman" w:hAnsi="Times New Roman" w:cs="Times New Roman"/>
          <w:noProof/>
          <w:color w:val="000000" w:themeColor="text1"/>
        </w:rPr>
        <w:drawing>
          <wp:inline distT="0" distB="0" distL="0" distR="0" wp14:anchorId="2DD0E550" wp14:editId="41FA0AE6">
            <wp:extent cx="5274310" cy="2889885"/>
            <wp:effectExtent l="0" t="0" r="0" b="5715"/>
            <wp:docPr id="9" name="图片 9" descr="图表,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表格&#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89885"/>
                    </a:xfrm>
                    <a:prstGeom prst="rect">
                      <a:avLst/>
                    </a:prstGeom>
                  </pic:spPr>
                </pic:pic>
              </a:graphicData>
            </a:graphic>
          </wp:inline>
        </w:drawing>
      </w:r>
    </w:p>
    <w:p w14:paraId="5A3130F7" w14:textId="77777777" w:rsidR="00D31D73" w:rsidRPr="00CF571C" w:rsidRDefault="00D31D73" w:rsidP="00982873">
      <w:pPr>
        <w:adjustRightInd w:val="0"/>
        <w:snapToGrid w:val="0"/>
        <w:ind w:firstLineChars="200" w:firstLine="420"/>
        <w:jc w:val="center"/>
        <w:rPr>
          <w:rFonts w:ascii="Times New Roman" w:eastAsia="楷体" w:hAnsi="Times New Roman" w:cs="Times New Roman"/>
          <w:color w:val="000000" w:themeColor="text1"/>
          <w:sz w:val="21"/>
          <w:szCs w:val="21"/>
        </w:rPr>
      </w:pPr>
      <w:r w:rsidRPr="00CF571C">
        <w:rPr>
          <w:rFonts w:ascii="Times New Roman" w:eastAsia="楷体" w:hAnsi="Times New Roman" w:cs="Times New Roman"/>
          <w:color w:val="000000" w:themeColor="text1"/>
          <w:sz w:val="21"/>
          <w:szCs w:val="21"/>
        </w:rPr>
        <w:t>图</w:t>
      </w:r>
      <w:r w:rsidRPr="00CF571C">
        <w:rPr>
          <w:rFonts w:ascii="Times New Roman" w:eastAsia="楷体" w:hAnsi="Times New Roman" w:cs="Times New Roman"/>
          <w:color w:val="000000" w:themeColor="text1"/>
          <w:sz w:val="21"/>
          <w:szCs w:val="21"/>
        </w:rPr>
        <w:t xml:space="preserve">9    </w:t>
      </w:r>
      <w:r w:rsidRPr="00CF571C">
        <w:rPr>
          <w:rFonts w:ascii="Times New Roman" w:eastAsia="楷体" w:hAnsi="Times New Roman" w:cs="Times New Roman"/>
          <w:color w:val="000000" w:themeColor="text1"/>
          <w:sz w:val="21"/>
          <w:szCs w:val="21"/>
        </w:rPr>
        <w:t>匹配变量标准偏差变化</w:t>
      </w:r>
    </w:p>
    <w:p w14:paraId="2C304CD2" w14:textId="77777777" w:rsidR="00D31D73" w:rsidRPr="00CF571C" w:rsidRDefault="00D31D73" w:rsidP="00741E5D">
      <w:pPr>
        <w:jc w:val="both"/>
        <w:rPr>
          <w:rFonts w:ascii="Times New Roman" w:hAnsi="Times New Roman" w:cs="Times New Roman"/>
          <w:color w:val="000000" w:themeColor="text1"/>
        </w:rPr>
      </w:pPr>
    </w:p>
    <w:p w14:paraId="53FFED01" w14:textId="77777777" w:rsidR="00D31D73" w:rsidRPr="00CF571C" w:rsidRDefault="00D31D73" w:rsidP="00536E76">
      <w:pPr>
        <w:ind w:firstLineChars="200" w:firstLine="420"/>
        <w:jc w:val="both"/>
        <w:rPr>
          <w:color w:val="000000" w:themeColor="text1"/>
        </w:rPr>
      </w:pPr>
      <w:r w:rsidRPr="00CF571C">
        <w:rPr>
          <w:rFonts w:ascii="Times New Roman" w:hAnsi="Times New Roman" w:cs="Times New Roman" w:hint="eastAsia"/>
          <w:bCs/>
          <w:color w:val="000000" w:themeColor="text1"/>
          <w:sz w:val="21"/>
          <w:szCs w:val="21"/>
        </w:rPr>
        <w:t>以上结果验证了省级政府对下级财政的作用</w:t>
      </w:r>
      <w:r w:rsidRPr="00CF571C">
        <w:rPr>
          <w:rFonts w:ascii="Times New Roman" w:hAnsi="Times New Roman" w:cs="Times New Roman"/>
          <w:bCs/>
          <w:color w:val="000000" w:themeColor="text1"/>
          <w:sz w:val="21"/>
          <w:szCs w:val="21"/>
        </w:rPr>
        <w:t>，因地级市财政自主权有限，</w:t>
      </w:r>
      <w:r w:rsidRPr="00CF571C">
        <w:rPr>
          <w:rFonts w:ascii="Times New Roman" w:hAnsi="Times New Roman" w:cs="Times New Roman" w:hint="eastAsia"/>
          <w:bCs/>
          <w:color w:val="000000" w:themeColor="text1"/>
          <w:sz w:val="21"/>
          <w:szCs w:val="21"/>
        </w:rPr>
        <w:t>其预算过程</w:t>
      </w:r>
      <w:r w:rsidRPr="00CF571C">
        <w:rPr>
          <w:rFonts w:ascii="Times New Roman" w:hAnsi="Times New Roman" w:cs="Times New Roman"/>
          <w:bCs/>
          <w:color w:val="000000" w:themeColor="text1"/>
          <w:sz w:val="21"/>
          <w:szCs w:val="21"/>
        </w:rPr>
        <w:t>更多取决于其所属的省级政府。例如，为深入贯彻落实《国务院关于进一步深化预算管理</w:t>
      </w:r>
      <w:r w:rsidRPr="00CF571C">
        <w:rPr>
          <w:rFonts w:ascii="Times New Roman" w:hAnsi="Times New Roman" w:cs="Times New Roman"/>
          <w:bCs/>
          <w:color w:val="000000" w:themeColor="text1"/>
          <w:sz w:val="21"/>
          <w:szCs w:val="21"/>
        </w:rPr>
        <w:lastRenderedPageBreak/>
        <w:t>制度改革的意见》，各省根据文件精神和自身实际，提出了本省的实施意见，湖南省政府提出</w:t>
      </w:r>
      <w:r w:rsidR="00DD119A"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优化财政支出结构，加大对教育、社会保障、卫生健康</w:t>
      </w:r>
      <w:r w:rsidRPr="00CF571C">
        <w:rPr>
          <w:rFonts w:ascii="Times New Roman" w:hAnsi="Times New Roman" w:cs="Times New Roman"/>
          <w:bCs/>
          <w:color w:val="000000" w:themeColor="text1"/>
          <w:sz w:val="21"/>
          <w:szCs w:val="21"/>
        </w:rPr>
        <w:t>……</w:t>
      </w:r>
      <w:r w:rsidRPr="00CF571C">
        <w:rPr>
          <w:rFonts w:ascii="Times New Roman" w:hAnsi="Times New Roman" w:cs="Times New Roman"/>
          <w:bCs/>
          <w:color w:val="000000" w:themeColor="text1"/>
          <w:sz w:val="21"/>
          <w:szCs w:val="21"/>
        </w:rPr>
        <w:t>科技等重点领域和刚性支出的保障力度</w:t>
      </w:r>
      <w:r w:rsidR="00DD119A" w:rsidRPr="00CF571C">
        <w:rPr>
          <w:rFonts w:ascii="Times New Roman" w:hAnsi="Times New Roman" w:cs="Times New Roman" w:hint="eastAsia"/>
          <w:bCs/>
          <w:color w:val="000000" w:themeColor="text1"/>
          <w:sz w:val="21"/>
          <w:szCs w:val="21"/>
        </w:rPr>
        <w:t>”</w:t>
      </w:r>
      <w:r w:rsidRPr="00CF571C">
        <w:rPr>
          <w:rStyle w:val="ac"/>
          <w:rFonts w:ascii="Times New Roman" w:hAnsi="Times New Roman" w:cs="Times New Roman"/>
          <w:bCs/>
          <w:color w:val="000000" w:themeColor="text1"/>
          <w:sz w:val="21"/>
          <w:szCs w:val="21"/>
        </w:rPr>
        <w:footnoteReference w:id="6"/>
      </w:r>
      <w:r w:rsidRPr="00CF571C">
        <w:rPr>
          <w:rFonts w:ascii="Times New Roman" w:hAnsi="Times New Roman" w:cs="Times New Roman"/>
          <w:bCs/>
          <w:color w:val="000000" w:themeColor="text1"/>
          <w:sz w:val="21"/>
          <w:szCs w:val="21"/>
        </w:rPr>
        <w:t>，湖北省政府的实施意见并不一致，而是强调</w:t>
      </w:r>
      <w:r w:rsidR="00DD119A"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加强对财政支出政策统筹，坚持</w:t>
      </w:r>
      <w:r w:rsidR="00DD119A"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三保</w:t>
      </w:r>
      <w:r w:rsidR="00DD119A"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（保基本民生、保工资、保运转）支出在财政支出中的优先顺序</w:t>
      </w:r>
      <w:r w:rsidR="00DD119A" w:rsidRPr="00CF571C">
        <w:rPr>
          <w:rFonts w:ascii="Times New Roman" w:hAnsi="Times New Roman" w:cs="Times New Roman" w:hint="eastAsia"/>
          <w:bCs/>
          <w:color w:val="000000" w:themeColor="text1"/>
          <w:sz w:val="21"/>
          <w:szCs w:val="21"/>
        </w:rPr>
        <w:t>”</w:t>
      </w:r>
      <w:r w:rsidRPr="00CF571C">
        <w:rPr>
          <w:rStyle w:val="ac"/>
          <w:rFonts w:ascii="Times New Roman" w:hAnsi="Times New Roman" w:cs="Times New Roman"/>
          <w:bCs/>
          <w:color w:val="000000" w:themeColor="text1"/>
          <w:sz w:val="21"/>
          <w:szCs w:val="21"/>
        </w:rPr>
        <w:footnoteReference w:id="7"/>
      </w:r>
      <w:r w:rsidRPr="00CF571C">
        <w:rPr>
          <w:rFonts w:ascii="Times New Roman" w:hAnsi="Times New Roman" w:cs="Times New Roman"/>
          <w:bCs/>
          <w:color w:val="000000" w:themeColor="text1"/>
          <w:sz w:val="21"/>
          <w:szCs w:val="21"/>
        </w:rPr>
        <w:t>，尽管两省政府都对民生保障类财政支出做了强调，但在导向和力度上存在差异</w:t>
      </w:r>
      <w:r w:rsidR="00475204"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说明省级政府会结合自身特征和情况，根据中央文件精神灵活调整预算管理实施方案，对省内城市的预算支出结构发挥统筹、协调作用。这就导致同省城市间会接受更为一致的省级预算管理要求，反之，异省城市间的预算管理要求和资金统筹安排会有较大差异</w:t>
      </w:r>
      <w:r w:rsidRPr="00CF571C">
        <w:rPr>
          <w:rFonts w:ascii="Times New Roman" w:hAnsi="Times New Roman" w:cs="Times New Roman" w:hint="eastAsia"/>
          <w:bCs/>
          <w:color w:val="000000" w:themeColor="text1"/>
          <w:sz w:val="21"/>
          <w:szCs w:val="21"/>
        </w:rPr>
        <w:t>。</w:t>
      </w:r>
    </w:p>
    <w:p w14:paraId="1C341B9A" w14:textId="77777777" w:rsidR="00D31D73" w:rsidRPr="00CF571C" w:rsidRDefault="00D31D73" w:rsidP="00297C78">
      <w:pPr>
        <w:ind w:firstLineChars="200" w:firstLine="422"/>
        <w:jc w:val="both"/>
        <w:rPr>
          <w:rFonts w:ascii="Times New Roman" w:hAnsi="Times New Roman" w:cs="Times New Roman"/>
          <w:bCs/>
          <w:color w:val="000000" w:themeColor="text1"/>
          <w:sz w:val="21"/>
          <w:szCs w:val="21"/>
        </w:rPr>
      </w:pPr>
      <w:r w:rsidRPr="00CF571C">
        <w:rPr>
          <w:rFonts w:ascii="Times New Roman" w:hAnsi="Times New Roman" w:cs="Times New Roman"/>
          <w:b/>
          <w:bCs/>
          <w:color w:val="000000" w:themeColor="text1"/>
          <w:sz w:val="21"/>
          <w:szCs w:val="21"/>
        </w:rPr>
        <w:t>2.</w:t>
      </w:r>
      <w:r w:rsidRPr="00CF571C">
        <w:rPr>
          <w:rFonts w:ascii="Times New Roman" w:hAnsi="Times New Roman" w:cs="Times New Roman" w:hint="eastAsia"/>
          <w:b/>
          <w:bCs/>
          <w:color w:val="000000" w:themeColor="text1"/>
          <w:sz w:val="21"/>
          <w:szCs w:val="21"/>
        </w:rPr>
        <w:t>横向影响</w:t>
      </w:r>
      <w:r w:rsidR="00297C78" w:rsidRPr="00CF571C">
        <w:rPr>
          <w:rFonts w:ascii="Times New Roman" w:hAnsi="Times New Roman" w:cs="Times New Roman" w:hint="eastAsia"/>
          <w:b/>
          <w:bCs/>
          <w:color w:val="000000" w:themeColor="text1"/>
          <w:sz w:val="21"/>
          <w:szCs w:val="21"/>
        </w:rPr>
        <w:t>。</w:t>
      </w:r>
      <w:r w:rsidRPr="00CF571C">
        <w:rPr>
          <w:rFonts w:ascii="Times New Roman" w:hAnsi="Times New Roman" w:cs="Times New Roman" w:hint="eastAsia"/>
          <w:bCs/>
          <w:color w:val="000000" w:themeColor="text1"/>
          <w:sz w:val="21"/>
          <w:szCs w:val="21"/>
        </w:rPr>
        <w:t>表</w:t>
      </w:r>
      <w:r w:rsidR="003F73D6" w:rsidRPr="00CF571C">
        <w:rPr>
          <w:rFonts w:ascii="Times New Roman" w:hAnsi="Times New Roman" w:cs="Times New Roman"/>
          <w:bCs/>
          <w:color w:val="000000" w:themeColor="text1"/>
          <w:sz w:val="21"/>
          <w:szCs w:val="21"/>
        </w:rPr>
        <w:t>8</w:t>
      </w:r>
      <w:r w:rsidRPr="00CF571C">
        <w:rPr>
          <w:rFonts w:ascii="Times New Roman" w:hAnsi="Times New Roman" w:cs="Times New Roman" w:hint="eastAsia"/>
          <w:bCs/>
          <w:color w:val="000000" w:themeColor="text1"/>
          <w:sz w:val="21"/>
          <w:szCs w:val="21"/>
        </w:rPr>
        <w:t>报告了毗邻横向因素对城市间预算支出差异影响的</w:t>
      </w:r>
      <w:r w:rsidRPr="00CF571C">
        <w:rPr>
          <w:rFonts w:ascii="Times New Roman" w:hAnsi="Times New Roman" w:cs="Times New Roman"/>
          <w:bCs/>
          <w:color w:val="000000" w:themeColor="text1"/>
          <w:sz w:val="21"/>
          <w:szCs w:val="21"/>
        </w:rPr>
        <w:t>PSM</w:t>
      </w:r>
      <w:r w:rsidRPr="00CF571C">
        <w:rPr>
          <w:rFonts w:ascii="Times New Roman" w:hAnsi="Times New Roman" w:cs="Times New Roman" w:hint="eastAsia"/>
          <w:bCs/>
          <w:color w:val="000000" w:themeColor="text1"/>
          <w:sz w:val="21"/>
          <w:szCs w:val="21"/>
        </w:rPr>
        <w:t>估计结果。处理组为异省毗邻“城市对”，控制组为异省不毗邻“城市组”，在对两组“城市对”之间的一系列特征指标进行最近邻匹配后，结果显示，异省毗邻组的教育、科技、医疗卫生和社会保障支出比重差异均显著小于异省不毗邻组的差异。这说明，毗邻城市拥有更小的预算支出差异，不毗邻城市拥有更大的预算支出差异，即毗邻因素使地级市间的预算支出存在横向趋同，验证了本文提出的第二个假设。</w:t>
      </w:r>
    </w:p>
    <w:p w14:paraId="1613AD6D" w14:textId="77777777" w:rsidR="00D31D73" w:rsidRPr="00CF571C" w:rsidRDefault="00D31D73" w:rsidP="00EE122F">
      <w:pPr>
        <w:widowControl w:val="0"/>
        <w:adjustRightInd w:val="0"/>
        <w:snapToGrid w:val="0"/>
        <w:jc w:val="both"/>
        <w:rPr>
          <w:rFonts w:ascii="Times New Roman" w:eastAsia="黑体" w:hAnsi="Times New Roman" w:cs="Times New Roman"/>
          <w:bCs/>
          <w:color w:val="000000" w:themeColor="text1"/>
          <w:kern w:val="2"/>
          <w:sz w:val="21"/>
          <w:szCs w:val="21"/>
        </w:rPr>
      </w:pPr>
    </w:p>
    <w:p w14:paraId="0BF0F735" w14:textId="77777777" w:rsidR="00D31D73" w:rsidRPr="00CF571C" w:rsidRDefault="00D31D73"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8</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横向影响倾向得分匹配结果</w:t>
      </w:r>
    </w:p>
    <w:tbl>
      <w:tblPr>
        <w:tblW w:w="5000" w:type="pct"/>
        <w:jc w:val="center"/>
        <w:tblBorders>
          <w:top w:val="single" w:sz="4" w:space="0" w:color="auto"/>
          <w:bottom w:val="single" w:sz="4" w:space="0" w:color="auto"/>
        </w:tblBorders>
        <w:tblLook w:val="04A0" w:firstRow="1" w:lastRow="0" w:firstColumn="1" w:lastColumn="0" w:noHBand="0" w:noVBand="1"/>
      </w:tblPr>
      <w:tblGrid>
        <w:gridCol w:w="1278"/>
        <w:gridCol w:w="1634"/>
        <w:gridCol w:w="1634"/>
        <w:gridCol w:w="1988"/>
        <w:gridCol w:w="1988"/>
      </w:tblGrid>
      <w:tr w:rsidR="00CF571C" w:rsidRPr="00CF571C" w14:paraId="3AC337A9" w14:textId="77777777" w:rsidTr="007E197E">
        <w:trPr>
          <w:trHeight w:val="269"/>
          <w:jc w:val="center"/>
        </w:trPr>
        <w:tc>
          <w:tcPr>
            <w:tcW w:w="724" w:type="pct"/>
            <w:tcBorders>
              <w:top w:val="single" w:sz="8" w:space="0" w:color="auto"/>
              <w:bottom w:val="single" w:sz="4" w:space="0" w:color="auto"/>
            </w:tcBorders>
            <w:shd w:val="clear" w:color="auto" w:fill="auto"/>
            <w:noWrap/>
            <w:vAlign w:val="center"/>
            <w:hideMark/>
          </w:tcPr>
          <w:p w14:paraId="3648601B" w14:textId="77777777" w:rsidR="00D31D73" w:rsidRPr="00CF571C" w:rsidRDefault="00D31D73" w:rsidP="00AD7B64">
            <w:pPr>
              <w:jc w:val="center"/>
              <w:rPr>
                <w:rFonts w:ascii="Times New Roman" w:hAnsi="Times New Roman" w:cs="Times New Roman"/>
                <w:color w:val="000000" w:themeColor="text1"/>
                <w:sz w:val="21"/>
                <w:szCs w:val="21"/>
              </w:rPr>
            </w:pPr>
          </w:p>
        </w:tc>
        <w:tc>
          <w:tcPr>
            <w:tcW w:w="954" w:type="pct"/>
            <w:tcBorders>
              <w:top w:val="single" w:sz="8" w:space="0" w:color="auto"/>
              <w:bottom w:val="single" w:sz="4" w:space="0" w:color="auto"/>
            </w:tcBorders>
            <w:shd w:val="clear" w:color="auto" w:fill="auto"/>
            <w:noWrap/>
            <w:vAlign w:val="center"/>
            <w:hideMark/>
          </w:tcPr>
          <w:p w14:paraId="119BB9F6"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954" w:type="pct"/>
            <w:tcBorders>
              <w:top w:val="single" w:sz="8" w:space="0" w:color="auto"/>
              <w:bottom w:val="single" w:sz="4" w:space="0" w:color="auto"/>
            </w:tcBorders>
            <w:shd w:val="clear" w:color="auto" w:fill="auto"/>
            <w:noWrap/>
            <w:vAlign w:val="center"/>
            <w:hideMark/>
          </w:tcPr>
          <w:p w14:paraId="1E39D727"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184" w:type="pct"/>
            <w:tcBorders>
              <w:top w:val="single" w:sz="8" w:space="0" w:color="auto"/>
              <w:bottom w:val="single" w:sz="4" w:space="0" w:color="auto"/>
            </w:tcBorders>
            <w:shd w:val="clear" w:color="auto" w:fill="auto"/>
            <w:noWrap/>
            <w:vAlign w:val="center"/>
            <w:hideMark/>
          </w:tcPr>
          <w:p w14:paraId="2BFFC345"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1184" w:type="pct"/>
            <w:tcBorders>
              <w:top w:val="single" w:sz="8" w:space="0" w:color="auto"/>
              <w:bottom w:val="single" w:sz="4" w:space="0" w:color="auto"/>
            </w:tcBorders>
            <w:shd w:val="clear" w:color="auto" w:fill="auto"/>
            <w:noWrap/>
            <w:vAlign w:val="center"/>
            <w:hideMark/>
          </w:tcPr>
          <w:p w14:paraId="0DF2E837"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04FC6B10" w14:textId="77777777" w:rsidTr="00057161">
        <w:trPr>
          <w:trHeight w:val="269"/>
          <w:jc w:val="center"/>
        </w:trPr>
        <w:tc>
          <w:tcPr>
            <w:tcW w:w="724" w:type="pct"/>
            <w:tcBorders>
              <w:top w:val="single" w:sz="4" w:space="0" w:color="auto"/>
            </w:tcBorders>
            <w:shd w:val="clear" w:color="auto" w:fill="auto"/>
            <w:noWrap/>
            <w:vAlign w:val="center"/>
            <w:hideMark/>
          </w:tcPr>
          <w:p w14:paraId="6E3B1247"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异省毗邻组</w:t>
            </w:r>
          </w:p>
        </w:tc>
        <w:tc>
          <w:tcPr>
            <w:tcW w:w="954" w:type="pct"/>
            <w:tcBorders>
              <w:top w:val="single" w:sz="4" w:space="0" w:color="auto"/>
            </w:tcBorders>
            <w:shd w:val="clear" w:color="auto" w:fill="auto"/>
            <w:noWrap/>
            <w:vAlign w:val="center"/>
            <w:hideMark/>
          </w:tcPr>
          <w:p w14:paraId="6B391D5C"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0.0501</w:t>
            </w:r>
          </w:p>
        </w:tc>
        <w:tc>
          <w:tcPr>
            <w:tcW w:w="954" w:type="pct"/>
            <w:tcBorders>
              <w:top w:val="single" w:sz="4" w:space="0" w:color="auto"/>
            </w:tcBorders>
            <w:shd w:val="clear" w:color="auto" w:fill="auto"/>
            <w:noWrap/>
            <w:vAlign w:val="center"/>
            <w:hideMark/>
          </w:tcPr>
          <w:p w14:paraId="09283E19"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0.0082</w:t>
            </w:r>
          </w:p>
        </w:tc>
        <w:tc>
          <w:tcPr>
            <w:tcW w:w="1184" w:type="pct"/>
            <w:tcBorders>
              <w:top w:val="single" w:sz="4" w:space="0" w:color="auto"/>
            </w:tcBorders>
            <w:shd w:val="clear" w:color="auto" w:fill="auto"/>
            <w:noWrap/>
            <w:vAlign w:val="center"/>
            <w:hideMark/>
          </w:tcPr>
          <w:p w14:paraId="67E2F94E"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0.0223</w:t>
            </w:r>
          </w:p>
        </w:tc>
        <w:tc>
          <w:tcPr>
            <w:tcW w:w="1184" w:type="pct"/>
            <w:tcBorders>
              <w:top w:val="single" w:sz="4" w:space="0" w:color="auto"/>
            </w:tcBorders>
            <w:shd w:val="clear" w:color="auto" w:fill="auto"/>
            <w:noWrap/>
            <w:vAlign w:val="center"/>
            <w:hideMark/>
          </w:tcPr>
          <w:p w14:paraId="09831655"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0.0374</w:t>
            </w:r>
          </w:p>
        </w:tc>
      </w:tr>
      <w:tr w:rsidR="00CF571C" w:rsidRPr="00CF571C" w14:paraId="73D9B855" w14:textId="77777777" w:rsidTr="00057161">
        <w:trPr>
          <w:trHeight w:val="269"/>
          <w:jc w:val="center"/>
        </w:trPr>
        <w:tc>
          <w:tcPr>
            <w:tcW w:w="724" w:type="pct"/>
            <w:shd w:val="clear" w:color="auto" w:fill="auto"/>
            <w:noWrap/>
            <w:vAlign w:val="center"/>
            <w:hideMark/>
          </w:tcPr>
          <w:p w14:paraId="62A3F06B"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异省不毗邻组</w:t>
            </w:r>
          </w:p>
        </w:tc>
        <w:tc>
          <w:tcPr>
            <w:tcW w:w="954" w:type="pct"/>
            <w:shd w:val="clear" w:color="auto" w:fill="auto"/>
            <w:noWrap/>
            <w:vAlign w:val="center"/>
            <w:hideMark/>
          </w:tcPr>
          <w:p w14:paraId="464B2E22"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0.0627</w:t>
            </w:r>
          </w:p>
        </w:tc>
        <w:tc>
          <w:tcPr>
            <w:tcW w:w="954" w:type="pct"/>
            <w:shd w:val="clear" w:color="auto" w:fill="auto"/>
            <w:noWrap/>
            <w:vAlign w:val="center"/>
            <w:hideMark/>
          </w:tcPr>
          <w:p w14:paraId="4D35B275"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0.0094</w:t>
            </w:r>
          </w:p>
        </w:tc>
        <w:tc>
          <w:tcPr>
            <w:tcW w:w="1184" w:type="pct"/>
            <w:shd w:val="clear" w:color="auto" w:fill="auto"/>
            <w:noWrap/>
            <w:vAlign w:val="center"/>
            <w:hideMark/>
          </w:tcPr>
          <w:p w14:paraId="200BFFC2"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0.0258</w:t>
            </w:r>
          </w:p>
        </w:tc>
        <w:tc>
          <w:tcPr>
            <w:tcW w:w="1184" w:type="pct"/>
            <w:shd w:val="clear" w:color="auto" w:fill="auto"/>
            <w:noWrap/>
            <w:vAlign w:val="center"/>
            <w:hideMark/>
          </w:tcPr>
          <w:p w14:paraId="075F735F"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0.0429</w:t>
            </w:r>
          </w:p>
        </w:tc>
      </w:tr>
      <w:tr w:rsidR="00CF571C" w:rsidRPr="00CF571C" w14:paraId="741AF62A" w14:textId="77777777" w:rsidTr="00057161">
        <w:trPr>
          <w:trHeight w:val="269"/>
          <w:jc w:val="center"/>
        </w:trPr>
        <w:tc>
          <w:tcPr>
            <w:tcW w:w="724" w:type="pct"/>
            <w:shd w:val="clear" w:color="auto" w:fill="auto"/>
            <w:noWrap/>
            <w:vAlign w:val="center"/>
            <w:hideMark/>
          </w:tcPr>
          <w:p w14:paraId="02819742"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处理效应</w:t>
            </w:r>
          </w:p>
        </w:tc>
        <w:tc>
          <w:tcPr>
            <w:tcW w:w="954" w:type="pct"/>
            <w:shd w:val="clear" w:color="auto" w:fill="auto"/>
            <w:noWrap/>
            <w:vAlign w:val="center"/>
            <w:hideMark/>
          </w:tcPr>
          <w:p w14:paraId="4094748D"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-0.0126</w:t>
            </w:r>
          </w:p>
        </w:tc>
        <w:tc>
          <w:tcPr>
            <w:tcW w:w="954" w:type="pct"/>
            <w:shd w:val="clear" w:color="auto" w:fill="auto"/>
            <w:noWrap/>
            <w:vAlign w:val="center"/>
            <w:hideMark/>
          </w:tcPr>
          <w:p w14:paraId="1A481A32"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-0.0012</w:t>
            </w:r>
          </w:p>
        </w:tc>
        <w:tc>
          <w:tcPr>
            <w:tcW w:w="1184" w:type="pct"/>
            <w:shd w:val="clear" w:color="auto" w:fill="auto"/>
            <w:noWrap/>
            <w:vAlign w:val="center"/>
            <w:hideMark/>
          </w:tcPr>
          <w:p w14:paraId="5B21B9E4"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-0.0035</w:t>
            </w:r>
          </w:p>
        </w:tc>
        <w:tc>
          <w:tcPr>
            <w:tcW w:w="1184" w:type="pct"/>
            <w:shd w:val="clear" w:color="auto" w:fill="auto"/>
            <w:noWrap/>
            <w:vAlign w:val="center"/>
            <w:hideMark/>
          </w:tcPr>
          <w:p w14:paraId="37E555D7"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-0.0054</w:t>
            </w:r>
          </w:p>
        </w:tc>
      </w:tr>
      <w:tr w:rsidR="00D31D73" w:rsidRPr="00CF571C" w14:paraId="2AB07FE4" w14:textId="77777777" w:rsidTr="007E197E">
        <w:trPr>
          <w:trHeight w:val="269"/>
          <w:jc w:val="center"/>
        </w:trPr>
        <w:tc>
          <w:tcPr>
            <w:tcW w:w="724" w:type="pct"/>
            <w:tcBorders>
              <w:bottom w:val="single" w:sz="8" w:space="0" w:color="auto"/>
            </w:tcBorders>
            <w:shd w:val="clear" w:color="auto" w:fill="auto"/>
            <w:noWrap/>
            <w:vAlign w:val="center"/>
            <w:hideMark/>
          </w:tcPr>
          <w:p w14:paraId="49629A06"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i/>
                <w:iCs/>
                <w:color w:val="000000" w:themeColor="text1"/>
                <w:sz w:val="21"/>
                <w:szCs w:val="21"/>
              </w:rPr>
              <w:t>t</w:t>
            </w:r>
            <w:r w:rsidRPr="00CF571C">
              <w:rPr>
                <w:rFonts w:ascii="Times New Roman" w:hAnsi="Times New Roman" w:cs="Times New Roman"/>
                <w:color w:val="000000" w:themeColor="text1"/>
                <w:sz w:val="21"/>
                <w:szCs w:val="21"/>
              </w:rPr>
              <w:t>值</w:t>
            </w:r>
          </w:p>
        </w:tc>
        <w:tc>
          <w:tcPr>
            <w:tcW w:w="954" w:type="pct"/>
            <w:tcBorders>
              <w:bottom w:val="single" w:sz="8" w:space="0" w:color="auto"/>
            </w:tcBorders>
            <w:shd w:val="clear" w:color="auto" w:fill="auto"/>
            <w:noWrap/>
            <w:vAlign w:val="center"/>
            <w:hideMark/>
          </w:tcPr>
          <w:p w14:paraId="66BBC041"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-6.29</w:t>
            </w:r>
          </w:p>
        </w:tc>
        <w:tc>
          <w:tcPr>
            <w:tcW w:w="954" w:type="pct"/>
            <w:tcBorders>
              <w:bottom w:val="single" w:sz="8" w:space="0" w:color="auto"/>
            </w:tcBorders>
            <w:shd w:val="clear" w:color="auto" w:fill="auto"/>
            <w:noWrap/>
            <w:vAlign w:val="center"/>
            <w:hideMark/>
          </w:tcPr>
          <w:p w14:paraId="4BCB62EA"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-3.53</w:t>
            </w:r>
          </w:p>
        </w:tc>
        <w:tc>
          <w:tcPr>
            <w:tcW w:w="1184" w:type="pct"/>
            <w:tcBorders>
              <w:bottom w:val="single" w:sz="8" w:space="0" w:color="auto"/>
            </w:tcBorders>
            <w:shd w:val="clear" w:color="auto" w:fill="auto"/>
            <w:noWrap/>
            <w:vAlign w:val="center"/>
            <w:hideMark/>
          </w:tcPr>
          <w:p w14:paraId="549E9B06"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-4.22</w:t>
            </w:r>
          </w:p>
        </w:tc>
        <w:tc>
          <w:tcPr>
            <w:tcW w:w="1184" w:type="pct"/>
            <w:tcBorders>
              <w:bottom w:val="single" w:sz="8" w:space="0" w:color="auto"/>
            </w:tcBorders>
            <w:shd w:val="clear" w:color="auto" w:fill="auto"/>
            <w:noWrap/>
            <w:vAlign w:val="center"/>
            <w:hideMark/>
          </w:tcPr>
          <w:p w14:paraId="63AE2439" w14:textId="77777777" w:rsidR="00D31D73" w:rsidRPr="00CF571C" w:rsidRDefault="00D31D73"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-3.92</w:t>
            </w:r>
          </w:p>
        </w:tc>
      </w:tr>
    </w:tbl>
    <w:p w14:paraId="502717DB" w14:textId="77777777" w:rsidR="00D31D73" w:rsidRPr="00CF571C" w:rsidRDefault="00D31D73" w:rsidP="00741E5D">
      <w:pPr>
        <w:jc w:val="both"/>
        <w:rPr>
          <w:rFonts w:ascii="Times New Roman" w:hAnsi="Times New Roman" w:cs="Times New Roman"/>
          <w:color w:val="000000" w:themeColor="text1"/>
        </w:rPr>
      </w:pPr>
    </w:p>
    <w:p w14:paraId="06CB1816" w14:textId="77777777" w:rsidR="00D31D73" w:rsidRPr="00CF571C" w:rsidRDefault="00D31D73" w:rsidP="00536E76">
      <w:pPr>
        <w:ind w:firstLineChars="200" w:firstLine="480"/>
        <w:jc w:val="both"/>
        <w:rPr>
          <w:rFonts w:ascii="Times New Roman" w:hAnsi="Times New Roman" w:cs="Times New Roman"/>
          <w:bCs/>
          <w:color w:val="000000" w:themeColor="text1"/>
          <w:sz w:val="21"/>
          <w:szCs w:val="21"/>
        </w:rPr>
      </w:pPr>
      <w:r w:rsidRPr="00CF571C">
        <w:rPr>
          <w:rFonts w:ascii="Times New Roman" w:hAnsi="Times New Roman" w:cs="Times New Roman"/>
          <w:noProof/>
          <w:color w:val="000000" w:themeColor="text1"/>
        </w:rPr>
        <w:drawing>
          <wp:anchor distT="0" distB="0" distL="114300" distR="114300" simplePos="0" relativeHeight="251662336" behindDoc="1" locked="0" layoutInCell="1" allowOverlap="1" wp14:anchorId="3080F56B" wp14:editId="5E53D7DF">
            <wp:simplePos x="0" y="0"/>
            <wp:positionH relativeFrom="column">
              <wp:posOffset>22225</wp:posOffset>
            </wp:positionH>
            <wp:positionV relativeFrom="paragraph">
              <wp:posOffset>668655</wp:posOffset>
            </wp:positionV>
            <wp:extent cx="2656205" cy="1924685"/>
            <wp:effectExtent l="0" t="0" r="0" b="5715"/>
            <wp:wrapTight wrapText="bothSides">
              <wp:wrapPolygon edited="0">
                <wp:start x="0" y="0"/>
                <wp:lineTo x="0" y="21522"/>
                <wp:lineTo x="21481" y="21522"/>
                <wp:lineTo x="21481" y="0"/>
                <wp:lineTo x="0" y="0"/>
              </wp:wrapPolygon>
            </wp:wrapTight>
            <wp:docPr id="11" name="图片 1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折线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6205" cy="1924685"/>
                    </a:xfrm>
                    <a:prstGeom prst="rect">
                      <a:avLst/>
                    </a:prstGeom>
                  </pic:spPr>
                </pic:pic>
              </a:graphicData>
            </a:graphic>
          </wp:anchor>
        </w:drawing>
      </w:r>
      <w:r w:rsidRPr="00CF571C">
        <w:rPr>
          <w:rFonts w:ascii="Times New Roman" w:hAnsi="Times New Roman" w:cs="Times New Roman"/>
          <w:noProof/>
          <w:color w:val="000000" w:themeColor="text1"/>
        </w:rPr>
        <w:drawing>
          <wp:anchor distT="0" distB="0" distL="114300" distR="114300" simplePos="0" relativeHeight="251660288" behindDoc="1" locked="0" layoutInCell="1" allowOverlap="1" wp14:anchorId="518D6339" wp14:editId="38245A0C">
            <wp:simplePos x="0" y="0"/>
            <wp:positionH relativeFrom="column">
              <wp:posOffset>2683238</wp:posOffset>
            </wp:positionH>
            <wp:positionV relativeFrom="paragraph">
              <wp:posOffset>668746</wp:posOffset>
            </wp:positionV>
            <wp:extent cx="2655570" cy="1924685"/>
            <wp:effectExtent l="0" t="0" r="0" b="5715"/>
            <wp:wrapTight wrapText="bothSides">
              <wp:wrapPolygon edited="0">
                <wp:start x="0" y="0"/>
                <wp:lineTo x="0" y="21522"/>
                <wp:lineTo x="21486" y="21522"/>
                <wp:lineTo x="21486" y="0"/>
                <wp:lineTo x="0" y="0"/>
              </wp:wrapPolygon>
            </wp:wrapTight>
            <wp:docPr id="12" name="图片 1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5570" cy="1924685"/>
                    </a:xfrm>
                    <a:prstGeom prst="rect">
                      <a:avLst/>
                    </a:prstGeom>
                  </pic:spPr>
                </pic:pic>
              </a:graphicData>
            </a:graphic>
          </wp:anchor>
        </w:drawing>
      </w:r>
      <w:r w:rsidRPr="00CF571C">
        <w:rPr>
          <w:rFonts w:ascii="Times New Roman" w:hAnsi="Times New Roman" w:cs="Times New Roman" w:hint="eastAsia"/>
          <w:bCs/>
          <w:color w:val="000000" w:themeColor="text1"/>
          <w:sz w:val="21"/>
          <w:szCs w:val="21"/>
        </w:rPr>
        <w:t>进一步地，我们对样本的配对进行了匹配的平衡性检验。如图</w:t>
      </w:r>
      <w:r w:rsidRPr="00CF571C">
        <w:rPr>
          <w:rFonts w:ascii="Times New Roman" w:hAnsi="Times New Roman" w:cs="Times New Roman"/>
          <w:bCs/>
          <w:color w:val="000000" w:themeColor="text1"/>
          <w:sz w:val="21"/>
          <w:szCs w:val="21"/>
        </w:rPr>
        <w:t>10</w:t>
      </w:r>
      <w:r w:rsidRPr="00CF571C">
        <w:rPr>
          <w:rFonts w:ascii="Times New Roman" w:hAnsi="Times New Roman" w:cs="Times New Roman" w:hint="eastAsia"/>
          <w:bCs/>
          <w:color w:val="000000" w:themeColor="text1"/>
          <w:sz w:val="21"/>
          <w:szCs w:val="21"/>
        </w:rPr>
        <w:t>所示，匹配前，处理组和控制组样本存在非共同取值范围，其两组倾向得分值分布存在明显差异。在匹配后，两组样本倾向得分值基本处于共同取值范围内，样本平衡性较好。</w:t>
      </w:r>
    </w:p>
    <w:p w14:paraId="3867AA35" w14:textId="77777777" w:rsidR="00D31D73" w:rsidRPr="00CF571C" w:rsidRDefault="00D31D73" w:rsidP="00663D09">
      <w:pPr>
        <w:adjustRightInd w:val="0"/>
        <w:snapToGrid w:val="0"/>
        <w:ind w:firstLineChars="200" w:firstLine="420"/>
        <w:jc w:val="center"/>
        <w:rPr>
          <w:rFonts w:ascii="Times New Roman" w:eastAsia="楷体" w:hAnsi="Times New Roman" w:cs="Times New Roman"/>
          <w:color w:val="000000" w:themeColor="text1"/>
          <w:sz w:val="21"/>
          <w:szCs w:val="21"/>
        </w:rPr>
      </w:pPr>
      <w:r w:rsidRPr="00CF571C">
        <w:rPr>
          <w:rFonts w:ascii="Times New Roman" w:eastAsia="楷体" w:hAnsi="Times New Roman" w:cs="Times New Roman"/>
          <w:color w:val="000000" w:themeColor="text1"/>
          <w:sz w:val="21"/>
          <w:szCs w:val="21"/>
        </w:rPr>
        <w:t>图</w:t>
      </w:r>
      <w:r w:rsidRPr="00CF571C">
        <w:rPr>
          <w:rFonts w:ascii="Times New Roman" w:eastAsia="楷体" w:hAnsi="Times New Roman" w:cs="Times New Roman"/>
          <w:color w:val="000000" w:themeColor="text1"/>
          <w:sz w:val="21"/>
          <w:szCs w:val="21"/>
        </w:rPr>
        <w:t xml:space="preserve">10 </w:t>
      </w:r>
      <w:r w:rsidRPr="00CF571C">
        <w:rPr>
          <w:rFonts w:ascii="Times New Roman" w:eastAsia="楷体" w:hAnsi="Times New Roman" w:cs="Times New Roman"/>
          <w:color w:val="000000" w:themeColor="text1"/>
          <w:sz w:val="21"/>
          <w:szCs w:val="21"/>
        </w:rPr>
        <w:t>匹配前后倾向得分变化</w:t>
      </w:r>
    </w:p>
    <w:p w14:paraId="7BF97F27" w14:textId="77777777" w:rsidR="00D31D73" w:rsidRPr="00CF571C" w:rsidRDefault="00D31D73" w:rsidP="00741E5D">
      <w:pPr>
        <w:jc w:val="both"/>
        <w:rPr>
          <w:rFonts w:ascii="Times New Roman" w:hAnsi="Times New Roman" w:cs="Times New Roman"/>
          <w:color w:val="000000" w:themeColor="text1"/>
        </w:rPr>
      </w:pPr>
    </w:p>
    <w:p w14:paraId="2D8FFB72" w14:textId="77777777" w:rsidR="00A55CEE" w:rsidRPr="00CF571C" w:rsidRDefault="00D31D73" w:rsidP="00A55CEE">
      <w:pPr>
        <w:ind w:firstLineChars="200" w:firstLine="420"/>
        <w:rPr>
          <w:rFonts w:ascii="Times New Roman" w:hAnsi="Times New Roman" w:cs="Times New Roman"/>
          <w:bCs/>
          <w:color w:val="000000" w:themeColor="text1"/>
          <w:sz w:val="21"/>
          <w:szCs w:val="21"/>
        </w:rPr>
      </w:pPr>
      <w:r w:rsidRPr="00CF571C">
        <w:rPr>
          <w:rFonts w:ascii="Times New Roman" w:hAnsi="Times New Roman" w:cs="Times New Roman" w:hint="eastAsia"/>
          <w:bCs/>
          <w:color w:val="000000" w:themeColor="text1"/>
          <w:sz w:val="21"/>
          <w:szCs w:val="21"/>
        </w:rPr>
        <w:t>图</w:t>
      </w:r>
      <w:r w:rsidRPr="00CF571C">
        <w:rPr>
          <w:rFonts w:ascii="Times New Roman" w:hAnsi="Times New Roman" w:cs="Times New Roman"/>
          <w:bCs/>
          <w:color w:val="000000" w:themeColor="text1"/>
          <w:sz w:val="21"/>
          <w:szCs w:val="21"/>
        </w:rPr>
        <w:t>11</w:t>
      </w:r>
      <w:r w:rsidRPr="00CF571C">
        <w:rPr>
          <w:rFonts w:ascii="Times New Roman" w:hAnsi="Times New Roman" w:cs="Times New Roman" w:hint="eastAsia"/>
          <w:bCs/>
          <w:color w:val="000000" w:themeColor="text1"/>
          <w:sz w:val="21"/>
          <w:szCs w:val="21"/>
        </w:rPr>
        <w:t>展示了匹配前后各匹配变量的标准偏差变化情况</w:t>
      </w:r>
      <w:r w:rsidRPr="00CF571C">
        <w:rPr>
          <w:rStyle w:val="ac"/>
          <w:rFonts w:ascii="Times New Roman" w:hAnsi="Times New Roman" w:cs="Times New Roman"/>
          <w:bCs/>
          <w:color w:val="000000" w:themeColor="text1"/>
          <w:sz w:val="21"/>
          <w:szCs w:val="21"/>
        </w:rPr>
        <w:footnoteReference w:id="8"/>
      </w:r>
      <w:r w:rsidRPr="00CF571C">
        <w:rPr>
          <w:rFonts w:ascii="Times New Roman" w:hAnsi="Times New Roman" w:cs="Times New Roman" w:hint="eastAsia"/>
          <w:bCs/>
          <w:color w:val="000000" w:themeColor="text1"/>
          <w:sz w:val="21"/>
          <w:szCs w:val="21"/>
        </w:rPr>
        <w:t>。</w:t>
      </w:r>
      <w:r w:rsidR="00A55CEE" w:rsidRPr="00CF571C">
        <w:rPr>
          <w:rFonts w:ascii="Times New Roman" w:hAnsi="Times New Roman" w:cs="Times New Roman" w:hint="eastAsia"/>
          <w:bCs/>
          <w:color w:val="000000" w:themeColor="text1"/>
          <w:sz w:val="21"/>
          <w:szCs w:val="21"/>
        </w:rPr>
        <w:t>结果显示，匹配前各变量的标准偏差较大，平衡性差。匹配后各变量的标准偏差绝对值均小于</w:t>
      </w:r>
      <w:r w:rsidR="00A55CEE" w:rsidRPr="00CF571C">
        <w:rPr>
          <w:rFonts w:ascii="Times New Roman" w:hAnsi="Times New Roman" w:cs="Times New Roman" w:hint="eastAsia"/>
          <w:bCs/>
          <w:color w:val="000000" w:themeColor="text1"/>
          <w:sz w:val="21"/>
          <w:szCs w:val="21"/>
        </w:rPr>
        <w:t>1</w:t>
      </w:r>
      <w:r w:rsidR="00A55CEE" w:rsidRPr="00CF571C">
        <w:rPr>
          <w:rFonts w:ascii="Times New Roman" w:hAnsi="Times New Roman" w:cs="Times New Roman"/>
          <w:bCs/>
          <w:color w:val="000000" w:themeColor="text1"/>
          <w:sz w:val="21"/>
          <w:szCs w:val="21"/>
        </w:rPr>
        <w:t>0%</w:t>
      </w:r>
      <w:r w:rsidR="00A55CEE" w:rsidRPr="00CF571C">
        <w:rPr>
          <w:rFonts w:ascii="Times New Roman" w:hAnsi="Times New Roman" w:cs="Times New Roman" w:hint="eastAsia"/>
          <w:bCs/>
          <w:color w:val="000000" w:themeColor="text1"/>
          <w:sz w:val="21"/>
          <w:szCs w:val="21"/>
        </w:rPr>
        <w:t>，说明处理组与控</w:t>
      </w:r>
      <w:r w:rsidR="00A55CEE" w:rsidRPr="00CF571C">
        <w:rPr>
          <w:rFonts w:ascii="Times New Roman" w:hAnsi="Times New Roman" w:cs="Times New Roman" w:hint="eastAsia"/>
          <w:bCs/>
          <w:color w:val="000000" w:themeColor="text1"/>
          <w:sz w:val="21"/>
          <w:szCs w:val="21"/>
        </w:rPr>
        <w:lastRenderedPageBreak/>
        <w:t>制组在所有可观测特征上均不存在显著差异，表明本文对匹配变量和方法的选取是恰当的，以此为基础的倾向得分匹配是可靠的。</w:t>
      </w:r>
    </w:p>
    <w:p w14:paraId="07AE1D0F" w14:textId="77777777" w:rsidR="002112C6" w:rsidRPr="00CF571C" w:rsidRDefault="002112C6" w:rsidP="002112C6">
      <w:pPr>
        <w:ind w:firstLineChars="200" w:firstLine="480"/>
        <w:jc w:val="both"/>
        <w:rPr>
          <w:rFonts w:ascii="Times New Roman" w:hAnsi="Times New Roman" w:cs="Times New Roman"/>
          <w:color w:val="000000" w:themeColor="text1"/>
        </w:rPr>
      </w:pPr>
    </w:p>
    <w:p w14:paraId="3D9D775B" w14:textId="77777777" w:rsidR="001722A4" w:rsidRPr="00CF571C" w:rsidRDefault="0008104B" w:rsidP="00741E5D">
      <w:pPr>
        <w:jc w:val="both"/>
        <w:rPr>
          <w:rFonts w:ascii="Times New Roman" w:hAnsi="Times New Roman" w:cs="Times New Roman"/>
          <w:color w:val="000000" w:themeColor="text1"/>
        </w:rPr>
      </w:pPr>
      <w:r w:rsidRPr="00CF571C">
        <w:rPr>
          <w:rFonts w:ascii="Times New Roman" w:hAnsi="Times New Roman" w:cs="Times New Roman"/>
          <w:noProof/>
          <w:color w:val="000000" w:themeColor="text1"/>
        </w:rPr>
        <w:drawing>
          <wp:inline distT="0" distB="0" distL="0" distR="0" wp14:anchorId="659F5E1E" wp14:editId="2DEA83FC">
            <wp:extent cx="5274310" cy="2882900"/>
            <wp:effectExtent l="0" t="0" r="0" b="0"/>
            <wp:docPr id="10" name="图片 10"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折线图, 散点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82900"/>
                    </a:xfrm>
                    <a:prstGeom prst="rect">
                      <a:avLst/>
                    </a:prstGeom>
                  </pic:spPr>
                </pic:pic>
              </a:graphicData>
            </a:graphic>
          </wp:inline>
        </w:drawing>
      </w:r>
    </w:p>
    <w:p w14:paraId="5CF8ACA8" w14:textId="77777777" w:rsidR="00663D09" w:rsidRPr="00CF571C" w:rsidRDefault="00663D09" w:rsidP="00663D09">
      <w:pPr>
        <w:adjustRightInd w:val="0"/>
        <w:snapToGrid w:val="0"/>
        <w:ind w:firstLineChars="200" w:firstLine="420"/>
        <w:jc w:val="center"/>
        <w:rPr>
          <w:rFonts w:ascii="Times New Roman" w:eastAsia="楷体" w:hAnsi="Times New Roman" w:cs="Times New Roman"/>
          <w:color w:val="000000" w:themeColor="text1"/>
          <w:sz w:val="21"/>
          <w:szCs w:val="21"/>
        </w:rPr>
      </w:pPr>
      <w:r w:rsidRPr="00CF571C">
        <w:rPr>
          <w:rFonts w:ascii="Times New Roman" w:eastAsia="楷体" w:hAnsi="Times New Roman" w:cs="Times New Roman"/>
          <w:color w:val="000000" w:themeColor="text1"/>
          <w:sz w:val="21"/>
          <w:szCs w:val="21"/>
        </w:rPr>
        <w:t>图</w:t>
      </w:r>
      <w:r w:rsidR="00132E01" w:rsidRPr="00CF571C">
        <w:rPr>
          <w:rFonts w:ascii="Times New Roman" w:eastAsia="楷体" w:hAnsi="Times New Roman" w:cs="Times New Roman"/>
          <w:color w:val="000000" w:themeColor="text1"/>
          <w:sz w:val="21"/>
          <w:szCs w:val="21"/>
        </w:rPr>
        <w:t>11</w:t>
      </w:r>
      <w:r w:rsidRPr="00CF571C">
        <w:rPr>
          <w:rFonts w:ascii="Times New Roman" w:eastAsia="楷体" w:hAnsi="Times New Roman" w:cs="Times New Roman"/>
          <w:color w:val="000000" w:themeColor="text1"/>
          <w:sz w:val="21"/>
          <w:szCs w:val="21"/>
        </w:rPr>
        <w:t xml:space="preserve"> </w:t>
      </w:r>
      <w:r w:rsidRPr="00CF571C">
        <w:rPr>
          <w:rFonts w:ascii="Times New Roman" w:eastAsia="楷体" w:hAnsi="Times New Roman" w:cs="Times New Roman"/>
          <w:color w:val="000000" w:themeColor="text1"/>
          <w:sz w:val="21"/>
          <w:szCs w:val="21"/>
        </w:rPr>
        <w:t>匹配变量标准偏差变化</w:t>
      </w:r>
    </w:p>
    <w:p w14:paraId="4B0497A0" w14:textId="77777777" w:rsidR="00940131" w:rsidRPr="00CF571C" w:rsidRDefault="00940131" w:rsidP="00741E5D">
      <w:pPr>
        <w:jc w:val="both"/>
        <w:rPr>
          <w:rFonts w:ascii="Times New Roman" w:hAnsi="Times New Roman" w:cs="Times New Roman"/>
          <w:b/>
          <w:bCs/>
          <w:color w:val="000000" w:themeColor="text1"/>
        </w:rPr>
      </w:pPr>
    </w:p>
    <w:p w14:paraId="0A39B2DD" w14:textId="77777777" w:rsidR="003B1AC6" w:rsidRPr="00CF571C" w:rsidRDefault="003B1AC6" w:rsidP="00536E76">
      <w:pPr>
        <w:ind w:firstLineChars="200" w:firstLine="420"/>
        <w:jc w:val="both"/>
        <w:rPr>
          <w:bCs/>
          <w:color w:val="000000" w:themeColor="text1"/>
          <w:sz w:val="21"/>
          <w:szCs w:val="21"/>
        </w:rPr>
      </w:pPr>
      <w:r w:rsidRPr="00CF571C">
        <w:rPr>
          <w:rFonts w:hint="eastAsia"/>
          <w:bCs/>
          <w:color w:val="000000" w:themeColor="text1"/>
          <w:sz w:val="21"/>
          <w:szCs w:val="21"/>
        </w:rPr>
        <w:t>以上结果说明，毗邻可以显著缩小城市间四种类型的预算支出比重差异，即相邻的城市间具有更为接近的预算支出结构。当前，为促进区域协同发展，毗邻地区政府合作愈发密切，如安徽省出台的《</w:t>
      </w:r>
      <w:r w:rsidRPr="00CF571C">
        <w:rPr>
          <w:bCs/>
          <w:color w:val="000000" w:themeColor="text1"/>
          <w:sz w:val="21"/>
          <w:szCs w:val="21"/>
        </w:rPr>
        <w:t>关于支持毗邻苏浙地区加快发展的意见</w:t>
      </w:r>
      <w:r w:rsidRPr="00CF571C">
        <w:rPr>
          <w:rFonts w:hint="eastAsia"/>
          <w:bCs/>
          <w:color w:val="000000" w:themeColor="text1"/>
          <w:sz w:val="21"/>
          <w:szCs w:val="21"/>
        </w:rPr>
        <w:t>》提出要加大对本省内毗邻地区的财政资金支持力度，四川省与重庆市联合出台的《</w:t>
      </w:r>
      <w:r w:rsidRPr="00CF571C">
        <w:rPr>
          <w:bCs/>
          <w:color w:val="000000" w:themeColor="text1"/>
          <w:sz w:val="21"/>
          <w:szCs w:val="21"/>
        </w:rPr>
        <w:t>川渝毗邻地区合作共建区域发展功能平台推进方案</w:t>
      </w:r>
      <w:r w:rsidRPr="00CF571C">
        <w:rPr>
          <w:rFonts w:hint="eastAsia"/>
          <w:bCs/>
          <w:color w:val="000000" w:themeColor="text1"/>
          <w:sz w:val="21"/>
          <w:szCs w:val="21"/>
        </w:rPr>
        <w:t>》提出要共建区域发展平台。此外，对于省内毗邻地区，它们具有更为类似的地理、环境和社会特征，从而可能会有较为一致的预算支出结构。不论是政策的支持还是环境的相似，一定程度上会促进毗邻城市间的策略互动，产生预算支出结构的“模仿”效应。</w:t>
      </w:r>
    </w:p>
    <w:p w14:paraId="628F84AD" w14:textId="77777777" w:rsidR="003B1AC6" w:rsidRPr="00CF571C" w:rsidRDefault="001722A4" w:rsidP="00297C78">
      <w:pPr>
        <w:ind w:firstLineChars="200" w:firstLine="422"/>
        <w:jc w:val="both"/>
        <w:rPr>
          <w:bCs/>
          <w:color w:val="000000" w:themeColor="text1"/>
          <w:sz w:val="21"/>
          <w:szCs w:val="21"/>
        </w:rPr>
      </w:pPr>
      <w:r w:rsidRPr="00CF571C">
        <w:rPr>
          <w:rFonts w:ascii="Times New Roman" w:hAnsi="Times New Roman" w:cs="Times New Roman"/>
          <w:b/>
          <w:bCs/>
          <w:color w:val="000000" w:themeColor="text1"/>
          <w:sz w:val="21"/>
          <w:szCs w:val="21"/>
        </w:rPr>
        <w:t>3.</w:t>
      </w:r>
      <w:r w:rsidR="00D261BC" w:rsidRPr="00CF571C">
        <w:rPr>
          <w:rFonts w:ascii="Times New Roman" w:hAnsi="Times New Roman" w:cs="Times New Roman" w:hint="eastAsia"/>
          <w:b/>
          <w:bCs/>
          <w:color w:val="000000" w:themeColor="text1"/>
          <w:sz w:val="21"/>
          <w:szCs w:val="21"/>
        </w:rPr>
        <w:t>比较分析</w:t>
      </w:r>
      <w:r w:rsidR="00297C78" w:rsidRPr="00CF571C">
        <w:rPr>
          <w:rFonts w:ascii="Times New Roman" w:hAnsi="Times New Roman" w:cs="Times New Roman" w:hint="eastAsia"/>
          <w:b/>
          <w:bCs/>
          <w:color w:val="000000" w:themeColor="text1"/>
          <w:sz w:val="21"/>
          <w:szCs w:val="21"/>
        </w:rPr>
        <w:t>。</w:t>
      </w:r>
      <w:r w:rsidR="003B1AC6" w:rsidRPr="00CF571C">
        <w:rPr>
          <w:rFonts w:hint="eastAsia"/>
          <w:bCs/>
          <w:color w:val="000000" w:themeColor="text1"/>
          <w:sz w:val="21"/>
          <w:szCs w:val="21"/>
        </w:rPr>
        <w:t>前文分别对纵向和横向影响进行了分解识别，本节进一步将两种效应进行比较，结合不同</w:t>
      </w:r>
      <w:r w:rsidR="00786278" w:rsidRPr="00CF571C">
        <w:rPr>
          <w:rFonts w:hint="eastAsia"/>
          <w:bCs/>
          <w:color w:val="000000" w:themeColor="text1"/>
          <w:sz w:val="21"/>
          <w:szCs w:val="21"/>
        </w:rPr>
        <w:t>支出</w:t>
      </w:r>
      <w:r w:rsidR="003B1AC6" w:rsidRPr="00CF571C">
        <w:rPr>
          <w:rFonts w:hint="eastAsia"/>
          <w:bCs/>
          <w:color w:val="000000" w:themeColor="text1"/>
          <w:sz w:val="21"/>
          <w:szCs w:val="21"/>
        </w:rPr>
        <w:t>类型研究纵向和横向影响的差异。</w:t>
      </w:r>
    </w:p>
    <w:p w14:paraId="36E1CA1F" w14:textId="77777777" w:rsidR="003B1AC6" w:rsidRPr="00CF571C" w:rsidRDefault="003B1AC6" w:rsidP="00536E76">
      <w:pPr>
        <w:ind w:firstLineChars="200" w:firstLine="420"/>
        <w:jc w:val="both"/>
        <w:rPr>
          <w:rFonts w:ascii="Times New Roman" w:hAnsi="Times New Roman" w:cs="Times New Roman"/>
          <w:bCs/>
          <w:color w:val="000000" w:themeColor="text1"/>
          <w:sz w:val="21"/>
          <w:szCs w:val="21"/>
        </w:rPr>
      </w:pPr>
      <w:r w:rsidRPr="00CF571C">
        <w:rPr>
          <w:rFonts w:ascii="Times New Roman" w:hAnsi="Times New Roman" w:cs="Times New Roman"/>
          <w:bCs/>
          <w:color w:val="000000" w:themeColor="text1"/>
          <w:sz w:val="21"/>
          <w:szCs w:val="21"/>
        </w:rPr>
        <w:t>表</w:t>
      </w:r>
      <w:r w:rsidR="003F73D6" w:rsidRPr="00CF571C">
        <w:rPr>
          <w:rFonts w:ascii="Times New Roman" w:hAnsi="Times New Roman" w:cs="Times New Roman"/>
          <w:bCs/>
          <w:color w:val="000000" w:themeColor="text1"/>
          <w:sz w:val="21"/>
          <w:szCs w:val="21"/>
        </w:rPr>
        <w:t>9</w:t>
      </w:r>
      <w:r w:rsidRPr="00CF571C">
        <w:rPr>
          <w:rFonts w:ascii="Times New Roman" w:hAnsi="Times New Roman" w:cs="Times New Roman"/>
          <w:bCs/>
          <w:color w:val="000000" w:themeColor="text1"/>
          <w:sz w:val="21"/>
          <w:szCs w:val="21"/>
        </w:rPr>
        <w:t>显示，对于教育支出和科技支出，纵向影响的绝对值较小，横向影响的绝对值较大。对于医疗卫生支出和社会保障支出，纵向影响的绝对值较大，横向影响的绝对值较小</w:t>
      </w:r>
      <w:r w:rsidR="00C31739" w:rsidRPr="00CF571C">
        <w:rPr>
          <w:rFonts w:ascii="Times New Roman" w:hAnsi="Times New Roman" w:cs="Times New Roman" w:hint="eastAsia"/>
          <w:bCs/>
          <w:color w:val="000000" w:themeColor="text1"/>
          <w:sz w:val="21"/>
          <w:szCs w:val="21"/>
        </w:rPr>
        <w:t>。</w:t>
      </w:r>
      <w:r w:rsidRPr="00CF571C">
        <w:rPr>
          <w:rFonts w:ascii="Times New Roman" w:hAnsi="Times New Roman" w:cs="Times New Roman"/>
          <w:bCs/>
          <w:color w:val="000000" w:themeColor="text1"/>
          <w:sz w:val="21"/>
          <w:szCs w:val="21"/>
        </w:rPr>
        <w:t>换言之，在同时受两种力量影响时，对于教育和科技支出，横向趋同效果更为明显；对于医疗卫生和社会保障支出，省级纵向</w:t>
      </w:r>
      <w:r w:rsidR="00346D17" w:rsidRPr="00CF571C">
        <w:rPr>
          <w:rFonts w:ascii="Times New Roman" w:hAnsi="Times New Roman" w:cs="Times New Roman" w:hint="eastAsia"/>
          <w:bCs/>
          <w:color w:val="000000" w:themeColor="text1"/>
          <w:sz w:val="21"/>
          <w:szCs w:val="21"/>
        </w:rPr>
        <w:t>统筹效果</w:t>
      </w:r>
      <w:r w:rsidRPr="00CF571C">
        <w:rPr>
          <w:rFonts w:ascii="Times New Roman" w:hAnsi="Times New Roman" w:cs="Times New Roman"/>
          <w:bCs/>
          <w:color w:val="000000" w:themeColor="text1"/>
          <w:sz w:val="21"/>
          <w:szCs w:val="21"/>
        </w:rPr>
        <w:t>更为明显。</w:t>
      </w:r>
      <w:r w:rsidR="00C31739" w:rsidRPr="00CF571C">
        <w:rPr>
          <w:rFonts w:ascii="Times New Roman" w:hAnsi="Times New Roman" w:cs="Times New Roman" w:hint="eastAsia"/>
          <w:bCs/>
          <w:color w:val="000000" w:themeColor="text1"/>
          <w:sz w:val="21"/>
          <w:szCs w:val="21"/>
        </w:rPr>
        <w:t>因此，</w:t>
      </w:r>
      <w:r w:rsidR="00C31739" w:rsidRPr="00CF571C">
        <w:rPr>
          <w:rFonts w:ascii="Times New Roman" w:hAnsi="Times New Roman" w:cs="Times New Roman"/>
          <w:bCs/>
          <w:color w:val="000000" w:themeColor="text1"/>
          <w:sz w:val="21"/>
          <w:szCs w:val="21"/>
        </w:rPr>
        <w:t>较</w:t>
      </w:r>
      <w:r w:rsidR="007245C5" w:rsidRPr="00CF571C">
        <w:rPr>
          <w:rFonts w:ascii="Times New Roman" w:hAnsi="Times New Roman" w:cs="Times New Roman" w:hint="eastAsia"/>
          <w:bCs/>
          <w:color w:val="000000" w:themeColor="text1"/>
          <w:sz w:val="21"/>
          <w:szCs w:val="21"/>
        </w:rPr>
        <w:t>同省不毗邻</w:t>
      </w:r>
      <w:r w:rsidR="002B2F17" w:rsidRPr="00CF571C">
        <w:rPr>
          <w:rFonts w:ascii="Times New Roman" w:hAnsi="Times New Roman" w:cs="Times New Roman" w:hint="eastAsia"/>
          <w:bCs/>
          <w:color w:val="000000" w:themeColor="text1"/>
          <w:sz w:val="21"/>
          <w:szCs w:val="21"/>
        </w:rPr>
        <w:t>“</w:t>
      </w:r>
      <w:r w:rsidR="00C31739" w:rsidRPr="00CF571C">
        <w:rPr>
          <w:rFonts w:ascii="Times New Roman" w:hAnsi="Times New Roman" w:cs="Times New Roman"/>
          <w:bCs/>
          <w:color w:val="000000" w:themeColor="text1"/>
          <w:sz w:val="21"/>
          <w:szCs w:val="21"/>
        </w:rPr>
        <w:t>城市对</w:t>
      </w:r>
      <w:r w:rsidR="002B2F17" w:rsidRPr="00CF571C">
        <w:rPr>
          <w:rFonts w:ascii="Times New Roman" w:hAnsi="Times New Roman" w:cs="Times New Roman" w:hint="eastAsia"/>
          <w:bCs/>
          <w:color w:val="000000" w:themeColor="text1"/>
          <w:sz w:val="21"/>
          <w:szCs w:val="21"/>
        </w:rPr>
        <w:t>”</w:t>
      </w:r>
      <w:r w:rsidR="00C31739" w:rsidRPr="00CF571C">
        <w:rPr>
          <w:rFonts w:ascii="Times New Roman" w:hAnsi="Times New Roman" w:cs="Times New Roman" w:hint="eastAsia"/>
          <w:bCs/>
          <w:color w:val="000000" w:themeColor="text1"/>
          <w:sz w:val="21"/>
          <w:szCs w:val="21"/>
        </w:rPr>
        <w:t>而言，异省毗邻城市的四种支出可能</w:t>
      </w:r>
      <w:r w:rsidR="00C31739" w:rsidRPr="00CF571C">
        <w:rPr>
          <w:rFonts w:ascii="Times New Roman" w:hAnsi="Times New Roman" w:cs="Times New Roman"/>
          <w:bCs/>
          <w:color w:val="000000" w:themeColor="text1"/>
          <w:sz w:val="21"/>
          <w:szCs w:val="21"/>
        </w:rPr>
        <w:t>最终体现为，教育支出和科技支出</w:t>
      </w:r>
      <w:r w:rsidR="00C31739" w:rsidRPr="00CF571C">
        <w:rPr>
          <w:rFonts w:ascii="Times New Roman" w:hAnsi="Times New Roman" w:cs="Times New Roman" w:hint="eastAsia"/>
          <w:bCs/>
          <w:color w:val="000000" w:themeColor="text1"/>
          <w:sz w:val="21"/>
          <w:szCs w:val="21"/>
        </w:rPr>
        <w:t>差异偏小，</w:t>
      </w:r>
      <w:r w:rsidR="00C31739" w:rsidRPr="00CF571C">
        <w:rPr>
          <w:rFonts w:ascii="Times New Roman" w:hAnsi="Times New Roman" w:cs="Times New Roman"/>
          <w:bCs/>
          <w:color w:val="000000" w:themeColor="text1"/>
          <w:sz w:val="21"/>
          <w:szCs w:val="21"/>
        </w:rPr>
        <w:t>医疗卫生、社会保障预算支出比重差异</w:t>
      </w:r>
      <w:r w:rsidR="00C31739" w:rsidRPr="00CF571C">
        <w:rPr>
          <w:rFonts w:ascii="Times New Roman" w:hAnsi="Times New Roman" w:cs="Times New Roman" w:hint="eastAsia"/>
          <w:bCs/>
          <w:color w:val="000000" w:themeColor="text1"/>
          <w:sz w:val="21"/>
          <w:szCs w:val="21"/>
        </w:rPr>
        <w:t>偏大</w:t>
      </w:r>
      <w:r w:rsidR="00C31739" w:rsidRPr="00CF571C">
        <w:rPr>
          <w:rFonts w:ascii="Times New Roman" w:hAnsi="Times New Roman" w:cs="Times New Roman"/>
          <w:bCs/>
          <w:color w:val="000000" w:themeColor="text1"/>
          <w:sz w:val="21"/>
          <w:szCs w:val="21"/>
        </w:rPr>
        <w:t>。</w:t>
      </w:r>
    </w:p>
    <w:p w14:paraId="0F13E8F9" w14:textId="77777777" w:rsidR="00EE122F" w:rsidRPr="00CF571C" w:rsidRDefault="00EE122F" w:rsidP="00EE122F">
      <w:pPr>
        <w:widowControl w:val="0"/>
        <w:adjustRightInd w:val="0"/>
        <w:snapToGrid w:val="0"/>
        <w:jc w:val="both"/>
        <w:rPr>
          <w:rFonts w:ascii="Times New Roman" w:eastAsia="黑体" w:hAnsi="Times New Roman" w:cs="Times New Roman"/>
          <w:bCs/>
          <w:color w:val="000000" w:themeColor="text1"/>
          <w:kern w:val="2"/>
          <w:sz w:val="21"/>
          <w:szCs w:val="21"/>
        </w:rPr>
      </w:pPr>
    </w:p>
    <w:p w14:paraId="09DD468B" w14:textId="77777777" w:rsidR="002112C6" w:rsidRPr="00CF571C" w:rsidRDefault="00EE122F"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003F73D6" w:rsidRPr="00CF571C">
        <w:rPr>
          <w:rFonts w:ascii="Times New Roman" w:eastAsia="楷体" w:hAnsi="Times New Roman" w:cs="Times New Roman"/>
          <w:bCs/>
          <w:color w:val="000000" w:themeColor="text1"/>
          <w:kern w:val="2"/>
          <w:sz w:val="21"/>
          <w:szCs w:val="21"/>
        </w:rPr>
        <w:t>9</w:t>
      </w:r>
      <w:r w:rsidR="007529E0"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纵向影响与横向影响倾对比</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457"/>
        <w:gridCol w:w="1341"/>
        <w:gridCol w:w="1669"/>
        <w:gridCol w:w="2030"/>
        <w:gridCol w:w="2025"/>
      </w:tblGrid>
      <w:tr w:rsidR="00CF571C" w:rsidRPr="00CF571C" w14:paraId="39769777" w14:textId="77777777" w:rsidTr="007E197E">
        <w:trPr>
          <w:trHeight w:val="317"/>
          <w:jc w:val="center"/>
        </w:trPr>
        <w:tc>
          <w:tcPr>
            <w:tcW w:w="855" w:type="pct"/>
            <w:tcBorders>
              <w:top w:val="single" w:sz="8" w:space="0" w:color="auto"/>
              <w:bottom w:val="single" w:sz="4" w:space="0" w:color="auto"/>
            </w:tcBorders>
            <w:shd w:val="clear" w:color="auto" w:fill="auto"/>
            <w:noWrap/>
            <w:vAlign w:val="center"/>
            <w:hideMark/>
          </w:tcPr>
          <w:p w14:paraId="08E7EAD0" w14:textId="77777777" w:rsidR="002112C6" w:rsidRPr="00CF571C" w:rsidRDefault="002112C6" w:rsidP="00B636FD">
            <w:pPr>
              <w:jc w:val="center"/>
              <w:rPr>
                <w:rFonts w:ascii="Times New Roman" w:hAnsi="Times New Roman" w:cs="Times New Roman"/>
                <w:color w:val="000000" w:themeColor="text1"/>
                <w:sz w:val="21"/>
                <w:szCs w:val="21"/>
              </w:rPr>
            </w:pPr>
          </w:p>
        </w:tc>
        <w:tc>
          <w:tcPr>
            <w:tcW w:w="787" w:type="pct"/>
            <w:tcBorders>
              <w:top w:val="single" w:sz="8" w:space="0" w:color="auto"/>
              <w:bottom w:val="single" w:sz="4" w:space="0" w:color="auto"/>
            </w:tcBorders>
            <w:shd w:val="clear" w:color="auto" w:fill="auto"/>
            <w:noWrap/>
            <w:vAlign w:val="center"/>
            <w:hideMark/>
          </w:tcPr>
          <w:p w14:paraId="4427D666"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979" w:type="pct"/>
            <w:tcBorders>
              <w:top w:val="single" w:sz="8" w:space="0" w:color="auto"/>
              <w:bottom w:val="single" w:sz="4" w:space="0" w:color="auto"/>
            </w:tcBorders>
            <w:shd w:val="clear" w:color="auto" w:fill="auto"/>
            <w:noWrap/>
            <w:vAlign w:val="center"/>
            <w:hideMark/>
          </w:tcPr>
          <w:p w14:paraId="4758E0AB"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191" w:type="pct"/>
            <w:tcBorders>
              <w:top w:val="single" w:sz="8" w:space="0" w:color="auto"/>
              <w:bottom w:val="single" w:sz="4" w:space="0" w:color="auto"/>
            </w:tcBorders>
            <w:shd w:val="clear" w:color="auto" w:fill="auto"/>
            <w:noWrap/>
            <w:vAlign w:val="center"/>
            <w:hideMark/>
          </w:tcPr>
          <w:p w14:paraId="37AFE341"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1188" w:type="pct"/>
            <w:tcBorders>
              <w:top w:val="single" w:sz="8" w:space="0" w:color="auto"/>
              <w:bottom w:val="single" w:sz="4" w:space="0" w:color="auto"/>
            </w:tcBorders>
            <w:shd w:val="clear" w:color="auto" w:fill="auto"/>
            <w:noWrap/>
            <w:vAlign w:val="center"/>
            <w:hideMark/>
          </w:tcPr>
          <w:p w14:paraId="71ADF400"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7975F9F8" w14:textId="77777777" w:rsidTr="0075508C">
        <w:trPr>
          <w:trHeight w:val="317"/>
          <w:jc w:val="center"/>
        </w:trPr>
        <w:tc>
          <w:tcPr>
            <w:tcW w:w="855" w:type="pct"/>
            <w:tcBorders>
              <w:top w:val="single" w:sz="8" w:space="0" w:color="auto"/>
              <w:bottom w:val="nil"/>
            </w:tcBorders>
            <w:shd w:val="clear" w:color="auto" w:fill="auto"/>
            <w:noWrap/>
            <w:vAlign w:val="center"/>
            <w:hideMark/>
          </w:tcPr>
          <w:p w14:paraId="159D86A0" w14:textId="77777777" w:rsidR="002112C6" w:rsidRPr="00CF571C" w:rsidRDefault="002112C6" w:rsidP="0075508C">
            <w:pPr>
              <w:ind w:right="315"/>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纵向</w:t>
            </w:r>
            <w:r w:rsidRPr="00CF571C">
              <w:rPr>
                <w:rFonts w:ascii="Times New Roman" w:hAnsi="Times New Roman" w:cs="Times New Roman" w:hint="eastAsia"/>
                <w:color w:val="000000" w:themeColor="text1"/>
                <w:sz w:val="21"/>
                <w:szCs w:val="21"/>
              </w:rPr>
              <w:t>影响</w:t>
            </w:r>
          </w:p>
        </w:tc>
        <w:tc>
          <w:tcPr>
            <w:tcW w:w="787" w:type="pct"/>
            <w:tcBorders>
              <w:top w:val="single" w:sz="8" w:space="0" w:color="auto"/>
              <w:bottom w:val="nil"/>
            </w:tcBorders>
            <w:shd w:val="clear" w:color="auto" w:fill="auto"/>
            <w:noWrap/>
            <w:vAlign w:val="center"/>
            <w:hideMark/>
          </w:tcPr>
          <w:p w14:paraId="57426C29"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0.0062</w:t>
            </w:r>
          </w:p>
        </w:tc>
        <w:tc>
          <w:tcPr>
            <w:tcW w:w="979" w:type="pct"/>
            <w:tcBorders>
              <w:top w:val="single" w:sz="8" w:space="0" w:color="auto"/>
              <w:bottom w:val="nil"/>
            </w:tcBorders>
            <w:shd w:val="clear" w:color="auto" w:fill="auto"/>
            <w:noWrap/>
            <w:vAlign w:val="center"/>
            <w:hideMark/>
          </w:tcPr>
          <w:p w14:paraId="2A3C380A"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0.0009</w:t>
            </w:r>
          </w:p>
        </w:tc>
        <w:tc>
          <w:tcPr>
            <w:tcW w:w="1191" w:type="pct"/>
            <w:tcBorders>
              <w:top w:val="single" w:sz="8" w:space="0" w:color="auto"/>
              <w:bottom w:val="nil"/>
            </w:tcBorders>
            <w:shd w:val="clear" w:color="auto" w:fill="auto"/>
            <w:noWrap/>
            <w:vAlign w:val="center"/>
            <w:hideMark/>
          </w:tcPr>
          <w:p w14:paraId="633E949F"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0.0037</w:t>
            </w:r>
          </w:p>
        </w:tc>
        <w:tc>
          <w:tcPr>
            <w:tcW w:w="1188" w:type="pct"/>
            <w:tcBorders>
              <w:top w:val="single" w:sz="8" w:space="0" w:color="auto"/>
              <w:bottom w:val="nil"/>
            </w:tcBorders>
            <w:shd w:val="clear" w:color="auto" w:fill="auto"/>
            <w:noWrap/>
            <w:vAlign w:val="center"/>
            <w:hideMark/>
          </w:tcPr>
          <w:p w14:paraId="72D8926B"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0.0136</w:t>
            </w:r>
          </w:p>
        </w:tc>
      </w:tr>
      <w:tr w:rsidR="00CF571C" w:rsidRPr="00CF571C" w14:paraId="7B32B8B9" w14:textId="77777777" w:rsidTr="00B636FD">
        <w:trPr>
          <w:trHeight w:val="317"/>
          <w:jc w:val="center"/>
        </w:trPr>
        <w:tc>
          <w:tcPr>
            <w:tcW w:w="855" w:type="pct"/>
            <w:tcBorders>
              <w:top w:val="nil"/>
            </w:tcBorders>
            <w:shd w:val="clear" w:color="auto" w:fill="auto"/>
            <w:noWrap/>
            <w:vAlign w:val="center"/>
          </w:tcPr>
          <w:p w14:paraId="3E039CE6" w14:textId="77777777" w:rsidR="002112C6" w:rsidRPr="00CF571C" w:rsidRDefault="002112C6" w:rsidP="00F40321">
            <w:pPr>
              <w:jc w:val="center"/>
              <w:rPr>
                <w:rFonts w:ascii="Times New Roman" w:hAnsi="Times New Roman" w:cs="Times New Roman"/>
                <w:color w:val="000000" w:themeColor="text1"/>
                <w:sz w:val="21"/>
                <w:szCs w:val="21"/>
              </w:rPr>
            </w:pPr>
          </w:p>
        </w:tc>
        <w:tc>
          <w:tcPr>
            <w:tcW w:w="787" w:type="pct"/>
            <w:tcBorders>
              <w:top w:val="nil"/>
            </w:tcBorders>
            <w:shd w:val="clear" w:color="auto" w:fill="auto"/>
            <w:noWrap/>
          </w:tcPr>
          <w:p w14:paraId="2BA6FC7F"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979" w:type="pct"/>
            <w:tcBorders>
              <w:top w:val="nil"/>
            </w:tcBorders>
            <w:shd w:val="clear" w:color="auto" w:fill="auto"/>
            <w:noWrap/>
          </w:tcPr>
          <w:p w14:paraId="40315EEA"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1191" w:type="pct"/>
            <w:tcBorders>
              <w:top w:val="nil"/>
            </w:tcBorders>
            <w:shd w:val="clear" w:color="auto" w:fill="auto"/>
            <w:noWrap/>
          </w:tcPr>
          <w:p w14:paraId="41131B7D"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1188" w:type="pct"/>
            <w:tcBorders>
              <w:top w:val="nil"/>
            </w:tcBorders>
            <w:shd w:val="clear" w:color="auto" w:fill="auto"/>
            <w:noWrap/>
          </w:tcPr>
          <w:p w14:paraId="15125424"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r>
      <w:tr w:rsidR="00CF571C" w:rsidRPr="00CF571C" w14:paraId="01066EB6" w14:textId="77777777" w:rsidTr="00B636FD">
        <w:trPr>
          <w:trHeight w:val="317"/>
          <w:jc w:val="center"/>
        </w:trPr>
        <w:tc>
          <w:tcPr>
            <w:tcW w:w="855" w:type="pct"/>
            <w:tcBorders>
              <w:bottom w:val="nil"/>
            </w:tcBorders>
            <w:shd w:val="clear" w:color="auto" w:fill="auto"/>
            <w:noWrap/>
            <w:vAlign w:val="center"/>
            <w:hideMark/>
          </w:tcPr>
          <w:p w14:paraId="63E594A1" w14:textId="77777777" w:rsidR="002112C6" w:rsidRPr="00CF571C" w:rsidRDefault="002112C6" w:rsidP="0075508C">
            <w:pPr>
              <w:ind w:right="315"/>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横向</w:t>
            </w:r>
            <w:r w:rsidRPr="00CF571C">
              <w:rPr>
                <w:rFonts w:ascii="Times New Roman" w:hAnsi="Times New Roman" w:cs="Times New Roman" w:hint="eastAsia"/>
                <w:color w:val="000000" w:themeColor="text1"/>
                <w:sz w:val="21"/>
                <w:szCs w:val="21"/>
              </w:rPr>
              <w:t>影响</w:t>
            </w:r>
          </w:p>
        </w:tc>
        <w:tc>
          <w:tcPr>
            <w:tcW w:w="787" w:type="pct"/>
            <w:tcBorders>
              <w:bottom w:val="nil"/>
            </w:tcBorders>
            <w:shd w:val="clear" w:color="auto" w:fill="auto"/>
            <w:noWrap/>
            <w:vAlign w:val="center"/>
            <w:hideMark/>
          </w:tcPr>
          <w:p w14:paraId="7983D567"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-0.0126</w:t>
            </w:r>
          </w:p>
        </w:tc>
        <w:tc>
          <w:tcPr>
            <w:tcW w:w="979" w:type="pct"/>
            <w:tcBorders>
              <w:bottom w:val="nil"/>
            </w:tcBorders>
            <w:shd w:val="clear" w:color="auto" w:fill="auto"/>
            <w:noWrap/>
            <w:vAlign w:val="center"/>
            <w:hideMark/>
          </w:tcPr>
          <w:p w14:paraId="519EC65B"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-0.0012</w:t>
            </w:r>
          </w:p>
        </w:tc>
        <w:tc>
          <w:tcPr>
            <w:tcW w:w="1191" w:type="pct"/>
            <w:tcBorders>
              <w:bottom w:val="nil"/>
            </w:tcBorders>
            <w:shd w:val="clear" w:color="auto" w:fill="auto"/>
            <w:noWrap/>
            <w:vAlign w:val="center"/>
            <w:hideMark/>
          </w:tcPr>
          <w:p w14:paraId="532C674D"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-0.0035</w:t>
            </w:r>
          </w:p>
        </w:tc>
        <w:tc>
          <w:tcPr>
            <w:tcW w:w="1188" w:type="pct"/>
            <w:tcBorders>
              <w:bottom w:val="nil"/>
            </w:tcBorders>
            <w:shd w:val="clear" w:color="auto" w:fill="auto"/>
            <w:noWrap/>
            <w:vAlign w:val="center"/>
            <w:hideMark/>
          </w:tcPr>
          <w:p w14:paraId="6983D16F"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-0.0054</w:t>
            </w:r>
          </w:p>
        </w:tc>
      </w:tr>
      <w:tr w:rsidR="002704CD" w:rsidRPr="00CF571C" w14:paraId="28EB8835" w14:textId="77777777" w:rsidTr="007E197E">
        <w:trPr>
          <w:trHeight w:val="317"/>
          <w:jc w:val="center"/>
        </w:trPr>
        <w:tc>
          <w:tcPr>
            <w:tcW w:w="855" w:type="pct"/>
            <w:tcBorders>
              <w:top w:val="nil"/>
              <w:bottom w:val="single" w:sz="8" w:space="0" w:color="auto"/>
            </w:tcBorders>
            <w:shd w:val="clear" w:color="auto" w:fill="auto"/>
            <w:noWrap/>
            <w:vAlign w:val="center"/>
          </w:tcPr>
          <w:p w14:paraId="6ED1F85B" w14:textId="77777777" w:rsidR="002112C6" w:rsidRPr="00CF571C" w:rsidRDefault="002112C6" w:rsidP="00B636FD">
            <w:pPr>
              <w:jc w:val="center"/>
              <w:rPr>
                <w:rFonts w:ascii="Times New Roman" w:hAnsi="Times New Roman" w:cs="Times New Roman"/>
                <w:color w:val="000000" w:themeColor="text1"/>
                <w:sz w:val="21"/>
                <w:szCs w:val="21"/>
              </w:rPr>
            </w:pPr>
          </w:p>
        </w:tc>
        <w:tc>
          <w:tcPr>
            <w:tcW w:w="787" w:type="pct"/>
            <w:tcBorders>
              <w:top w:val="nil"/>
              <w:bottom w:val="single" w:sz="8" w:space="0" w:color="auto"/>
            </w:tcBorders>
            <w:shd w:val="clear" w:color="auto" w:fill="auto"/>
            <w:noWrap/>
          </w:tcPr>
          <w:p w14:paraId="0831BCC4"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979" w:type="pct"/>
            <w:tcBorders>
              <w:top w:val="nil"/>
              <w:bottom w:val="single" w:sz="8" w:space="0" w:color="auto"/>
            </w:tcBorders>
            <w:shd w:val="clear" w:color="auto" w:fill="auto"/>
            <w:noWrap/>
          </w:tcPr>
          <w:p w14:paraId="77235409"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1191" w:type="pct"/>
            <w:tcBorders>
              <w:top w:val="nil"/>
              <w:bottom w:val="single" w:sz="8" w:space="0" w:color="auto"/>
            </w:tcBorders>
            <w:shd w:val="clear" w:color="auto" w:fill="auto"/>
            <w:noWrap/>
          </w:tcPr>
          <w:p w14:paraId="215BDD40"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1188" w:type="pct"/>
            <w:tcBorders>
              <w:top w:val="nil"/>
              <w:bottom w:val="single" w:sz="8" w:space="0" w:color="auto"/>
            </w:tcBorders>
            <w:shd w:val="clear" w:color="auto" w:fill="auto"/>
            <w:noWrap/>
          </w:tcPr>
          <w:p w14:paraId="5C439D04" w14:textId="77777777" w:rsidR="002112C6" w:rsidRPr="00CF571C" w:rsidRDefault="002112C6"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r>
    </w:tbl>
    <w:p w14:paraId="6ED5265A" w14:textId="77777777" w:rsidR="002112C6" w:rsidRPr="00CF571C" w:rsidRDefault="002112C6" w:rsidP="00741E5D">
      <w:pPr>
        <w:jc w:val="both"/>
        <w:rPr>
          <w:rFonts w:ascii="Times New Roman" w:hAnsi="Times New Roman" w:cs="Times New Roman"/>
          <w:b/>
          <w:bCs/>
          <w:color w:val="000000" w:themeColor="text1"/>
        </w:rPr>
      </w:pPr>
    </w:p>
    <w:p w14:paraId="022D4761" w14:textId="77777777" w:rsidR="00700CF0" w:rsidRPr="00CF571C" w:rsidRDefault="00AB0CD1" w:rsidP="00536E76">
      <w:pPr>
        <w:ind w:firstLineChars="200" w:firstLine="420"/>
        <w:jc w:val="both"/>
        <w:rPr>
          <w:bCs/>
          <w:color w:val="000000" w:themeColor="text1"/>
          <w:sz w:val="21"/>
          <w:szCs w:val="21"/>
        </w:rPr>
      </w:pPr>
      <w:r w:rsidRPr="00CF571C">
        <w:rPr>
          <w:bCs/>
          <w:color w:val="000000" w:themeColor="text1"/>
          <w:sz w:val="21"/>
          <w:szCs w:val="21"/>
        </w:rPr>
        <w:lastRenderedPageBreak/>
        <w:t>结果说明，不同支出类型所体现的财政事权和支出责任划分不同，导致了上级政府影响和政府间策略互动的相对强弱不同。因教育和科技支出均属于</w:t>
      </w:r>
      <w:r w:rsidR="00D31D73" w:rsidRPr="00CF571C">
        <w:rPr>
          <w:rFonts w:hint="eastAsia"/>
          <w:bCs/>
          <w:color w:val="000000" w:themeColor="text1"/>
          <w:sz w:val="21"/>
          <w:szCs w:val="21"/>
        </w:rPr>
        <w:t>隐性</w:t>
      </w:r>
      <w:r w:rsidRPr="00CF571C">
        <w:rPr>
          <w:bCs/>
          <w:color w:val="000000" w:themeColor="text1"/>
          <w:sz w:val="21"/>
          <w:szCs w:val="21"/>
        </w:rPr>
        <w:t>法定支出，是政府需要优先确保增长的对象，强调明确各级地方政府的支出责任，因此会在毗邻地区间产生策略互动，力求不“落后”。而医疗卫生和社会保障支出的目标为保障居民卫生健康需求和最低生活标准，根据当前我国的财政事权与支出划分原则，该类基本公共服务职能相关的事权强调省级的统筹和协调，因此地级市的该类预算会更多受到省级政府的纵向影响。对于结果显示的支出特性，应进一步合理界定地方的财政事权，激励我国地方政府主动作为，为我国持续推进民生保障和改善工作奠定基础。</w:t>
      </w:r>
    </w:p>
    <w:p w14:paraId="1E18114F" w14:textId="77777777" w:rsidR="00057161" w:rsidRPr="00CF571C" w:rsidRDefault="00654FBD" w:rsidP="0075508C">
      <w:pPr>
        <w:ind w:firstLineChars="200" w:firstLine="422"/>
        <w:jc w:val="both"/>
        <w:rPr>
          <w:rFonts w:ascii="黑体" w:eastAsia="黑体" w:hAnsi="黑体" w:cs="Times New Roman"/>
          <w:b/>
          <w:bCs/>
          <w:color w:val="000000" w:themeColor="text1"/>
          <w:sz w:val="21"/>
          <w:szCs w:val="21"/>
        </w:rPr>
      </w:pPr>
      <w:r w:rsidRPr="00CF571C">
        <w:rPr>
          <w:rFonts w:ascii="黑体" w:eastAsia="黑体" w:hAnsi="黑体" w:cs="Times New Roman" w:hint="eastAsia"/>
          <w:b/>
          <w:bCs/>
          <w:color w:val="000000" w:themeColor="text1"/>
          <w:sz w:val="21"/>
          <w:szCs w:val="21"/>
        </w:rPr>
        <w:t>（</w:t>
      </w:r>
      <w:r w:rsidR="00D64121" w:rsidRPr="00CF571C">
        <w:rPr>
          <w:rFonts w:ascii="黑体" w:eastAsia="黑体" w:hAnsi="黑体" w:cs="Times New Roman" w:hint="eastAsia"/>
          <w:b/>
          <w:bCs/>
          <w:color w:val="000000" w:themeColor="text1"/>
          <w:sz w:val="21"/>
          <w:szCs w:val="21"/>
        </w:rPr>
        <w:t>三</w:t>
      </w:r>
      <w:r w:rsidRPr="00CF571C">
        <w:rPr>
          <w:rFonts w:ascii="黑体" w:eastAsia="黑体" w:hAnsi="黑体" w:cs="Times New Roman" w:hint="eastAsia"/>
          <w:b/>
          <w:bCs/>
          <w:color w:val="000000" w:themeColor="text1"/>
          <w:sz w:val="21"/>
          <w:szCs w:val="21"/>
        </w:rPr>
        <w:t>）稳健性检验</w:t>
      </w:r>
    </w:p>
    <w:p w14:paraId="1C5CB89A" w14:textId="77777777" w:rsidR="000C1A75" w:rsidRPr="00CF571C" w:rsidRDefault="000C1A75" w:rsidP="00536E76">
      <w:pPr>
        <w:ind w:firstLineChars="200" w:firstLine="420"/>
        <w:jc w:val="both"/>
        <w:rPr>
          <w:rFonts w:ascii="Times New Roman" w:hAnsi="Times New Roman" w:cs="Times New Roman"/>
          <w:bCs/>
          <w:color w:val="000000" w:themeColor="text1"/>
          <w:sz w:val="21"/>
          <w:szCs w:val="21"/>
        </w:rPr>
      </w:pPr>
      <w:r w:rsidRPr="00CF571C">
        <w:rPr>
          <w:rFonts w:ascii="Times New Roman" w:hAnsi="Times New Roman" w:cs="Times New Roman"/>
          <w:bCs/>
          <w:color w:val="000000" w:themeColor="text1"/>
          <w:sz w:val="21"/>
          <w:szCs w:val="21"/>
        </w:rPr>
        <w:t>为保证结果的可靠性，本文进一步使用半径匹配法</w:t>
      </w:r>
      <w:r w:rsidR="00B636FD" w:rsidRPr="00CF571C">
        <w:rPr>
          <w:rFonts w:ascii="Times New Roman" w:hAnsi="Times New Roman" w:cs="Times New Roman"/>
          <w:bCs/>
          <w:color w:val="000000" w:themeColor="text1"/>
          <w:sz w:val="21"/>
          <w:szCs w:val="21"/>
        </w:rPr>
        <w:t>与核匹配法对上述结果进行检验</w:t>
      </w:r>
      <w:r w:rsidRPr="00CF571C">
        <w:rPr>
          <w:rFonts w:ascii="Times New Roman" w:hAnsi="Times New Roman" w:cs="Times New Roman"/>
          <w:bCs/>
          <w:color w:val="000000" w:themeColor="text1"/>
          <w:sz w:val="21"/>
          <w:szCs w:val="21"/>
        </w:rPr>
        <w:t>。</w:t>
      </w:r>
      <w:r w:rsidR="00B636FD" w:rsidRPr="00CF571C">
        <w:rPr>
          <w:rFonts w:ascii="Times New Roman" w:hAnsi="Times New Roman" w:cs="Times New Roman"/>
          <w:bCs/>
          <w:color w:val="000000" w:themeColor="text1"/>
          <w:sz w:val="21"/>
          <w:szCs w:val="21"/>
        </w:rPr>
        <w:t>对于半径匹配，具体做法是</w:t>
      </w:r>
      <w:r w:rsidRPr="00CF571C">
        <w:rPr>
          <w:rFonts w:ascii="Times New Roman" w:hAnsi="Times New Roman" w:cs="Times New Roman"/>
          <w:bCs/>
          <w:color w:val="000000" w:themeColor="text1"/>
          <w:sz w:val="21"/>
          <w:szCs w:val="21"/>
        </w:rPr>
        <w:t>事先划定匹配半径（</w:t>
      </w:r>
      <w:r w:rsidRPr="00CF571C">
        <w:rPr>
          <w:rFonts w:ascii="Times New Roman" w:hAnsi="Times New Roman" w:cs="Times New Roman"/>
          <w:bCs/>
          <w:color w:val="000000" w:themeColor="text1"/>
          <w:sz w:val="21"/>
          <w:szCs w:val="21"/>
        </w:rPr>
        <w:t>0.05</w:t>
      </w:r>
      <w:r w:rsidRPr="00CF571C">
        <w:rPr>
          <w:rFonts w:ascii="Times New Roman" w:hAnsi="Times New Roman" w:cs="Times New Roman"/>
          <w:bCs/>
          <w:color w:val="000000" w:themeColor="text1"/>
          <w:sz w:val="21"/>
          <w:szCs w:val="21"/>
        </w:rPr>
        <w:t>），找到该半径范围内的单位圆中的控制样本</w:t>
      </w:r>
      <w:r w:rsidR="00B636FD" w:rsidRPr="00CF571C">
        <w:rPr>
          <w:rFonts w:ascii="Times New Roman" w:hAnsi="Times New Roman" w:cs="Times New Roman"/>
          <w:bCs/>
          <w:color w:val="000000" w:themeColor="text1"/>
          <w:sz w:val="21"/>
          <w:szCs w:val="21"/>
        </w:rPr>
        <w:t>进行匹配；对于核匹配，</w:t>
      </w:r>
      <w:r w:rsidR="00BC6DEB" w:rsidRPr="00CF571C">
        <w:rPr>
          <w:rFonts w:ascii="Times New Roman" w:hAnsi="Times New Roman" w:cs="Times New Roman"/>
          <w:bCs/>
          <w:color w:val="000000" w:themeColor="text1"/>
          <w:sz w:val="21"/>
          <w:szCs w:val="21"/>
        </w:rPr>
        <w:t>其在半径匹配筛选样本的基础上，将处理组与所有符合条件的控制组个体的加权平均值匹配</w:t>
      </w:r>
      <w:r w:rsidR="002B07C5" w:rsidRPr="00CF571C">
        <w:rPr>
          <w:rFonts w:ascii="Times New Roman" w:hAnsi="Times New Roman" w:cs="Times New Roman"/>
          <w:bCs/>
          <w:color w:val="000000" w:themeColor="text1"/>
          <w:sz w:val="21"/>
          <w:szCs w:val="21"/>
        </w:rPr>
        <w:t>，每个控制组个体的权重取决于该个体与处理组之间的距离</w:t>
      </w:r>
      <w:r w:rsidR="00BC6DEB" w:rsidRPr="00CF571C">
        <w:rPr>
          <w:rFonts w:ascii="Times New Roman" w:hAnsi="Times New Roman" w:cs="Times New Roman"/>
          <w:bCs/>
          <w:color w:val="000000" w:themeColor="text1"/>
          <w:sz w:val="21"/>
          <w:szCs w:val="21"/>
        </w:rPr>
        <w:t>。</w:t>
      </w:r>
    </w:p>
    <w:p w14:paraId="2C22BF91" w14:textId="77777777" w:rsidR="00E6656F" w:rsidRPr="00CF571C" w:rsidRDefault="000C1A75" w:rsidP="00536E76">
      <w:pPr>
        <w:ind w:firstLineChars="200" w:firstLine="420"/>
        <w:jc w:val="both"/>
        <w:rPr>
          <w:rFonts w:ascii="Times New Roman" w:hAnsi="Times New Roman" w:cs="Times New Roman"/>
          <w:bCs/>
          <w:color w:val="000000" w:themeColor="text1"/>
          <w:sz w:val="21"/>
          <w:szCs w:val="21"/>
        </w:rPr>
      </w:pPr>
      <w:r w:rsidRPr="00CF571C">
        <w:rPr>
          <w:rFonts w:ascii="Times New Roman" w:hAnsi="Times New Roman" w:cs="Times New Roman"/>
          <w:bCs/>
          <w:color w:val="000000" w:themeColor="text1"/>
          <w:sz w:val="21"/>
          <w:szCs w:val="21"/>
        </w:rPr>
        <w:t>结果显示，</w:t>
      </w:r>
      <w:r w:rsidR="00E6656F" w:rsidRPr="00CF571C">
        <w:rPr>
          <w:rFonts w:ascii="Times New Roman" w:hAnsi="Times New Roman" w:cs="Times New Roman"/>
          <w:bCs/>
          <w:color w:val="000000" w:themeColor="text1"/>
          <w:sz w:val="21"/>
          <w:szCs w:val="21"/>
        </w:rPr>
        <w:t>纵向层面，</w:t>
      </w:r>
      <w:r w:rsidR="0072467B" w:rsidRPr="00CF571C">
        <w:rPr>
          <w:rFonts w:ascii="Times New Roman" w:hAnsi="Times New Roman" w:cs="Times New Roman"/>
          <w:bCs/>
          <w:color w:val="000000" w:themeColor="text1"/>
          <w:sz w:val="21"/>
          <w:szCs w:val="21"/>
        </w:rPr>
        <w:t>如表</w:t>
      </w:r>
      <w:r w:rsidR="0072467B" w:rsidRPr="00CF571C">
        <w:rPr>
          <w:rFonts w:ascii="Times New Roman" w:hAnsi="Times New Roman" w:cs="Times New Roman"/>
          <w:bCs/>
          <w:color w:val="000000" w:themeColor="text1"/>
          <w:sz w:val="21"/>
          <w:szCs w:val="21"/>
        </w:rPr>
        <w:t>1</w:t>
      </w:r>
      <w:r w:rsidR="003F73D6" w:rsidRPr="00CF571C">
        <w:rPr>
          <w:rFonts w:ascii="Times New Roman" w:hAnsi="Times New Roman" w:cs="Times New Roman"/>
          <w:bCs/>
          <w:color w:val="000000" w:themeColor="text1"/>
          <w:sz w:val="21"/>
          <w:szCs w:val="21"/>
        </w:rPr>
        <w:t>0</w:t>
      </w:r>
      <w:r w:rsidR="0072467B" w:rsidRPr="00CF571C">
        <w:rPr>
          <w:rFonts w:ascii="Times New Roman" w:hAnsi="Times New Roman" w:cs="Times New Roman"/>
          <w:bCs/>
          <w:color w:val="000000" w:themeColor="text1"/>
          <w:sz w:val="21"/>
          <w:szCs w:val="21"/>
        </w:rPr>
        <w:t>所示，</w:t>
      </w:r>
      <w:r w:rsidR="00E6656F" w:rsidRPr="00CF571C">
        <w:rPr>
          <w:rFonts w:ascii="Times New Roman" w:hAnsi="Times New Roman" w:cs="Times New Roman"/>
          <w:bCs/>
          <w:color w:val="000000" w:themeColor="text1"/>
          <w:sz w:val="21"/>
          <w:szCs w:val="21"/>
        </w:rPr>
        <w:t>半径匹配和核匹配有一致的结果，</w:t>
      </w:r>
      <w:r w:rsidR="00351ECE" w:rsidRPr="00CF571C">
        <w:rPr>
          <w:rFonts w:ascii="Times New Roman" w:hAnsi="Times New Roman" w:cs="Times New Roman"/>
          <w:bCs/>
          <w:color w:val="000000" w:themeColor="text1"/>
          <w:sz w:val="21"/>
          <w:szCs w:val="21"/>
        </w:rPr>
        <w:t>不论是哪一种</w:t>
      </w:r>
      <w:r w:rsidR="0072467B" w:rsidRPr="00CF571C">
        <w:rPr>
          <w:rFonts w:ascii="Times New Roman" w:hAnsi="Times New Roman" w:cs="Times New Roman"/>
          <w:bCs/>
          <w:color w:val="000000" w:themeColor="text1"/>
          <w:sz w:val="21"/>
          <w:szCs w:val="21"/>
        </w:rPr>
        <w:t>支出</w:t>
      </w:r>
      <w:r w:rsidR="00351ECE" w:rsidRPr="00CF571C">
        <w:rPr>
          <w:rFonts w:ascii="Times New Roman" w:hAnsi="Times New Roman" w:cs="Times New Roman"/>
          <w:bCs/>
          <w:color w:val="000000" w:themeColor="text1"/>
          <w:sz w:val="21"/>
          <w:szCs w:val="21"/>
        </w:rPr>
        <w:t>，匹配后同省毗邻组有更小的预算支出差异，异省毗邻组有更大的差异，说明省级因素的存在会扩大跨省城市间的预算支出差异</w:t>
      </w:r>
      <w:r w:rsidR="00CC7756" w:rsidRPr="00CF571C">
        <w:rPr>
          <w:rFonts w:ascii="Times New Roman" w:hAnsi="Times New Roman" w:cs="Times New Roman"/>
          <w:bCs/>
          <w:color w:val="000000" w:themeColor="text1"/>
          <w:sz w:val="21"/>
          <w:szCs w:val="21"/>
        </w:rPr>
        <w:t>，缩小同省城市的预算支出差异</w:t>
      </w:r>
      <w:r w:rsidR="00351ECE" w:rsidRPr="00CF571C">
        <w:rPr>
          <w:rFonts w:ascii="Times New Roman" w:hAnsi="Times New Roman" w:cs="Times New Roman"/>
          <w:bCs/>
          <w:color w:val="000000" w:themeColor="text1"/>
          <w:sz w:val="21"/>
          <w:szCs w:val="21"/>
        </w:rPr>
        <w:t>。</w:t>
      </w:r>
      <w:r w:rsidR="0072467B" w:rsidRPr="00CF571C">
        <w:rPr>
          <w:rFonts w:ascii="Times New Roman" w:hAnsi="Times New Roman" w:cs="Times New Roman"/>
          <w:bCs/>
          <w:color w:val="000000" w:themeColor="text1"/>
          <w:sz w:val="21"/>
          <w:szCs w:val="21"/>
        </w:rPr>
        <w:t>横向层面，如表</w:t>
      </w:r>
      <w:r w:rsidR="0072467B" w:rsidRPr="00CF571C">
        <w:rPr>
          <w:rFonts w:ascii="Times New Roman" w:hAnsi="Times New Roman" w:cs="Times New Roman"/>
          <w:bCs/>
          <w:color w:val="000000" w:themeColor="text1"/>
          <w:sz w:val="21"/>
          <w:szCs w:val="21"/>
        </w:rPr>
        <w:t>1</w:t>
      </w:r>
      <w:r w:rsidR="003F73D6" w:rsidRPr="00CF571C">
        <w:rPr>
          <w:rFonts w:ascii="Times New Roman" w:hAnsi="Times New Roman" w:cs="Times New Roman"/>
          <w:bCs/>
          <w:color w:val="000000" w:themeColor="text1"/>
          <w:sz w:val="21"/>
          <w:szCs w:val="21"/>
        </w:rPr>
        <w:t>1</w:t>
      </w:r>
      <w:r w:rsidR="0072467B" w:rsidRPr="00CF571C">
        <w:rPr>
          <w:rFonts w:ascii="Times New Roman" w:hAnsi="Times New Roman" w:cs="Times New Roman"/>
          <w:bCs/>
          <w:color w:val="000000" w:themeColor="text1"/>
          <w:sz w:val="21"/>
          <w:szCs w:val="21"/>
        </w:rPr>
        <w:t>所示，</w:t>
      </w:r>
      <w:r w:rsidR="009F43B3" w:rsidRPr="00CF571C">
        <w:rPr>
          <w:rFonts w:ascii="Times New Roman" w:hAnsi="Times New Roman" w:cs="Times New Roman"/>
          <w:bCs/>
          <w:color w:val="000000" w:themeColor="text1"/>
          <w:sz w:val="21"/>
          <w:szCs w:val="21"/>
        </w:rPr>
        <w:t>不论是半径匹配还是核匹配，异省毗邻组的四种支出类型</w:t>
      </w:r>
      <w:r w:rsidR="00A23710" w:rsidRPr="00CF571C">
        <w:rPr>
          <w:rFonts w:ascii="Times New Roman" w:hAnsi="Times New Roman" w:cs="Times New Roman"/>
          <w:bCs/>
          <w:color w:val="000000" w:themeColor="text1"/>
          <w:sz w:val="21"/>
          <w:szCs w:val="21"/>
        </w:rPr>
        <w:t>较异省不毗邻组而言</w:t>
      </w:r>
      <w:r w:rsidR="009F43B3" w:rsidRPr="00CF571C">
        <w:rPr>
          <w:rFonts w:ascii="Times New Roman" w:hAnsi="Times New Roman" w:cs="Times New Roman"/>
          <w:bCs/>
          <w:color w:val="000000" w:themeColor="text1"/>
          <w:sz w:val="21"/>
          <w:szCs w:val="21"/>
        </w:rPr>
        <w:t>均有更小的支出差异，说明</w:t>
      </w:r>
      <w:r w:rsidR="009F43B3" w:rsidRPr="00CF571C">
        <w:rPr>
          <w:rFonts w:ascii="Times New Roman" w:hAnsi="Times New Roman" w:cs="Times New Roman"/>
          <w:color w:val="000000" w:themeColor="text1"/>
          <w:sz w:val="21"/>
          <w:szCs w:val="21"/>
        </w:rPr>
        <w:t>毗邻的城市具有更为接近的预算支出比重。</w:t>
      </w:r>
    </w:p>
    <w:p w14:paraId="4C1BEC6D" w14:textId="77777777" w:rsidR="00E50F90" w:rsidRPr="00CF571C" w:rsidRDefault="00E50F90" w:rsidP="009F43B3">
      <w:pPr>
        <w:rPr>
          <w:rFonts w:ascii="Times New Roman" w:hAnsi="Times New Roman" w:cs="Times New Roman"/>
          <w:bCs/>
          <w:color w:val="000000" w:themeColor="text1"/>
          <w:sz w:val="21"/>
          <w:szCs w:val="21"/>
        </w:rPr>
      </w:pPr>
    </w:p>
    <w:p w14:paraId="6649E7C3" w14:textId="77777777" w:rsidR="002704CD" w:rsidRPr="00CF571C" w:rsidRDefault="00EE122F"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Pr="00CF571C">
        <w:rPr>
          <w:rFonts w:ascii="Times New Roman" w:eastAsia="楷体" w:hAnsi="Times New Roman" w:cs="Times New Roman"/>
          <w:bCs/>
          <w:color w:val="000000" w:themeColor="text1"/>
          <w:kern w:val="2"/>
          <w:sz w:val="21"/>
          <w:szCs w:val="21"/>
        </w:rPr>
        <w:t>1</w:t>
      </w:r>
      <w:r w:rsidR="003F73D6" w:rsidRPr="00CF571C">
        <w:rPr>
          <w:rFonts w:ascii="Times New Roman" w:eastAsia="楷体" w:hAnsi="Times New Roman" w:cs="Times New Roman"/>
          <w:bCs/>
          <w:color w:val="000000" w:themeColor="text1"/>
          <w:kern w:val="2"/>
          <w:sz w:val="21"/>
          <w:szCs w:val="21"/>
        </w:rPr>
        <w:t>0</w:t>
      </w:r>
      <w:r w:rsidR="007529E0"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 xml:space="preserve"> </w:t>
      </w:r>
      <w:r w:rsidR="00E50F90" w:rsidRPr="00CF571C">
        <w:rPr>
          <w:rFonts w:ascii="Times New Roman" w:eastAsia="楷体" w:hAnsi="Times New Roman" w:cs="Times New Roman"/>
          <w:bCs/>
          <w:color w:val="000000" w:themeColor="text1"/>
          <w:kern w:val="2"/>
          <w:sz w:val="21"/>
          <w:szCs w:val="21"/>
        </w:rPr>
        <w:t>半径匹配与核匹配的</w:t>
      </w:r>
      <w:r w:rsidRPr="00CF571C">
        <w:rPr>
          <w:rFonts w:ascii="Times New Roman" w:eastAsia="楷体" w:hAnsi="Times New Roman" w:cs="Times New Roman"/>
          <w:bCs/>
          <w:color w:val="000000" w:themeColor="text1"/>
          <w:kern w:val="2"/>
          <w:sz w:val="21"/>
          <w:szCs w:val="21"/>
        </w:rPr>
        <w:t>纵向影响结果</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311"/>
        <w:gridCol w:w="1599"/>
        <w:gridCol w:w="1600"/>
        <w:gridCol w:w="1984"/>
        <w:gridCol w:w="2028"/>
      </w:tblGrid>
      <w:tr w:rsidR="00CF571C" w:rsidRPr="00CF571C" w14:paraId="28D3A882" w14:textId="77777777" w:rsidTr="00821184">
        <w:trPr>
          <w:trHeight w:val="265"/>
          <w:jc w:val="center"/>
        </w:trPr>
        <w:tc>
          <w:tcPr>
            <w:tcW w:w="769" w:type="pct"/>
            <w:tcBorders>
              <w:top w:val="single" w:sz="8" w:space="0" w:color="auto"/>
              <w:bottom w:val="single" w:sz="8" w:space="0" w:color="auto"/>
            </w:tcBorders>
            <w:shd w:val="clear" w:color="auto" w:fill="auto"/>
            <w:noWrap/>
            <w:vAlign w:val="center"/>
            <w:hideMark/>
          </w:tcPr>
          <w:p w14:paraId="3C4D1FB2" w14:textId="77777777" w:rsidR="001D083A" w:rsidRPr="00CF571C" w:rsidRDefault="001D083A" w:rsidP="00AD7B64">
            <w:pPr>
              <w:jc w:val="center"/>
              <w:rPr>
                <w:rFonts w:ascii="Times New Roman" w:hAnsi="Times New Roman" w:cs="Times New Roman"/>
                <w:color w:val="000000" w:themeColor="text1"/>
                <w:sz w:val="21"/>
                <w:szCs w:val="21"/>
              </w:rPr>
            </w:pPr>
          </w:p>
        </w:tc>
        <w:tc>
          <w:tcPr>
            <w:tcW w:w="938" w:type="pct"/>
            <w:tcBorders>
              <w:top w:val="single" w:sz="8" w:space="0" w:color="auto"/>
              <w:bottom w:val="single" w:sz="8" w:space="0" w:color="auto"/>
            </w:tcBorders>
            <w:shd w:val="clear" w:color="auto" w:fill="auto"/>
            <w:noWrap/>
            <w:vAlign w:val="center"/>
            <w:hideMark/>
          </w:tcPr>
          <w:p w14:paraId="75C5D32A" w14:textId="77777777" w:rsidR="001D083A" w:rsidRPr="00CF571C" w:rsidRDefault="001D083A"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939" w:type="pct"/>
            <w:tcBorders>
              <w:top w:val="single" w:sz="8" w:space="0" w:color="auto"/>
              <w:bottom w:val="single" w:sz="8" w:space="0" w:color="auto"/>
            </w:tcBorders>
            <w:shd w:val="clear" w:color="auto" w:fill="auto"/>
            <w:noWrap/>
            <w:vAlign w:val="center"/>
            <w:hideMark/>
          </w:tcPr>
          <w:p w14:paraId="4142FADA" w14:textId="77777777" w:rsidR="001D083A" w:rsidRPr="00CF571C" w:rsidRDefault="001D083A"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164" w:type="pct"/>
            <w:tcBorders>
              <w:top w:val="single" w:sz="8" w:space="0" w:color="auto"/>
              <w:bottom w:val="single" w:sz="8" w:space="0" w:color="auto"/>
            </w:tcBorders>
            <w:shd w:val="clear" w:color="auto" w:fill="auto"/>
            <w:noWrap/>
            <w:vAlign w:val="center"/>
            <w:hideMark/>
          </w:tcPr>
          <w:p w14:paraId="419E5C21" w14:textId="77777777" w:rsidR="001D083A" w:rsidRPr="00CF571C" w:rsidRDefault="001D083A"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1190" w:type="pct"/>
            <w:tcBorders>
              <w:top w:val="single" w:sz="8" w:space="0" w:color="auto"/>
              <w:bottom w:val="single" w:sz="8" w:space="0" w:color="auto"/>
            </w:tcBorders>
            <w:shd w:val="clear" w:color="auto" w:fill="auto"/>
            <w:noWrap/>
            <w:vAlign w:val="center"/>
            <w:hideMark/>
          </w:tcPr>
          <w:p w14:paraId="73413D25" w14:textId="77777777" w:rsidR="001D083A" w:rsidRPr="00CF571C" w:rsidRDefault="001D083A" w:rsidP="00AD7B6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67FA1101" w14:textId="77777777" w:rsidTr="00CC144A">
        <w:trPr>
          <w:trHeight w:val="265"/>
          <w:jc w:val="center"/>
        </w:trPr>
        <w:tc>
          <w:tcPr>
            <w:tcW w:w="5000" w:type="pct"/>
            <w:gridSpan w:val="5"/>
            <w:tcBorders>
              <w:top w:val="single" w:sz="8" w:space="0" w:color="auto"/>
              <w:bottom w:val="single" w:sz="8" w:space="0" w:color="auto"/>
            </w:tcBorders>
            <w:shd w:val="clear" w:color="auto" w:fill="auto"/>
            <w:noWrap/>
            <w:vAlign w:val="center"/>
          </w:tcPr>
          <w:p w14:paraId="5AF444A3" w14:textId="77777777" w:rsidR="00CC144A" w:rsidRPr="00CF571C" w:rsidRDefault="00CC144A" w:rsidP="00B636FD">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b/>
                <w:bCs/>
                <w:color w:val="000000" w:themeColor="text1"/>
                <w:sz w:val="21"/>
                <w:szCs w:val="21"/>
              </w:rPr>
              <w:t>半径匹配</w:t>
            </w:r>
          </w:p>
        </w:tc>
      </w:tr>
      <w:tr w:rsidR="00CF571C" w:rsidRPr="00CF571C" w14:paraId="6AD67A46" w14:textId="77777777" w:rsidTr="00B636FD">
        <w:trPr>
          <w:trHeight w:val="265"/>
          <w:jc w:val="center"/>
        </w:trPr>
        <w:tc>
          <w:tcPr>
            <w:tcW w:w="769" w:type="pct"/>
            <w:tcBorders>
              <w:top w:val="single" w:sz="8" w:space="0" w:color="auto"/>
              <w:bottom w:val="nil"/>
            </w:tcBorders>
            <w:shd w:val="clear" w:color="auto" w:fill="auto"/>
            <w:noWrap/>
            <w:vAlign w:val="center"/>
          </w:tcPr>
          <w:p w14:paraId="7F6B53DD" w14:textId="77777777" w:rsidR="00CC144A" w:rsidRPr="00CF571C" w:rsidRDefault="00CC144A" w:rsidP="00CC144A">
            <w:pPr>
              <w:jc w:val="center"/>
              <w:rPr>
                <w:rFonts w:ascii="Times New Roman" w:hAnsi="Times New Roman" w:cs="Times New Roman"/>
                <w:color w:val="000000" w:themeColor="text1"/>
                <w:sz w:val="21"/>
                <w:szCs w:val="21"/>
              </w:rPr>
            </w:pPr>
          </w:p>
        </w:tc>
        <w:tc>
          <w:tcPr>
            <w:tcW w:w="938" w:type="pct"/>
            <w:tcBorders>
              <w:top w:val="single" w:sz="8" w:space="0" w:color="auto"/>
              <w:bottom w:val="nil"/>
            </w:tcBorders>
            <w:shd w:val="clear" w:color="auto" w:fill="auto"/>
            <w:noWrap/>
            <w:vAlign w:val="center"/>
          </w:tcPr>
          <w:p w14:paraId="537D32D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1</w:t>
            </w:r>
            <w:r w:rsidRPr="00CF571C">
              <w:rPr>
                <w:rFonts w:ascii="Times New Roman" w:hAnsi="Times New Roman" w:cs="Times New Roman" w:hint="eastAsia"/>
                <w:color w:val="000000" w:themeColor="text1"/>
                <w:sz w:val="21"/>
                <w:szCs w:val="21"/>
              </w:rPr>
              <w:t>）</w:t>
            </w:r>
          </w:p>
        </w:tc>
        <w:tc>
          <w:tcPr>
            <w:tcW w:w="939" w:type="pct"/>
            <w:tcBorders>
              <w:top w:val="single" w:sz="8" w:space="0" w:color="auto"/>
              <w:bottom w:val="nil"/>
            </w:tcBorders>
            <w:shd w:val="clear" w:color="auto" w:fill="auto"/>
            <w:noWrap/>
            <w:vAlign w:val="center"/>
          </w:tcPr>
          <w:p w14:paraId="0513DE70"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2</w:t>
            </w:r>
            <w:r w:rsidRPr="00CF571C">
              <w:rPr>
                <w:rFonts w:ascii="Times New Roman" w:hAnsi="Times New Roman" w:cs="Times New Roman" w:hint="eastAsia"/>
                <w:color w:val="000000" w:themeColor="text1"/>
                <w:sz w:val="21"/>
                <w:szCs w:val="21"/>
              </w:rPr>
              <w:t>）</w:t>
            </w:r>
          </w:p>
        </w:tc>
        <w:tc>
          <w:tcPr>
            <w:tcW w:w="1164" w:type="pct"/>
            <w:tcBorders>
              <w:top w:val="single" w:sz="8" w:space="0" w:color="auto"/>
              <w:bottom w:val="nil"/>
            </w:tcBorders>
            <w:shd w:val="clear" w:color="auto" w:fill="auto"/>
            <w:noWrap/>
            <w:vAlign w:val="center"/>
          </w:tcPr>
          <w:p w14:paraId="664925F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3</w:t>
            </w:r>
            <w:r w:rsidRPr="00CF571C">
              <w:rPr>
                <w:rFonts w:ascii="Times New Roman" w:hAnsi="Times New Roman" w:cs="Times New Roman" w:hint="eastAsia"/>
                <w:color w:val="000000" w:themeColor="text1"/>
                <w:sz w:val="21"/>
                <w:szCs w:val="21"/>
              </w:rPr>
              <w:t>）</w:t>
            </w:r>
          </w:p>
        </w:tc>
        <w:tc>
          <w:tcPr>
            <w:tcW w:w="1190" w:type="pct"/>
            <w:tcBorders>
              <w:top w:val="single" w:sz="8" w:space="0" w:color="auto"/>
              <w:bottom w:val="nil"/>
            </w:tcBorders>
            <w:shd w:val="clear" w:color="auto" w:fill="auto"/>
            <w:noWrap/>
            <w:vAlign w:val="center"/>
          </w:tcPr>
          <w:p w14:paraId="1F431056"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4</w:t>
            </w:r>
            <w:r w:rsidRPr="00CF571C">
              <w:rPr>
                <w:rFonts w:ascii="Times New Roman" w:hAnsi="Times New Roman" w:cs="Times New Roman" w:hint="eastAsia"/>
                <w:color w:val="000000" w:themeColor="text1"/>
                <w:sz w:val="21"/>
                <w:szCs w:val="21"/>
              </w:rPr>
              <w:t>）</w:t>
            </w:r>
          </w:p>
        </w:tc>
      </w:tr>
      <w:tr w:rsidR="00CF571C" w:rsidRPr="00CF571C" w14:paraId="4E994FE5" w14:textId="77777777" w:rsidTr="00CC144A">
        <w:trPr>
          <w:trHeight w:val="265"/>
          <w:jc w:val="center"/>
        </w:trPr>
        <w:tc>
          <w:tcPr>
            <w:tcW w:w="769" w:type="pct"/>
            <w:tcBorders>
              <w:top w:val="nil"/>
            </w:tcBorders>
            <w:shd w:val="clear" w:color="auto" w:fill="auto"/>
            <w:noWrap/>
            <w:vAlign w:val="center"/>
            <w:hideMark/>
          </w:tcPr>
          <w:p w14:paraId="411DB0C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异省毗邻组</w:t>
            </w:r>
          </w:p>
        </w:tc>
        <w:tc>
          <w:tcPr>
            <w:tcW w:w="938" w:type="pct"/>
            <w:tcBorders>
              <w:top w:val="nil"/>
            </w:tcBorders>
            <w:shd w:val="clear" w:color="auto" w:fill="auto"/>
            <w:noWrap/>
            <w:hideMark/>
          </w:tcPr>
          <w:p w14:paraId="2B1300E2"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0.0495</w:t>
            </w:r>
          </w:p>
        </w:tc>
        <w:tc>
          <w:tcPr>
            <w:tcW w:w="939" w:type="pct"/>
            <w:tcBorders>
              <w:top w:val="nil"/>
            </w:tcBorders>
            <w:shd w:val="clear" w:color="auto" w:fill="auto"/>
            <w:noWrap/>
            <w:hideMark/>
          </w:tcPr>
          <w:p w14:paraId="1315A1FD"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0.0080</w:t>
            </w:r>
          </w:p>
        </w:tc>
        <w:tc>
          <w:tcPr>
            <w:tcW w:w="1164" w:type="pct"/>
            <w:tcBorders>
              <w:top w:val="nil"/>
            </w:tcBorders>
            <w:shd w:val="clear" w:color="auto" w:fill="auto"/>
            <w:noWrap/>
            <w:hideMark/>
          </w:tcPr>
          <w:p w14:paraId="3FF4301E"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0.0223</w:t>
            </w:r>
          </w:p>
        </w:tc>
        <w:tc>
          <w:tcPr>
            <w:tcW w:w="1190" w:type="pct"/>
            <w:tcBorders>
              <w:top w:val="nil"/>
            </w:tcBorders>
            <w:shd w:val="clear" w:color="auto" w:fill="auto"/>
            <w:noWrap/>
            <w:hideMark/>
          </w:tcPr>
          <w:p w14:paraId="15E6B42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0.0378</w:t>
            </w:r>
          </w:p>
        </w:tc>
      </w:tr>
      <w:tr w:rsidR="00CF571C" w:rsidRPr="00CF571C" w14:paraId="5F7D15ED" w14:textId="77777777" w:rsidTr="00E50F90">
        <w:trPr>
          <w:trHeight w:val="265"/>
          <w:jc w:val="center"/>
        </w:trPr>
        <w:tc>
          <w:tcPr>
            <w:tcW w:w="769" w:type="pct"/>
            <w:shd w:val="clear" w:color="auto" w:fill="auto"/>
            <w:noWrap/>
            <w:vAlign w:val="center"/>
            <w:hideMark/>
          </w:tcPr>
          <w:p w14:paraId="6A9AF255"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同省毗邻组</w:t>
            </w:r>
          </w:p>
        </w:tc>
        <w:tc>
          <w:tcPr>
            <w:tcW w:w="938" w:type="pct"/>
            <w:shd w:val="clear" w:color="auto" w:fill="auto"/>
            <w:noWrap/>
            <w:hideMark/>
          </w:tcPr>
          <w:p w14:paraId="554FA788"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0.0442</w:t>
            </w:r>
          </w:p>
        </w:tc>
        <w:tc>
          <w:tcPr>
            <w:tcW w:w="939" w:type="pct"/>
            <w:shd w:val="clear" w:color="auto" w:fill="auto"/>
            <w:noWrap/>
            <w:hideMark/>
          </w:tcPr>
          <w:p w14:paraId="6BDAE186"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0.0072</w:t>
            </w:r>
          </w:p>
        </w:tc>
        <w:tc>
          <w:tcPr>
            <w:tcW w:w="1164" w:type="pct"/>
            <w:shd w:val="clear" w:color="auto" w:fill="auto"/>
            <w:noWrap/>
            <w:hideMark/>
          </w:tcPr>
          <w:p w14:paraId="470AB8B5"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0.0188</w:t>
            </w:r>
          </w:p>
        </w:tc>
        <w:tc>
          <w:tcPr>
            <w:tcW w:w="1190" w:type="pct"/>
            <w:shd w:val="clear" w:color="auto" w:fill="auto"/>
            <w:noWrap/>
            <w:hideMark/>
          </w:tcPr>
          <w:p w14:paraId="015CC84E"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0.0245</w:t>
            </w:r>
          </w:p>
        </w:tc>
      </w:tr>
      <w:tr w:rsidR="00CF571C" w:rsidRPr="00CF571C" w14:paraId="59C43BDD" w14:textId="77777777" w:rsidTr="00E50F90">
        <w:trPr>
          <w:trHeight w:val="265"/>
          <w:jc w:val="center"/>
        </w:trPr>
        <w:tc>
          <w:tcPr>
            <w:tcW w:w="769" w:type="pct"/>
            <w:shd w:val="clear" w:color="auto" w:fill="auto"/>
            <w:noWrap/>
            <w:vAlign w:val="center"/>
            <w:hideMark/>
          </w:tcPr>
          <w:p w14:paraId="5CBF0AC6"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处理效应</w:t>
            </w:r>
          </w:p>
        </w:tc>
        <w:tc>
          <w:tcPr>
            <w:tcW w:w="938" w:type="pct"/>
            <w:shd w:val="clear" w:color="auto" w:fill="auto"/>
            <w:noWrap/>
            <w:hideMark/>
          </w:tcPr>
          <w:p w14:paraId="280D45E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0.0053</w:t>
            </w:r>
            <w:r w:rsidR="00E6656F" w:rsidRPr="00CF571C">
              <w:rPr>
                <w:rFonts w:ascii="Times New Roman" w:hAnsi="Times New Roman" w:cs="Times New Roman"/>
                <w:color w:val="000000" w:themeColor="text1"/>
                <w:sz w:val="21"/>
                <w:szCs w:val="21"/>
              </w:rPr>
              <w:t>***</w:t>
            </w:r>
          </w:p>
        </w:tc>
        <w:tc>
          <w:tcPr>
            <w:tcW w:w="939" w:type="pct"/>
            <w:shd w:val="clear" w:color="auto" w:fill="auto"/>
            <w:noWrap/>
            <w:hideMark/>
          </w:tcPr>
          <w:p w14:paraId="203F0E40"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0.0008</w:t>
            </w:r>
            <w:r w:rsidR="00E6656F" w:rsidRPr="00CF571C">
              <w:rPr>
                <w:rFonts w:ascii="Times New Roman" w:hAnsi="Times New Roman" w:cs="Times New Roman"/>
                <w:color w:val="000000" w:themeColor="text1"/>
                <w:sz w:val="21"/>
                <w:szCs w:val="21"/>
              </w:rPr>
              <w:t>***</w:t>
            </w:r>
          </w:p>
        </w:tc>
        <w:tc>
          <w:tcPr>
            <w:tcW w:w="1164" w:type="pct"/>
            <w:shd w:val="clear" w:color="auto" w:fill="auto"/>
            <w:noWrap/>
            <w:hideMark/>
          </w:tcPr>
          <w:p w14:paraId="2E127F9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0.0036</w:t>
            </w:r>
            <w:r w:rsidR="00E6656F" w:rsidRPr="00CF571C">
              <w:rPr>
                <w:rFonts w:ascii="Times New Roman" w:hAnsi="Times New Roman" w:cs="Times New Roman"/>
                <w:color w:val="000000" w:themeColor="text1"/>
                <w:sz w:val="21"/>
                <w:szCs w:val="21"/>
              </w:rPr>
              <w:t>***</w:t>
            </w:r>
          </w:p>
        </w:tc>
        <w:tc>
          <w:tcPr>
            <w:tcW w:w="1190" w:type="pct"/>
            <w:shd w:val="clear" w:color="auto" w:fill="auto"/>
            <w:noWrap/>
            <w:hideMark/>
          </w:tcPr>
          <w:p w14:paraId="16B5DBF6"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0.0133</w:t>
            </w:r>
            <w:r w:rsidR="00E6656F" w:rsidRPr="00CF571C">
              <w:rPr>
                <w:rFonts w:ascii="Times New Roman" w:hAnsi="Times New Roman" w:cs="Times New Roman"/>
                <w:color w:val="000000" w:themeColor="text1"/>
                <w:sz w:val="21"/>
                <w:szCs w:val="21"/>
              </w:rPr>
              <w:t>***</w:t>
            </w:r>
          </w:p>
        </w:tc>
      </w:tr>
      <w:tr w:rsidR="00CF571C" w:rsidRPr="00CF571C" w14:paraId="45626C7E" w14:textId="77777777" w:rsidTr="00CC144A">
        <w:trPr>
          <w:trHeight w:val="265"/>
          <w:jc w:val="center"/>
        </w:trPr>
        <w:tc>
          <w:tcPr>
            <w:tcW w:w="769" w:type="pct"/>
            <w:tcBorders>
              <w:bottom w:val="single" w:sz="8" w:space="0" w:color="auto"/>
            </w:tcBorders>
            <w:shd w:val="clear" w:color="auto" w:fill="auto"/>
            <w:noWrap/>
            <w:vAlign w:val="center"/>
            <w:hideMark/>
          </w:tcPr>
          <w:p w14:paraId="583982C6"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i/>
                <w:iCs/>
                <w:color w:val="000000" w:themeColor="text1"/>
                <w:sz w:val="21"/>
                <w:szCs w:val="21"/>
              </w:rPr>
              <w:t>t</w:t>
            </w:r>
            <w:r w:rsidRPr="00CF571C">
              <w:rPr>
                <w:rFonts w:ascii="Times New Roman" w:hAnsi="Times New Roman" w:cs="Times New Roman"/>
                <w:color w:val="000000" w:themeColor="text1"/>
                <w:sz w:val="21"/>
                <w:szCs w:val="21"/>
              </w:rPr>
              <w:t>值</w:t>
            </w:r>
          </w:p>
        </w:tc>
        <w:tc>
          <w:tcPr>
            <w:tcW w:w="938" w:type="pct"/>
            <w:tcBorders>
              <w:bottom w:val="single" w:sz="8" w:space="0" w:color="auto"/>
            </w:tcBorders>
            <w:shd w:val="clear" w:color="auto" w:fill="auto"/>
            <w:noWrap/>
            <w:hideMark/>
          </w:tcPr>
          <w:p w14:paraId="315AB89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3.58</w:t>
            </w:r>
          </w:p>
        </w:tc>
        <w:tc>
          <w:tcPr>
            <w:tcW w:w="939" w:type="pct"/>
            <w:tcBorders>
              <w:bottom w:val="single" w:sz="8" w:space="0" w:color="auto"/>
            </w:tcBorders>
            <w:shd w:val="clear" w:color="auto" w:fill="auto"/>
            <w:noWrap/>
            <w:hideMark/>
          </w:tcPr>
          <w:p w14:paraId="0067C6A8"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3.13</w:t>
            </w:r>
          </w:p>
        </w:tc>
        <w:tc>
          <w:tcPr>
            <w:tcW w:w="1164" w:type="pct"/>
            <w:tcBorders>
              <w:bottom w:val="single" w:sz="8" w:space="0" w:color="auto"/>
            </w:tcBorders>
            <w:shd w:val="clear" w:color="auto" w:fill="auto"/>
            <w:noWrap/>
            <w:hideMark/>
          </w:tcPr>
          <w:p w14:paraId="283CDA0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6.48</w:t>
            </w:r>
          </w:p>
        </w:tc>
        <w:tc>
          <w:tcPr>
            <w:tcW w:w="1190" w:type="pct"/>
            <w:tcBorders>
              <w:bottom w:val="single" w:sz="8" w:space="0" w:color="auto"/>
            </w:tcBorders>
            <w:shd w:val="clear" w:color="auto" w:fill="auto"/>
            <w:noWrap/>
            <w:hideMark/>
          </w:tcPr>
          <w:p w14:paraId="4185CEF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16.6</w:t>
            </w:r>
          </w:p>
        </w:tc>
      </w:tr>
      <w:tr w:rsidR="00CF571C" w:rsidRPr="00CF571C" w14:paraId="63E02EA9" w14:textId="77777777" w:rsidTr="00CC144A">
        <w:trPr>
          <w:trHeight w:val="265"/>
          <w:jc w:val="center"/>
        </w:trPr>
        <w:tc>
          <w:tcPr>
            <w:tcW w:w="5000" w:type="pct"/>
            <w:gridSpan w:val="5"/>
            <w:tcBorders>
              <w:top w:val="single" w:sz="8" w:space="0" w:color="auto"/>
              <w:bottom w:val="single" w:sz="8" w:space="0" w:color="auto"/>
            </w:tcBorders>
            <w:shd w:val="clear" w:color="auto" w:fill="auto"/>
            <w:noWrap/>
            <w:vAlign w:val="center"/>
          </w:tcPr>
          <w:p w14:paraId="6BE8FA88" w14:textId="77777777" w:rsidR="00CC144A" w:rsidRPr="00CF571C" w:rsidRDefault="00CC144A" w:rsidP="00CC144A">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b/>
                <w:bCs/>
                <w:color w:val="000000" w:themeColor="text1"/>
                <w:sz w:val="21"/>
                <w:szCs w:val="21"/>
              </w:rPr>
              <w:t>核匹配</w:t>
            </w:r>
          </w:p>
        </w:tc>
      </w:tr>
      <w:tr w:rsidR="00CF571C" w:rsidRPr="00CF571C" w14:paraId="43BF8B31" w14:textId="77777777" w:rsidTr="00CC144A">
        <w:trPr>
          <w:trHeight w:val="265"/>
          <w:jc w:val="center"/>
        </w:trPr>
        <w:tc>
          <w:tcPr>
            <w:tcW w:w="769" w:type="pct"/>
            <w:tcBorders>
              <w:top w:val="single" w:sz="8" w:space="0" w:color="auto"/>
              <w:bottom w:val="nil"/>
            </w:tcBorders>
            <w:shd w:val="clear" w:color="auto" w:fill="auto"/>
            <w:noWrap/>
            <w:vAlign w:val="center"/>
          </w:tcPr>
          <w:p w14:paraId="2A6B01F5" w14:textId="77777777" w:rsidR="00CC144A" w:rsidRPr="00CF571C" w:rsidRDefault="00CC144A" w:rsidP="00CC144A">
            <w:pPr>
              <w:jc w:val="center"/>
              <w:rPr>
                <w:rFonts w:ascii="Times New Roman" w:hAnsi="Times New Roman" w:cs="Times New Roman"/>
                <w:color w:val="000000" w:themeColor="text1"/>
                <w:sz w:val="21"/>
                <w:szCs w:val="21"/>
              </w:rPr>
            </w:pPr>
          </w:p>
        </w:tc>
        <w:tc>
          <w:tcPr>
            <w:tcW w:w="938" w:type="pct"/>
            <w:tcBorders>
              <w:top w:val="single" w:sz="8" w:space="0" w:color="auto"/>
              <w:bottom w:val="nil"/>
            </w:tcBorders>
            <w:shd w:val="clear" w:color="auto" w:fill="auto"/>
            <w:noWrap/>
            <w:vAlign w:val="center"/>
          </w:tcPr>
          <w:p w14:paraId="6636D171"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5</w:t>
            </w:r>
            <w:r w:rsidRPr="00CF571C">
              <w:rPr>
                <w:rFonts w:ascii="Times New Roman" w:hAnsi="Times New Roman" w:cs="Times New Roman" w:hint="eastAsia"/>
                <w:color w:val="000000" w:themeColor="text1"/>
                <w:sz w:val="21"/>
                <w:szCs w:val="21"/>
              </w:rPr>
              <w:t>）</w:t>
            </w:r>
          </w:p>
        </w:tc>
        <w:tc>
          <w:tcPr>
            <w:tcW w:w="939" w:type="pct"/>
            <w:tcBorders>
              <w:top w:val="single" w:sz="8" w:space="0" w:color="auto"/>
              <w:bottom w:val="nil"/>
            </w:tcBorders>
            <w:shd w:val="clear" w:color="auto" w:fill="auto"/>
            <w:noWrap/>
            <w:vAlign w:val="center"/>
          </w:tcPr>
          <w:p w14:paraId="600DDA2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6</w:t>
            </w:r>
            <w:r w:rsidRPr="00CF571C">
              <w:rPr>
                <w:rFonts w:ascii="Times New Roman" w:hAnsi="Times New Roman" w:cs="Times New Roman" w:hint="eastAsia"/>
                <w:color w:val="000000" w:themeColor="text1"/>
                <w:sz w:val="21"/>
                <w:szCs w:val="21"/>
              </w:rPr>
              <w:t>）</w:t>
            </w:r>
          </w:p>
        </w:tc>
        <w:tc>
          <w:tcPr>
            <w:tcW w:w="1164" w:type="pct"/>
            <w:tcBorders>
              <w:top w:val="single" w:sz="8" w:space="0" w:color="auto"/>
              <w:bottom w:val="nil"/>
            </w:tcBorders>
            <w:shd w:val="clear" w:color="auto" w:fill="auto"/>
            <w:noWrap/>
            <w:vAlign w:val="center"/>
          </w:tcPr>
          <w:p w14:paraId="0E76FEE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7</w:t>
            </w:r>
            <w:r w:rsidRPr="00CF571C">
              <w:rPr>
                <w:rFonts w:ascii="Times New Roman" w:hAnsi="Times New Roman" w:cs="Times New Roman" w:hint="eastAsia"/>
                <w:color w:val="000000" w:themeColor="text1"/>
                <w:sz w:val="21"/>
                <w:szCs w:val="21"/>
              </w:rPr>
              <w:t>）</w:t>
            </w:r>
          </w:p>
        </w:tc>
        <w:tc>
          <w:tcPr>
            <w:tcW w:w="1190" w:type="pct"/>
            <w:tcBorders>
              <w:top w:val="single" w:sz="8" w:space="0" w:color="auto"/>
              <w:bottom w:val="nil"/>
            </w:tcBorders>
            <w:shd w:val="clear" w:color="auto" w:fill="auto"/>
            <w:noWrap/>
            <w:vAlign w:val="center"/>
          </w:tcPr>
          <w:p w14:paraId="061DE3F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8</w:t>
            </w:r>
            <w:r w:rsidRPr="00CF571C">
              <w:rPr>
                <w:rFonts w:ascii="Times New Roman" w:hAnsi="Times New Roman" w:cs="Times New Roman" w:hint="eastAsia"/>
                <w:color w:val="000000" w:themeColor="text1"/>
                <w:sz w:val="21"/>
                <w:szCs w:val="21"/>
              </w:rPr>
              <w:t>）</w:t>
            </w:r>
          </w:p>
        </w:tc>
      </w:tr>
      <w:tr w:rsidR="00CF571C" w:rsidRPr="00CF571C" w14:paraId="042A1B1B" w14:textId="77777777" w:rsidTr="00CC144A">
        <w:trPr>
          <w:trHeight w:val="265"/>
          <w:jc w:val="center"/>
        </w:trPr>
        <w:tc>
          <w:tcPr>
            <w:tcW w:w="769" w:type="pct"/>
            <w:tcBorders>
              <w:top w:val="nil"/>
            </w:tcBorders>
            <w:shd w:val="clear" w:color="auto" w:fill="auto"/>
            <w:noWrap/>
            <w:vAlign w:val="center"/>
            <w:hideMark/>
          </w:tcPr>
          <w:p w14:paraId="264BB86F"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异省毗邻组</w:t>
            </w:r>
          </w:p>
        </w:tc>
        <w:tc>
          <w:tcPr>
            <w:tcW w:w="938" w:type="pct"/>
            <w:tcBorders>
              <w:top w:val="nil"/>
            </w:tcBorders>
            <w:shd w:val="clear" w:color="auto" w:fill="auto"/>
            <w:noWrap/>
            <w:hideMark/>
          </w:tcPr>
          <w:p w14:paraId="41EF47CD"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0.0495</w:t>
            </w:r>
          </w:p>
        </w:tc>
        <w:tc>
          <w:tcPr>
            <w:tcW w:w="939" w:type="pct"/>
            <w:tcBorders>
              <w:top w:val="nil"/>
            </w:tcBorders>
            <w:shd w:val="clear" w:color="auto" w:fill="auto"/>
            <w:noWrap/>
            <w:hideMark/>
          </w:tcPr>
          <w:p w14:paraId="13A25645"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0.0080</w:t>
            </w:r>
          </w:p>
        </w:tc>
        <w:tc>
          <w:tcPr>
            <w:tcW w:w="1164" w:type="pct"/>
            <w:tcBorders>
              <w:top w:val="nil"/>
            </w:tcBorders>
            <w:shd w:val="clear" w:color="auto" w:fill="auto"/>
            <w:noWrap/>
            <w:hideMark/>
          </w:tcPr>
          <w:p w14:paraId="55D463E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0.0223</w:t>
            </w:r>
          </w:p>
        </w:tc>
        <w:tc>
          <w:tcPr>
            <w:tcW w:w="1190" w:type="pct"/>
            <w:tcBorders>
              <w:top w:val="nil"/>
            </w:tcBorders>
            <w:shd w:val="clear" w:color="auto" w:fill="auto"/>
            <w:noWrap/>
            <w:hideMark/>
          </w:tcPr>
          <w:p w14:paraId="5008FEF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0.0378</w:t>
            </w:r>
          </w:p>
        </w:tc>
      </w:tr>
      <w:tr w:rsidR="00CF571C" w:rsidRPr="00CF571C" w14:paraId="3DCEBA17" w14:textId="77777777" w:rsidTr="00E50F90">
        <w:trPr>
          <w:trHeight w:val="265"/>
          <w:jc w:val="center"/>
        </w:trPr>
        <w:tc>
          <w:tcPr>
            <w:tcW w:w="769" w:type="pct"/>
            <w:shd w:val="clear" w:color="auto" w:fill="auto"/>
            <w:noWrap/>
            <w:vAlign w:val="center"/>
            <w:hideMark/>
          </w:tcPr>
          <w:p w14:paraId="5E5E985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同省毗邻组</w:t>
            </w:r>
          </w:p>
        </w:tc>
        <w:tc>
          <w:tcPr>
            <w:tcW w:w="938" w:type="pct"/>
            <w:shd w:val="clear" w:color="auto" w:fill="auto"/>
            <w:noWrap/>
            <w:hideMark/>
          </w:tcPr>
          <w:p w14:paraId="6E0686D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0.0443</w:t>
            </w:r>
          </w:p>
        </w:tc>
        <w:tc>
          <w:tcPr>
            <w:tcW w:w="939" w:type="pct"/>
            <w:shd w:val="clear" w:color="auto" w:fill="auto"/>
            <w:noWrap/>
            <w:hideMark/>
          </w:tcPr>
          <w:p w14:paraId="0B70968B"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0.0072</w:t>
            </w:r>
          </w:p>
        </w:tc>
        <w:tc>
          <w:tcPr>
            <w:tcW w:w="1164" w:type="pct"/>
            <w:shd w:val="clear" w:color="auto" w:fill="auto"/>
            <w:noWrap/>
            <w:hideMark/>
          </w:tcPr>
          <w:p w14:paraId="794C0645"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0.0188</w:t>
            </w:r>
          </w:p>
        </w:tc>
        <w:tc>
          <w:tcPr>
            <w:tcW w:w="1190" w:type="pct"/>
            <w:shd w:val="clear" w:color="auto" w:fill="auto"/>
            <w:noWrap/>
            <w:hideMark/>
          </w:tcPr>
          <w:p w14:paraId="7499729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0.0245</w:t>
            </w:r>
          </w:p>
        </w:tc>
      </w:tr>
      <w:tr w:rsidR="00CF571C" w:rsidRPr="00CF571C" w14:paraId="3678F86E" w14:textId="77777777" w:rsidTr="00E50F90">
        <w:trPr>
          <w:trHeight w:val="265"/>
          <w:jc w:val="center"/>
        </w:trPr>
        <w:tc>
          <w:tcPr>
            <w:tcW w:w="769" w:type="pct"/>
            <w:tcBorders>
              <w:bottom w:val="nil"/>
            </w:tcBorders>
            <w:shd w:val="clear" w:color="auto" w:fill="auto"/>
            <w:noWrap/>
            <w:vAlign w:val="center"/>
            <w:hideMark/>
          </w:tcPr>
          <w:p w14:paraId="3EC5E21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处理效应</w:t>
            </w:r>
          </w:p>
        </w:tc>
        <w:tc>
          <w:tcPr>
            <w:tcW w:w="938" w:type="pct"/>
            <w:tcBorders>
              <w:bottom w:val="nil"/>
            </w:tcBorders>
            <w:shd w:val="clear" w:color="auto" w:fill="auto"/>
            <w:noWrap/>
            <w:hideMark/>
          </w:tcPr>
          <w:p w14:paraId="487F6F1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w:t>
            </w:r>
            <w:r w:rsidR="00E6656F" w:rsidRPr="00CF571C">
              <w:rPr>
                <w:rFonts w:ascii="Times New Roman" w:hAnsi="Times New Roman" w:cs="Times New Roman"/>
                <w:color w:val="000000" w:themeColor="text1"/>
                <w:sz w:val="21"/>
                <w:szCs w:val="21"/>
              </w:rPr>
              <w:t>2***</w:t>
            </w:r>
          </w:p>
        </w:tc>
        <w:tc>
          <w:tcPr>
            <w:tcW w:w="939" w:type="pct"/>
            <w:tcBorders>
              <w:bottom w:val="nil"/>
            </w:tcBorders>
            <w:shd w:val="clear" w:color="auto" w:fill="auto"/>
            <w:noWrap/>
            <w:hideMark/>
          </w:tcPr>
          <w:p w14:paraId="5BD66E72"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0.0008</w:t>
            </w:r>
            <w:r w:rsidR="00E6656F" w:rsidRPr="00CF571C">
              <w:rPr>
                <w:rFonts w:ascii="Times New Roman" w:hAnsi="Times New Roman" w:cs="Times New Roman"/>
                <w:color w:val="000000" w:themeColor="text1"/>
                <w:sz w:val="21"/>
                <w:szCs w:val="21"/>
              </w:rPr>
              <w:t>***</w:t>
            </w:r>
          </w:p>
        </w:tc>
        <w:tc>
          <w:tcPr>
            <w:tcW w:w="1164" w:type="pct"/>
            <w:tcBorders>
              <w:bottom w:val="nil"/>
            </w:tcBorders>
            <w:shd w:val="clear" w:color="auto" w:fill="auto"/>
            <w:noWrap/>
            <w:hideMark/>
          </w:tcPr>
          <w:p w14:paraId="4C57ED1F"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0.0036</w:t>
            </w:r>
            <w:r w:rsidR="00E6656F" w:rsidRPr="00CF571C">
              <w:rPr>
                <w:rFonts w:ascii="Times New Roman" w:hAnsi="Times New Roman" w:cs="Times New Roman"/>
                <w:color w:val="000000" w:themeColor="text1"/>
                <w:sz w:val="21"/>
                <w:szCs w:val="21"/>
              </w:rPr>
              <w:t>***</w:t>
            </w:r>
          </w:p>
        </w:tc>
        <w:tc>
          <w:tcPr>
            <w:tcW w:w="1190" w:type="pct"/>
            <w:tcBorders>
              <w:bottom w:val="nil"/>
            </w:tcBorders>
            <w:shd w:val="clear" w:color="auto" w:fill="auto"/>
            <w:noWrap/>
            <w:hideMark/>
          </w:tcPr>
          <w:p w14:paraId="643092B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0.0134</w:t>
            </w:r>
            <w:r w:rsidR="00E6656F" w:rsidRPr="00CF571C">
              <w:rPr>
                <w:rFonts w:ascii="Times New Roman" w:hAnsi="Times New Roman" w:cs="Times New Roman"/>
                <w:color w:val="000000" w:themeColor="text1"/>
                <w:sz w:val="21"/>
                <w:szCs w:val="21"/>
              </w:rPr>
              <w:t>***</w:t>
            </w:r>
          </w:p>
        </w:tc>
      </w:tr>
      <w:tr w:rsidR="00CC144A" w:rsidRPr="00CF571C" w14:paraId="2B740B27" w14:textId="77777777" w:rsidTr="00821184">
        <w:trPr>
          <w:trHeight w:val="265"/>
          <w:jc w:val="center"/>
        </w:trPr>
        <w:tc>
          <w:tcPr>
            <w:tcW w:w="769" w:type="pct"/>
            <w:tcBorders>
              <w:top w:val="nil"/>
              <w:bottom w:val="single" w:sz="8" w:space="0" w:color="auto"/>
            </w:tcBorders>
            <w:shd w:val="clear" w:color="auto" w:fill="auto"/>
            <w:noWrap/>
            <w:vAlign w:val="center"/>
            <w:hideMark/>
          </w:tcPr>
          <w:p w14:paraId="59DF632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i/>
                <w:iCs/>
                <w:color w:val="000000" w:themeColor="text1"/>
                <w:sz w:val="21"/>
                <w:szCs w:val="21"/>
              </w:rPr>
              <w:t>t</w:t>
            </w:r>
            <w:r w:rsidRPr="00CF571C">
              <w:rPr>
                <w:rFonts w:ascii="Times New Roman" w:hAnsi="Times New Roman" w:cs="Times New Roman"/>
                <w:color w:val="000000" w:themeColor="text1"/>
                <w:sz w:val="21"/>
                <w:szCs w:val="21"/>
              </w:rPr>
              <w:t>值</w:t>
            </w:r>
          </w:p>
        </w:tc>
        <w:tc>
          <w:tcPr>
            <w:tcW w:w="938" w:type="pct"/>
            <w:tcBorders>
              <w:top w:val="nil"/>
              <w:bottom w:val="single" w:sz="8" w:space="0" w:color="auto"/>
            </w:tcBorders>
            <w:shd w:val="clear" w:color="auto" w:fill="auto"/>
            <w:noWrap/>
            <w:hideMark/>
          </w:tcPr>
          <w:p w14:paraId="69EBF582"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3.55</w:t>
            </w:r>
          </w:p>
        </w:tc>
        <w:tc>
          <w:tcPr>
            <w:tcW w:w="939" w:type="pct"/>
            <w:tcBorders>
              <w:top w:val="nil"/>
              <w:bottom w:val="single" w:sz="8" w:space="0" w:color="auto"/>
            </w:tcBorders>
            <w:shd w:val="clear" w:color="auto" w:fill="auto"/>
            <w:noWrap/>
            <w:hideMark/>
          </w:tcPr>
          <w:p w14:paraId="1C365F5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3.1</w:t>
            </w:r>
          </w:p>
        </w:tc>
        <w:tc>
          <w:tcPr>
            <w:tcW w:w="1164" w:type="pct"/>
            <w:tcBorders>
              <w:top w:val="nil"/>
              <w:bottom w:val="single" w:sz="8" w:space="0" w:color="auto"/>
            </w:tcBorders>
            <w:shd w:val="clear" w:color="auto" w:fill="auto"/>
            <w:noWrap/>
            <w:hideMark/>
          </w:tcPr>
          <w:p w14:paraId="6CF50BCF"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5.31</w:t>
            </w:r>
          </w:p>
        </w:tc>
        <w:tc>
          <w:tcPr>
            <w:tcW w:w="1190" w:type="pct"/>
            <w:tcBorders>
              <w:top w:val="nil"/>
              <w:bottom w:val="single" w:sz="8" w:space="0" w:color="auto"/>
            </w:tcBorders>
            <w:shd w:val="clear" w:color="auto" w:fill="auto"/>
            <w:noWrap/>
            <w:hideMark/>
          </w:tcPr>
          <w:p w14:paraId="0FD2F7AB"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16.63</w:t>
            </w:r>
          </w:p>
        </w:tc>
      </w:tr>
    </w:tbl>
    <w:p w14:paraId="1DDC9B35" w14:textId="77777777" w:rsidR="001D083A" w:rsidRPr="00CF571C" w:rsidRDefault="001D083A" w:rsidP="00741E5D">
      <w:pPr>
        <w:jc w:val="both"/>
        <w:rPr>
          <w:rFonts w:ascii="Times New Roman" w:hAnsi="Times New Roman" w:cs="Times New Roman"/>
          <w:b/>
          <w:bCs/>
          <w:color w:val="000000" w:themeColor="text1"/>
          <w:sz w:val="21"/>
          <w:szCs w:val="21"/>
        </w:rPr>
      </w:pPr>
    </w:p>
    <w:p w14:paraId="333AF109" w14:textId="77777777" w:rsidR="00CC144A" w:rsidRPr="00CF571C" w:rsidRDefault="00CC144A"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Pr="00CF571C">
        <w:rPr>
          <w:rFonts w:ascii="Times New Roman" w:eastAsia="楷体" w:hAnsi="Times New Roman" w:cs="Times New Roman"/>
          <w:bCs/>
          <w:color w:val="000000" w:themeColor="text1"/>
          <w:kern w:val="2"/>
          <w:sz w:val="21"/>
          <w:szCs w:val="21"/>
        </w:rPr>
        <w:t>1</w:t>
      </w:r>
      <w:r w:rsidR="003F73D6" w:rsidRPr="00CF571C">
        <w:rPr>
          <w:rFonts w:ascii="Times New Roman" w:eastAsia="楷体" w:hAnsi="Times New Roman" w:cs="Times New Roman"/>
          <w:bCs/>
          <w:color w:val="000000" w:themeColor="text1"/>
          <w:kern w:val="2"/>
          <w:sz w:val="21"/>
          <w:szCs w:val="21"/>
        </w:rPr>
        <w:t>1</w:t>
      </w:r>
      <w:r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半径匹配与核匹配的横向影响结果</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311"/>
        <w:gridCol w:w="1599"/>
        <w:gridCol w:w="1600"/>
        <w:gridCol w:w="1984"/>
        <w:gridCol w:w="2028"/>
      </w:tblGrid>
      <w:tr w:rsidR="00CF571C" w:rsidRPr="00CF571C" w14:paraId="6B251026" w14:textId="77777777" w:rsidTr="00821184">
        <w:trPr>
          <w:trHeight w:val="265"/>
          <w:jc w:val="center"/>
        </w:trPr>
        <w:tc>
          <w:tcPr>
            <w:tcW w:w="769" w:type="pct"/>
            <w:tcBorders>
              <w:top w:val="single" w:sz="8" w:space="0" w:color="auto"/>
              <w:bottom w:val="single" w:sz="8" w:space="0" w:color="auto"/>
            </w:tcBorders>
            <w:shd w:val="clear" w:color="auto" w:fill="auto"/>
            <w:noWrap/>
            <w:vAlign w:val="center"/>
            <w:hideMark/>
          </w:tcPr>
          <w:p w14:paraId="773DA342" w14:textId="77777777" w:rsidR="00CC144A" w:rsidRPr="00CF571C" w:rsidRDefault="00CC144A" w:rsidP="00B636FD">
            <w:pPr>
              <w:jc w:val="center"/>
              <w:rPr>
                <w:rFonts w:ascii="Times New Roman" w:hAnsi="Times New Roman" w:cs="Times New Roman"/>
                <w:color w:val="000000" w:themeColor="text1"/>
                <w:sz w:val="21"/>
                <w:szCs w:val="21"/>
              </w:rPr>
            </w:pPr>
          </w:p>
        </w:tc>
        <w:tc>
          <w:tcPr>
            <w:tcW w:w="938" w:type="pct"/>
            <w:tcBorders>
              <w:top w:val="single" w:sz="8" w:space="0" w:color="auto"/>
              <w:bottom w:val="single" w:sz="8" w:space="0" w:color="auto"/>
            </w:tcBorders>
            <w:shd w:val="clear" w:color="auto" w:fill="auto"/>
            <w:noWrap/>
            <w:vAlign w:val="center"/>
            <w:hideMark/>
          </w:tcPr>
          <w:p w14:paraId="12AD15A3"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939" w:type="pct"/>
            <w:tcBorders>
              <w:top w:val="single" w:sz="8" w:space="0" w:color="auto"/>
              <w:bottom w:val="single" w:sz="8" w:space="0" w:color="auto"/>
            </w:tcBorders>
            <w:shd w:val="clear" w:color="auto" w:fill="auto"/>
            <w:noWrap/>
            <w:vAlign w:val="center"/>
            <w:hideMark/>
          </w:tcPr>
          <w:p w14:paraId="1523CF08"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164" w:type="pct"/>
            <w:tcBorders>
              <w:top w:val="single" w:sz="8" w:space="0" w:color="auto"/>
              <w:bottom w:val="single" w:sz="8" w:space="0" w:color="auto"/>
            </w:tcBorders>
            <w:shd w:val="clear" w:color="auto" w:fill="auto"/>
            <w:noWrap/>
            <w:vAlign w:val="center"/>
            <w:hideMark/>
          </w:tcPr>
          <w:p w14:paraId="19CA1DF5"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1190" w:type="pct"/>
            <w:tcBorders>
              <w:top w:val="single" w:sz="8" w:space="0" w:color="auto"/>
              <w:bottom w:val="single" w:sz="8" w:space="0" w:color="auto"/>
            </w:tcBorders>
            <w:shd w:val="clear" w:color="auto" w:fill="auto"/>
            <w:noWrap/>
            <w:vAlign w:val="center"/>
            <w:hideMark/>
          </w:tcPr>
          <w:p w14:paraId="79EBEE62"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20228708" w14:textId="77777777" w:rsidTr="00B636FD">
        <w:trPr>
          <w:trHeight w:val="265"/>
          <w:jc w:val="center"/>
        </w:trPr>
        <w:tc>
          <w:tcPr>
            <w:tcW w:w="5000" w:type="pct"/>
            <w:gridSpan w:val="5"/>
            <w:tcBorders>
              <w:top w:val="single" w:sz="8" w:space="0" w:color="auto"/>
              <w:bottom w:val="single" w:sz="8" w:space="0" w:color="auto"/>
            </w:tcBorders>
            <w:shd w:val="clear" w:color="auto" w:fill="auto"/>
            <w:noWrap/>
            <w:vAlign w:val="center"/>
          </w:tcPr>
          <w:p w14:paraId="07E96709" w14:textId="77777777" w:rsidR="00CC144A" w:rsidRPr="00CF571C" w:rsidRDefault="00CC144A" w:rsidP="00B636FD">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b/>
                <w:bCs/>
                <w:color w:val="000000" w:themeColor="text1"/>
                <w:sz w:val="21"/>
                <w:szCs w:val="21"/>
              </w:rPr>
              <w:t>半径匹配</w:t>
            </w:r>
          </w:p>
        </w:tc>
      </w:tr>
      <w:tr w:rsidR="00CF571C" w:rsidRPr="00CF571C" w14:paraId="4F400968" w14:textId="77777777" w:rsidTr="00B636FD">
        <w:trPr>
          <w:trHeight w:val="265"/>
          <w:jc w:val="center"/>
        </w:trPr>
        <w:tc>
          <w:tcPr>
            <w:tcW w:w="769" w:type="pct"/>
            <w:tcBorders>
              <w:top w:val="single" w:sz="8" w:space="0" w:color="auto"/>
              <w:bottom w:val="nil"/>
            </w:tcBorders>
            <w:shd w:val="clear" w:color="auto" w:fill="auto"/>
            <w:noWrap/>
            <w:vAlign w:val="center"/>
          </w:tcPr>
          <w:p w14:paraId="67A311AD" w14:textId="77777777" w:rsidR="00CC144A" w:rsidRPr="00CF571C" w:rsidRDefault="00CC144A" w:rsidP="00B636FD">
            <w:pPr>
              <w:jc w:val="center"/>
              <w:rPr>
                <w:rFonts w:ascii="Times New Roman" w:hAnsi="Times New Roman" w:cs="Times New Roman"/>
                <w:color w:val="000000" w:themeColor="text1"/>
                <w:sz w:val="21"/>
                <w:szCs w:val="21"/>
              </w:rPr>
            </w:pPr>
          </w:p>
        </w:tc>
        <w:tc>
          <w:tcPr>
            <w:tcW w:w="938" w:type="pct"/>
            <w:tcBorders>
              <w:top w:val="single" w:sz="8" w:space="0" w:color="auto"/>
              <w:bottom w:val="nil"/>
            </w:tcBorders>
            <w:shd w:val="clear" w:color="auto" w:fill="auto"/>
            <w:noWrap/>
            <w:vAlign w:val="center"/>
          </w:tcPr>
          <w:p w14:paraId="75E9F688"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1</w:t>
            </w:r>
            <w:r w:rsidRPr="00CF571C">
              <w:rPr>
                <w:rFonts w:ascii="Times New Roman" w:hAnsi="Times New Roman" w:cs="Times New Roman" w:hint="eastAsia"/>
                <w:color w:val="000000" w:themeColor="text1"/>
                <w:sz w:val="21"/>
                <w:szCs w:val="21"/>
              </w:rPr>
              <w:t>）</w:t>
            </w:r>
          </w:p>
        </w:tc>
        <w:tc>
          <w:tcPr>
            <w:tcW w:w="939" w:type="pct"/>
            <w:tcBorders>
              <w:top w:val="single" w:sz="8" w:space="0" w:color="auto"/>
              <w:bottom w:val="nil"/>
            </w:tcBorders>
            <w:shd w:val="clear" w:color="auto" w:fill="auto"/>
            <w:noWrap/>
            <w:vAlign w:val="center"/>
          </w:tcPr>
          <w:p w14:paraId="2BA3B3B2"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2</w:t>
            </w:r>
            <w:r w:rsidRPr="00CF571C">
              <w:rPr>
                <w:rFonts w:ascii="Times New Roman" w:hAnsi="Times New Roman" w:cs="Times New Roman" w:hint="eastAsia"/>
                <w:color w:val="000000" w:themeColor="text1"/>
                <w:sz w:val="21"/>
                <w:szCs w:val="21"/>
              </w:rPr>
              <w:t>）</w:t>
            </w:r>
          </w:p>
        </w:tc>
        <w:tc>
          <w:tcPr>
            <w:tcW w:w="1164" w:type="pct"/>
            <w:tcBorders>
              <w:top w:val="single" w:sz="8" w:space="0" w:color="auto"/>
              <w:bottom w:val="nil"/>
            </w:tcBorders>
            <w:shd w:val="clear" w:color="auto" w:fill="auto"/>
            <w:noWrap/>
            <w:vAlign w:val="center"/>
          </w:tcPr>
          <w:p w14:paraId="423189E8"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3</w:t>
            </w:r>
            <w:r w:rsidRPr="00CF571C">
              <w:rPr>
                <w:rFonts w:ascii="Times New Roman" w:hAnsi="Times New Roman" w:cs="Times New Roman" w:hint="eastAsia"/>
                <w:color w:val="000000" w:themeColor="text1"/>
                <w:sz w:val="21"/>
                <w:szCs w:val="21"/>
              </w:rPr>
              <w:t>）</w:t>
            </w:r>
          </w:p>
        </w:tc>
        <w:tc>
          <w:tcPr>
            <w:tcW w:w="1190" w:type="pct"/>
            <w:tcBorders>
              <w:top w:val="single" w:sz="8" w:space="0" w:color="auto"/>
              <w:bottom w:val="nil"/>
            </w:tcBorders>
            <w:shd w:val="clear" w:color="auto" w:fill="auto"/>
            <w:noWrap/>
            <w:vAlign w:val="center"/>
          </w:tcPr>
          <w:p w14:paraId="018465BF"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4</w:t>
            </w:r>
            <w:r w:rsidRPr="00CF571C">
              <w:rPr>
                <w:rFonts w:ascii="Times New Roman" w:hAnsi="Times New Roman" w:cs="Times New Roman" w:hint="eastAsia"/>
                <w:color w:val="000000" w:themeColor="text1"/>
                <w:sz w:val="21"/>
                <w:szCs w:val="21"/>
              </w:rPr>
              <w:t>）</w:t>
            </w:r>
          </w:p>
        </w:tc>
      </w:tr>
      <w:tr w:rsidR="00CF571C" w:rsidRPr="00CF571C" w14:paraId="14283BB7" w14:textId="77777777" w:rsidTr="00B636FD">
        <w:trPr>
          <w:trHeight w:val="265"/>
          <w:jc w:val="center"/>
        </w:trPr>
        <w:tc>
          <w:tcPr>
            <w:tcW w:w="769" w:type="pct"/>
            <w:tcBorders>
              <w:top w:val="nil"/>
            </w:tcBorders>
            <w:shd w:val="clear" w:color="auto" w:fill="auto"/>
            <w:noWrap/>
            <w:hideMark/>
          </w:tcPr>
          <w:p w14:paraId="66B5BD6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异省毗邻组</w:t>
            </w:r>
          </w:p>
        </w:tc>
        <w:tc>
          <w:tcPr>
            <w:tcW w:w="938" w:type="pct"/>
            <w:tcBorders>
              <w:top w:val="nil"/>
            </w:tcBorders>
            <w:shd w:val="clear" w:color="auto" w:fill="auto"/>
            <w:noWrap/>
            <w:hideMark/>
          </w:tcPr>
          <w:p w14:paraId="652F65C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0.0501</w:t>
            </w:r>
          </w:p>
        </w:tc>
        <w:tc>
          <w:tcPr>
            <w:tcW w:w="939" w:type="pct"/>
            <w:tcBorders>
              <w:top w:val="nil"/>
            </w:tcBorders>
            <w:shd w:val="clear" w:color="auto" w:fill="auto"/>
            <w:noWrap/>
            <w:hideMark/>
          </w:tcPr>
          <w:p w14:paraId="665FF222"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0.0082</w:t>
            </w:r>
          </w:p>
        </w:tc>
        <w:tc>
          <w:tcPr>
            <w:tcW w:w="1164" w:type="pct"/>
            <w:tcBorders>
              <w:top w:val="nil"/>
            </w:tcBorders>
            <w:shd w:val="clear" w:color="auto" w:fill="auto"/>
            <w:noWrap/>
            <w:hideMark/>
          </w:tcPr>
          <w:p w14:paraId="09D8EBB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0.0223</w:t>
            </w:r>
          </w:p>
        </w:tc>
        <w:tc>
          <w:tcPr>
            <w:tcW w:w="1190" w:type="pct"/>
            <w:tcBorders>
              <w:top w:val="nil"/>
            </w:tcBorders>
            <w:shd w:val="clear" w:color="auto" w:fill="auto"/>
            <w:noWrap/>
            <w:hideMark/>
          </w:tcPr>
          <w:p w14:paraId="61D71AB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0.0374</w:t>
            </w:r>
          </w:p>
        </w:tc>
      </w:tr>
      <w:tr w:rsidR="00CF571C" w:rsidRPr="00CF571C" w14:paraId="36A3D148" w14:textId="77777777" w:rsidTr="00DD119A">
        <w:trPr>
          <w:trHeight w:val="265"/>
          <w:jc w:val="center"/>
        </w:trPr>
        <w:tc>
          <w:tcPr>
            <w:tcW w:w="769" w:type="pct"/>
            <w:shd w:val="clear" w:color="auto" w:fill="auto"/>
            <w:noWrap/>
            <w:hideMark/>
          </w:tcPr>
          <w:p w14:paraId="6687AA8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异省不毗邻组</w:t>
            </w:r>
          </w:p>
        </w:tc>
        <w:tc>
          <w:tcPr>
            <w:tcW w:w="938" w:type="pct"/>
            <w:shd w:val="clear" w:color="auto" w:fill="auto"/>
            <w:noWrap/>
            <w:vAlign w:val="center"/>
            <w:hideMark/>
          </w:tcPr>
          <w:p w14:paraId="7DA5EF15" w14:textId="77777777" w:rsidR="00CC144A" w:rsidRPr="00CF571C" w:rsidRDefault="00CC144A" w:rsidP="00DD119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0.0615</w:t>
            </w:r>
          </w:p>
        </w:tc>
        <w:tc>
          <w:tcPr>
            <w:tcW w:w="939" w:type="pct"/>
            <w:shd w:val="clear" w:color="auto" w:fill="auto"/>
            <w:noWrap/>
            <w:vAlign w:val="center"/>
            <w:hideMark/>
          </w:tcPr>
          <w:p w14:paraId="61D1E400" w14:textId="77777777" w:rsidR="00CC144A" w:rsidRPr="00CF571C" w:rsidRDefault="00CC144A" w:rsidP="00DD119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0.0123</w:t>
            </w:r>
          </w:p>
        </w:tc>
        <w:tc>
          <w:tcPr>
            <w:tcW w:w="1164" w:type="pct"/>
            <w:shd w:val="clear" w:color="auto" w:fill="auto"/>
            <w:noWrap/>
            <w:vAlign w:val="center"/>
            <w:hideMark/>
          </w:tcPr>
          <w:p w14:paraId="4C24B914" w14:textId="77777777" w:rsidR="00CC144A" w:rsidRPr="00CF571C" w:rsidRDefault="00CC144A" w:rsidP="00DD119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0.0229</w:t>
            </w:r>
          </w:p>
        </w:tc>
        <w:tc>
          <w:tcPr>
            <w:tcW w:w="1190" w:type="pct"/>
            <w:shd w:val="clear" w:color="auto" w:fill="auto"/>
            <w:noWrap/>
            <w:vAlign w:val="center"/>
            <w:hideMark/>
          </w:tcPr>
          <w:p w14:paraId="37DD0F61" w14:textId="77777777" w:rsidR="00CC144A" w:rsidRPr="00CF571C" w:rsidRDefault="00CC144A" w:rsidP="00DD119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0.0431</w:t>
            </w:r>
          </w:p>
        </w:tc>
      </w:tr>
      <w:tr w:rsidR="00CF571C" w:rsidRPr="00CF571C" w14:paraId="02FA0630" w14:textId="77777777" w:rsidTr="00B636FD">
        <w:trPr>
          <w:trHeight w:val="265"/>
          <w:jc w:val="center"/>
        </w:trPr>
        <w:tc>
          <w:tcPr>
            <w:tcW w:w="769" w:type="pct"/>
            <w:shd w:val="clear" w:color="auto" w:fill="auto"/>
            <w:noWrap/>
            <w:hideMark/>
          </w:tcPr>
          <w:p w14:paraId="45A0973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处理效应</w:t>
            </w:r>
          </w:p>
        </w:tc>
        <w:tc>
          <w:tcPr>
            <w:tcW w:w="938" w:type="pct"/>
            <w:shd w:val="clear" w:color="auto" w:fill="auto"/>
            <w:noWrap/>
            <w:hideMark/>
          </w:tcPr>
          <w:p w14:paraId="3CD5ED9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-0.0113</w:t>
            </w:r>
            <w:r w:rsidR="0072467B" w:rsidRPr="00CF571C">
              <w:rPr>
                <w:rFonts w:ascii="Times New Roman" w:hAnsi="Times New Roman" w:cs="Times New Roman"/>
                <w:color w:val="000000" w:themeColor="text1"/>
                <w:sz w:val="21"/>
                <w:szCs w:val="21"/>
              </w:rPr>
              <w:t>***</w:t>
            </w:r>
          </w:p>
        </w:tc>
        <w:tc>
          <w:tcPr>
            <w:tcW w:w="939" w:type="pct"/>
            <w:shd w:val="clear" w:color="auto" w:fill="auto"/>
            <w:noWrap/>
            <w:hideMark/>
          </w:tcPr>
          <w:p w14:paraId="7607FD0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-0.0040</w:t>
            </w:r>
            <w:r w:rsidR="0072467B" w:rsidRPr="00CF571C">
              <w:rPr>
                <w:rFonts w:ascii="Times New Roman" w:hAnsi="Times New Roman" w:cs="Times New Roman"/>
                <w:color w:val="000000" w:themeColor="text1"/>
                <w:sz w:val="21"/>
                <w:szCs w:val="21"/>
              </w:rPr>
              <w:t>***</w:t>
            </w:r>
          </w:p>
        </w:tc>
        <w:tc>
          <w:tcPr>
            <w:tcW w:w="1164" w:type="pct"/>
            <w:shd w:val="clear" w:color="auto" w:fill="auto"/>
            <w:noWrap/>
            <w:hideMark/>
          </w:tcPr>
          <w:p w14:paraId="2B82496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-0.0006</w:t>
            </w:r>
            <w:r w:rsidR="0072467B" w:rsidRPr="00CF571C">
              <w:rPr>
                <w:rFonts w:ascii="Times New Roman" w:hAnsi="Times New Roman" w:cs="Times New Roman"/>
                <w:color w:val="000000" w:themeColor="text1"/>
                <w:sz w:val="21"/>
                <w:szCs w:val="21"/>
              </w:rPr>
              <w:t>***</w:t>
            </w:r>
          </w:p>
        </w:tc>
        <w:tc>
          <w:tcPr>
            <w:tcW w:w="1190" w:type="pct"/>
            <w:shd w:val="clear" w:color="auto" w:fill="auto"/>
            <w:noWrap/>
            <w:hideMark/>
          </w:tcPr>
          <w:p w14:paraId="40471B95"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-0.0056</w:t>
            </w:r>
            <w:r w:rsidR="0072467B" w:rsidRPr="00CF571C">
              <w:rPr>
                <w:rFonts w:ascii="Times New Roman" w:hAnsi="Times New Roman" w:cs="Times New Roman"/>
                <w:color w:val="000000" w:themeColor="text1"/>
                <w:sz w:val="21"/>
                <w:szCs w:val="21"/>
              </w:rPr>
              <w:t>***</w:t>
            </w:r>
          </w:p>
        </w:tc>
      </w:tr>
      <w:tr w:rsidR="00CF571C" w:rsidRPr="00CF571C" w14:paraId="381ABDB6" w14:textId="77777777" w:rsidTr="00B636FD">
        <w:trPr>
          <w:trHeight w:val="265"/>
          <w:jc w:val="center"/>
        </w:trPr>
        <w:tc>
          <w:tcPr>
            <w:tcW w:w="769" w:type="pct"/>
            <w:tcBorders>
              <w:bottom w:val="single" w:sz="8" w:space="0" w:color="auto"/>
            </w:tcBorders>
            <w:shd w:val="clear" w:color="auto" w:fill="auto"/>
            <w:noWrap/>
            <w:hideMark/>
          </w:tcPr>
          <w:p w14:paraId="4CCC17D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i/>
                <w:iCs/>
                <w:color w:val="000000" w:themeColor="text1"/>
                <w:sz w:val="21"/>
                <w:szCs w:val="21"/>
              </w:rPr>
              <w:t>t</w:t>
            </w:r>
            <w:r w:rsidRPr="00CF571C">
              <w:rPr>
                <w:rFonts w:ascii="Times New Roman" w:hAnsi="Times New Roman" w:cs="Times New Roman"/>
                <w:color w:val="000000" w:themeColor="text1"/>
                <w:sz w:val="21"/>
                <w:szCs w:val="21"/>
              </w:rPr>
              <w:t>值</w:t>
            </w:r>
          </w:p>
        </w:tc>
        <w:tc>
          <w:tcPr>
            <w:tcW w:w="938" w:type="pct"/>
            <w:tcBorders>
              <w:bottom w:val="single" w:sz="8" w:space="0" w:color="auto"/>
            </w:tcBorders>
            <w:shd w:val="clear" w:color="auto" w:fill="auto"/>
            <w:noWrap/>
            <w:hideMark/>
          </w:tcPr>
          <w:p w14:paraId="4CBC2425"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-10.58</w:t>
            </w:r>
          </w:p>
        </w:tc>
        <w:tc>
          <w:tcPr>
            <w:tcW w:w="939" w:type="pct"/>
            <w:tcBorders>
              <w:bottom w:val="single" w:sz="8" w:space="0" w:color="auto"/>
            </w:tcBorders>
            <w:shd w:val="clear" w:color="auto" w:fill="auto"/>
            <w:noWrap/>
            <w:hideMark/>
          </w:tcPr>
          <w:p w14:paraId="68C38C6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-22.49</w:t>
            </w:r>
          </w:p>
        </w:tc>
        <w:tc>
          <w:tcPr>
            <w:tcW w:w="1164" w:type="pct"/>
            <w:tcBorders>
              <w:bottom w:val="single" w:sz="8" w:space="0" w:color="auto"/>
            </w:tcBorders>
            <w:shd w:val="clear" w:color="auto" w:fill="auto"/>
            <w:noWrap/>
            <w:hideMark/>
          </w:tcPr>
          <w:p w14:paraId="30ED8FDA"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-12</w:t>
            </w:r>
          </w:p>
        </w:tc>
        <w:tc>
          <w:tcPr>
            <w:tcW w:w="1190" w:type="pct"/>
            <w:tcBorders>
              <w:bottom w:val="single" w:sz="8" w:space="0" w:color="auto"/>
            </w:tcBorders>
            <w:shd w:val="clear" w:color="auto" w:fill="auto"/>
            <w:noWrap/>
            <w:hideMark/>
          </w:tcPr>
          <w:p w14:paraId="24B4688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-8.8</w:t>
            </w:r>
          </w:p>
        </w:tc>
      </w:tr>
      <w:tr w:rsidR="00CF571C" w:rsidRPr="00CF571C" w14:paraId="3C30C1CE" w14:textId="77777777" w:rsidTr="00B636FD">
        <w:trPr>
          <w:trHeight w:val="265"/>
          <w:jc w:val="center"/>
        </w:trPr>
        <w:tc>
          <w:tcPr>
            <w:tcW w:w="5000" w:type="pct"/>
            <w:gridSpan w:val="5"/>
            <w:tcBorders>
              <w:top w:val="single" w:sz="8" w:space="0" w:color="auto"/>
              <w:bottom w:val="single" w:sz="8" w:space="0" w:color="auto"/>
            </w:tcBorders>
            <w:shd w:val="clear" w:color="auto" w:fill="auto"/>
            <w:noWrap/>
            <w:vAlign w:val="center"/>
          </w:tcPr>
          <w:p w14:paraId="74ECD192" w14:textId="77777777" w:rsidR="00CC144A" w:rsidRPr="00CF571C" w:rsidRDefault="00CC144A" w:rsidP="00B636FD">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b/>
                <w:bCs/>
                <w:color w:val="000000" w:themeColor="text1"/>
                <w:sz w:val="21"/>
                <w:szCs w:val="21"/>
              </w:rPr>
              <w:t>核匹配</w:t>
            </w:r>
          </w:p>
        </w:tc>
      </w:tr>
      <w:tr w:rsidR="00CF571C" w:rsidRPr="00CF571C" w14:paraId="3B513591" w14:textId="77777777" w:rsidTr="00B636FD">
        <w:trPr>
          <w:trHeight w:val="265"/>
          <w:jc w:val="center"/>
        </w:trPr>
        <w:tc>
          <w:tcPr>
            <w:tcW w:w="769" w:type="pct"/>
            <w:tcBorders>
              <w:top w:val="single" w:sz="8" w:space="0" w:color="auto"/>
              <w:bottom w:val="nil"/>
            </w:tcBorders>
            <w:shd w:val="clear" w:color="auto" w:fill="auto"/>
            <w:noWrap/>
            <w:vAlign w:val="center"/>
          </w:tcPr>
          <w:p w14:paraId="3587C7BD" w14:textId="77777777" w:rsidR="00CC144A" w:rsidRPr="00CF571C" w:rsidRDefault="00CC144A" w:rsidP="00B636FD">
            <w:pPr>
              <w:jc w:val="center"/>
              <w:rPr>
                <w:rFonts w:ascii="Times New Roman" w:hAnsi="Times New Roman" w:cs="Times New Roman"/>
                <w:color w:val="000000" w:themeColor="text1"/>
                <w:sz w:val="21"/>
                <w:szCs w:val="21"/>
              </w:rPr>
            </w:pPr>
          </w:p>
        </w:tc>
        <w:tc>
          <w:tcPr>
            <w:tcW w:w="938" w:type="pct"/>
            <w:tcBorders>
              <w:top w:val="single" w:sz="8" w:space="0" w:color="auto"/>
              <w:bottom w:val="nil"/>
            </w:tcBorders>
            <w:shd w:val="clear" w:color="auto" w:fill="auto"/>
            <w:noWrap/>
            <w:vAlign w:val="center"/>
          </w:tcPr>
          <w:p w14:paraId="35067793"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5</w:t>
            </w:r>
            <w:r w:rsidRPr="00CF571C">
              <w:rPr>
                <w:rFonts w:ascii="Times New Roman" w:hAnsi="Times New Roman" w:cs="Times New Roman" w:hint="eastAsia"/>
                <w:color w:val="000000" w:themeColor="text1"/>
                <w:sz w:val="21"/>
                <w:szCs w:val="21"/>
              </w:rPr>
              <w:t>）</w:t>
            </w:r>
          </w:p>
        </w:tc>
        <w:tc>
          <w:tcPr>
            <w:tcW w:w="939" w:type="pct"/>
            <w:tcBorders>
              <w:top w:val="single" w:sz="8" w:space="0" w:color="auto"/>
              <w:bottom w:val="nil"/>
            </w:tcBorders>
            <w:shd w:val="clear" w:color="auto" w:fill="auto"/>
            <w:noWrap/>
            <w:vAlign w:val="center"/>
          </w:tcPr>
          <w:p w14:paraId="54261B0B"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6</w:t>
            </w:r>
            <w:r w:rsidRPr="00CF571C">
              <w:rPr>
                <w:rFonts w:ascii="Times New Roman" w:hAnsi="Times New Roman" w:cs="Times New Roman" w:hint="eastAsia"/>
                <w:color w:val="000000" w:themeColor="text1"/>
                <w:sz w:val="21"/>
                <w:szCs w:val="21"/>
              </w:rPr>
              <w:t>）</w:t>
            </w:r>
          </w:p>
        </w:tc>
        <w:tc>
          <w:tcPr>
            <w:tcW w:w="1164" w:type="pct"/>
            <w:tcBorders>
              <w:top w:val="single" w:sz="8" w:space="0" w:color="auto"/>
              <w:bottom w:val="nil"/>
            </w:tcBorders>
            <w:shd w:val="clear" w:color="auto" w:fill="auto"/>
            <w:noWrap/>
            <w:vAlign w:val="center"/>
          </w:tcPr>
          <w:p w14:paraId="54E84A43"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7</w:t>
            </w:r>
            <w:r w:rsidRPr="00CF571C">
              <w:rPr>
                <w:rFonts w:ascii="Times New Roman" w:hAnsi="Times New Roman" w:cs="Times New Roman" w:hint="eastAsia"/>
                <w:color w:val="000000" w:themeColor="text1"/>
                <w:sz w:val="21"/>
                <w:szCs w:val="21"/>
              </w:rPr>
              <w:t>）</w:t>
            </w:r>
          </w:p>
        </w:tc>
        <w:tc>
          <w:tcPr>
            <w:tcW w:w="1190" w:type="pct"/>
            <w:tcBorders>
              <w:top w:val="single" w:sz="8" w:space="0" w:color="auto"/>
              <w:bottom w:val="nil"/>
            </w:tcBorders>
            <w:shd w:val="clear" w:color="auto" w:fill="auto"/>
            <w:noWrap/>
            <w:vAlign w:val="center"/>
          </w:tcPr>
          <w:p w14:paraId="6E75E14D" w14:textId="77777777" w:rsidR="00CC144A" w:rsidRPr="00CF571C" w:rsidRDefault="00CC144A"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8</w:t>
            </w:r>
            <w:r w:rsidRPr="00CF571C">
              <w:rPr>
                <w:rFonts w:ascii="Times New Roman" w:hAnsi="Times New Roman" w:cs="Times New Roman" w:hint="eastAsia"/>
                <w:color w:val="000000" w:themeColor="text1"/>
                <w:sz w:val="21"/>
                <w:szCs w:val="21"/>
              </w:rPr>
              <w:t>）</w:t>
            </w:r>
          </w:p>
        </w:tc>
      </w:tr>
      <w:tr w:rsidR="00CF571C" w:rsidRPr="00CF571C" w14:paraId="5AEC2757" w14:textId="77777777" w:rsidTr="00B636FD">
        <w:trPr>
          <w:trHeight w:val="265"/>
          <w:jc w:val="center"/>
        </w:trPr>
        <w:tc>
          <w:tcPr>
            <w:tcW w:w="769" w:type="pct"/>
            <w:tcBorders>
              <w:top w:val="nil"/>
            </w:tcBorders>
            <w:shd w:val="clear" w:color="auto" w:fill="auto"/>
            <w:noWrap/>
            <w:hideMark/>
          </w:tcPr>
          <w:p w14:paraId="3580D96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异省毗邻组</w:t>
            </w:r>
          </w:p>
        </w:tc>
        <w:tc>
          <w:tcPr>
            <w:tcW w:w="938" w:type="pct"/>
            <w:tcBorders>
              <w:top w:val="nil"/>
            </w:tcBorders>
            <w:shd w:val="clear" w:color="auto" w:fill="auto"/>
            <w:noWrap/>
            <w:vAlign w:val="center"/>
            <w:hideMark/>
          </w:tcPr>
          <w:p w14:paraId="2B2173E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0.0501</w:t>
            </w:r>
          </w:p>
        </w:tc>
        <w:tc>
          <w:tcPr>
            <w:tcW w:w="939" w:type="pct"/>
            <w:tcBorders>
              <w:top w:val="nil"/>
            </w:tcBorders>
            <w:shd w:val="clear" w:color="auto" w:fill="auto"/>
            <w:noWrap/>
            <w:vAlign w:val="center"/>
            <w:hideMark/>
          </w:tcPr>
          <w:p w14:paraId="3D6827D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0.0082</w:t>
            </w:r>
          </w:p>
        </w:tc>
        <w:tc>
          <w:tcPr>
            <w:tcW w:w="1164" w:type="pct"/>
            <w:tcBorders>
              <w:top w:val="nil"/>
            </w:tcBorders>
            <w:shd w:val="clear" w:color="auto" w:fill="auto"/>
            <w:noWrap/>
            <w:vAlign w:val="center"/>
            <w:hideMark/>
          </w:tcPr>
          <w:p w14:paraId="5FCCD1B8"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0.0223</w:t>
            </w:r>
          </w:p>
        </w:tc>
        <w:tc>
          <w:tcPr>
            <w:tcW w:w="1190" w:type="pct"/>
            <w:tcBorders>
              <w:top w:val="nil"/>
            </w:tcBorders>
            <w:shd w:val="clear" w:color="auto" w:fill="auto"/>
            <w:noWrap/>
            <w:vAlign w:val="center"/>
            <w:hideMark/>
          </w:tcPr>
          <w:p w14:paraId="4F967AA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0.0374</w:t>
            </w:r>
          </w:p>
        </w:tc>
      </w:tr>
      <w:tr w:rsidR="00CF571C" w:rsidRPr="00CF571C" w14:paraId="28697FAB" w14:textId="77777777" w:rsidTr="00B636FD">
        <w:trPr>
          <w:trHeight w:val="265"/>
          <w:jc w:val="center"/>
        </w:trPr>
        <w:tc>
          <w:tcPr>
            <w:tcW w:w="769" w:type="pct"/>
            <w:shd w:val="clear" w:color="auto" w:fill="auto"/>
            <w:noWrap/>
            <w:hideMark/>
          </w:tcPr>
          <w:p w14:paraId="30AE2A2B"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异省不毗邻组</w:t>
            </w:r>
          </w:p>
        </w:tc>
        <w:tc>
          <w:tcPr>
            <w:tcW w:w="938" w:type="pct"/>
            <w:shd w:val="clear" w:color="auto" w:fill="auto"/>
            <w:noWrap/>
            <w:vAlign w:val="center"/>
            <w:hideMark/>
          </w:tcPr>
          <w:p w14:paraId="24948D3D"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0.0615</w:t>
            </w:r>
          </w:p>
        </w:tc>
        <w:tc>
          <w:tcPr>
            <w:tcW w:w="939" w:type="pct"/>
            <w:shd w:val="clear" w:color="auto" w:fill="auto"/>
            <w:noWrap/>
            <w:vAlign w:val="center"/>
            <w:hideMark/>
          </w:tcPr>
          <w:p w14:paraId="71FB19ED"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0.0122</w:t>
            </w:r>
          </w:p>
        </w:tc>
        <w:tc>
          <w:tcPr>
            <w:tcW w:w="1164" w:type="pct"/>
            <w:shd w:val="clear" w:color="auto" w:fill="auto"/>
            <w:noWrap/>
            <w:vAlign w:val="center"/>
            <w:hideMark/>
          </w:tcPr>
          <w:p w14:paraId="491E7EDA"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0.0229</w:t>
            </w:r>
          </w:p>
        </w:tc>
        <w:tc>
          <w:tcPr>
            <w:tcW w:w="1190" w:type="pct"/>
            <w:shd w:val="clear" w:color="auto" w:fill="auto"/>
            <w:noWrap/>
            <w:vAlign w:val="center"/>
            <w:hideMark/>
          </w:tcPr>
          <w:p w14:paraId="31F53E7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0.0430</w:t>
            </w:r>
          </w:p>
        </w:tc>
      </w:tr>
      <w:tr w:rsidR="00CF571C" w:rsidRPr="00CF571C" w14:paraId="587360CE" w14:textId="77777777" w:rsidTr="00B636FD">
        <w:trPr>
          <w:trHeight w:val="265"/>
          <w:jc w:val="center"/>
        </w:trPr>
        <w:tc>
          <w:tcPr>
            <w:tcW w:w="769" w:type="pct"/>
            <w:tcBorders>
              <w:bottom w:val="nil"/>
            </w:tcBorders>
            <w:shd w:val="clear" w:color="auto" w:fill="auto"/>
            <w:noWrap/>
            <w:hideMark/>
          </w:tcPr>
          <w:p w14:paraId="72539E4E"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处理效应</w:t>
            </w:r>
          </w:p>
        </w:tc>
        <w:tc>
          <w:tcPr>
            <w:tcW w:w="938" w:type="pct"/>
            <w:tcBorders>
              <w:bottom w:val="nil"/>
            </w:tcBorders>
            <w:shd w:val="clear" w:color="auto" w:fill="auto"/>
            <w:noWrap/>
            <w:vAlign w:val="center"/>
            <w:hideMark/>
          </w:tcPr>
          <w:p w14:paraId="0CED18B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-0.0113</w:t>
            </w:r>
            <w:r w:rsidR="0072467B" w:rsidRPr="00CF571C">
              <w:rPr>
                <w:rFonts w:ascii="Times New Roman" w:hAnsi="Times New Roman" w:cs="Times New Roman"/>
                <w:color w:val="000000" w:themeColor="text1"/>
                <w:sz w:val="21"/>
                <w:szCs w:val="21"/>
              </w:rPr>
              <w:t>***</w:t>
            </w:r>
          </w:p>
        </w:tc>
        <w:tc>
          <w:tcPr>
            <w:tcW w:w="939" w:type="pct"/>
            <w:tcBorders>
              <w:bottom w:val="nil"/>
            </w:tcBorders>
            <w:shd w:val="clear" w:color="auto" w:fill="auto"/>
            <w:noWrap/>
            <w:vAlign w:val="center"/>
            <w:hideMark/>
          </w:tcPr>
          <w:p w14:paraId="7ED9DA0D"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-0.0040</w:t>
            </w:r>
            <w:r w:rsidR="0072467B" w:rsidRPr="00CF571C">
              <w:rPr>
                <w:rFonts w:ascii="Times New Roman" w:hAnsi="Times New Roman" w:cs="Times New Roman"/>
                <w:color w:val="000000" w:themeColor="text1"/>
                <w:sz w:val="21"/>
                <w:szCs w:val="21"/>
              </w:rPr>
              <w:t>***</w:t>
            </w:r>
          </w:p>
        </w:tc>
        <w:tc>
          <w:tcPr>
            <w:tcW w:w="1164" w:type="pct"/>
            <w:tcBorders>
              <w:bottom w:val="nil"/>
            </w:tcBorders>
            <w:shd w:val="clear" w:color="auto" w:fill="auto"/>
            <w:noWrap/>
            <w:vAlign w:val="center"/>
            <w:hideMark/>
          </w:tcPr>
          <w:p w14:paraId="068F200F"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-0.0006</w:t>
            </w:r>
            <w:r w:rsidR="0072467B" w:rsidRPr="00CF571C">
              <w:rPr>
                <w:rFonts w:ascii="Times New Roman" w:hAnsi="Times New Roman" w:cs="Times New Roman"/>
                <w:color w:val="000000" w:themeColor="text1"/>
                <w:sz w:val="21"/>
                <w:szCs w:val="21"/>
              </w:rPr>
              <w:t>***</w:t>
            </w:r>
          </w:p>
        </w:tc>
        <w:tc>
          <w:tcPr>
            <w:tcW w:w="1190" w:type="pct"/>
            <w:tcBorders>
              <w:bottom w:val="nil"/>
            </w:tcBorders>
            <w:shd w:val="clear" w:color="auto" w:fill="auto"/>
            <w:noWrap/>
            <w:vAlign w:val="center"/>
            <w:hideMark/>
          </w:tcPr>
          <w:p w14:paraId="3BCD9253"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-0.0056</w:t>
            </w:r>
            <w:r w:rsidR="0072467B" w:rsidRPr="00CF571C">
              <w:rPr>
                <w:rFonts w:ascii="Times New Roman" w:hAnsi="Times New Roman" w:cs="Times New Roman"/>
                <w:color w:val="000000" w:themeColor="text1"/>
                <w:sz w:val="21"/>
                <w:szCs w:val="21"/>
              </w:rPr>
              <w:t>***</w:t>
            </w:r>
          </w:p>
        </w:tc>
      </w:tr>
      <w:tr w:rsidR="00CC144A" w:rsidRPr="00CF571C" w14:paraId="452704EC" w14:textId="77777777" w:rsidTr="00821184">
        <w:trPr>
          <w:trHeight w:val="265"/>
          <w:jc w:val="center"/>
        </w:trPr>
        <w:tc>
          <w:tcPr>
            <w:tcW w:w="769" w:type="pct"/>
            <w:tcBorders>
              <w:top w:val="nil"/>
              <w:bottom w:val="single" w:sz="8" w:space="0" w:color="auto"/>
            </w:tcBorders>
            <w:shd w:val="clear" w:color="auto" w:fill="auto"/>
            <w:noWrap/>
            <w:hideMark/>
          </w:tcPr>
          <w:p w14:paraId="5D5592D4"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i/>
                <w:iCs/>
                <w:color w:val="000000" w:themeColor="text1"/>
                <w:sz w:val="21"/>
                <w:szCs w:val="21"/>
              </w:rPr>
              <w:t>t</w:t>
            </w:r>
            <w:r w:rsidRPr="00CF571C">
              <w:rPr>
                <w:rFonts w:ascii="Times New Roman" w:hAnsi="Times New Roman" w:cs="Times New Roman"/>
                <w:color w:val="000000" w:themeColor="text1"/>
                <w:sz w:val="21"/>
                <w:szCs w:val="21"/>
              </w:rPr>
              <w:t>值</w:t>
            </w:r>
          </w:p>
        </w:tc>
        <w:tc>
          <w:tcPr>
            <w:tcW w:w="938" w:type="pct"/>
            <w:tcBorders>
              <w:top w:val="nil"/>
              <w:bottom w:val="single" w:sz="8" w:space="0" w:color="auto"/>
            </w:tcBorders>
            <w:shd w:val="clear" w:color="auto" w:fill="auto"/>
            <w:noWrap/>
            <w:vAlign w:val="center"/>
            <w:hideMark/>
          </w:tcPr>
          <w:p w14:paraId="36EEC09C"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-10.58</w:t>
            </w:r>
          </w:p>
        </w:tc>
        <w:tc>
          <w:tcPr>
            <w:tcW w:w="939" w:type="pct"/>
            <w:tcBorders>
              <w:top w:val="nil"/>
              <w:bottom w:val="single" w:sz="8" w:space="0" w:color="auto"/>
            </w:tcBorders>
            <w:shd w:val="clear" w:color="auto" w:fill="auto"/>
            <w:noWrap/>
            <w:vAlign w:val="center"/>
            <w:hideMark/>
          </w:tcPr>
          <w:p w14:paraId="005FE23D"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-22.36</w:t>
            </w:r>
          </w:p>
        </w:tc>
        <w:tc>
          <w:tcPr>
            <w:tcW w:w="1164" w:type="pct"/>
            <w:tcBorders>
              <w:top w:val="nil"/>
              <w:bottom w:val="single" w:sz="8" w:space="0" w:color="auto"/>
            </w:tcBorders>
            <w:shd w:val="clear" w:color="auto" w:fill="auto"/>
            <w:noWrap/>
            <w:vAlign w:val="center"/>
            <w:hideMark/>
          </w:tcPr>
          <w:p w14:paraId="7976EF29"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-11.98</w:t>
            </w:r>
          </w:p>
        </w:tc>
        <w:tc>
          <w:tcPr>
            <w:tcW w:w="1190" w:type="pct"/>
            <w:tcBorders>
              <w:top w:val="nil"/>
              <w:bottom w:val="single" w:sz="8" w:space="0" w:color="auto"/>
            </w:tcBorders>
            <w:shd w:val="clear" w:color="auto" w:fill="auto"/>
            <w:noWrap/>
            <w:vAlign w:val="center"/>
            <w:hideMark/>
          </w:tcPr>
          <w:p w14:paraId="62C1F027" w14:textId="77777777" w:rsidR="00CC144A" w:rsidRPr="00CF571C" w:rsidRDefault="00CC144A" w:rsidP="00CC144A">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-8.79</w:t>
            </w:r>
          </w:p>
        </w:tc>
      </w:tr>
    </w:tbl>
    <w:p w14:paraId="04F4BC23" w14:textId="77777777" w:rsidR="008830D4" w:rsidRPr="00CF571C" w:rsidRDefault="008830D4" w:rsidP="00741E5D">
      <w:pPr>
        <w:jc w:val="both"/>
        <w:rPr>
          <w:rFonts w:ascii="Times New Roman" w:hAnsi="Times New Roman" w:cs="Times New Roman"/>
          <w:b/>
          <w:bCs/>
          <w:color w:val="000000" w:themeColor="text1"/>
          <w:sz w:val="21"/>
          <w:szCs w:val="21"/>
        </w:rPr>
      </w:pPr>
    </w:p>
    <w:p w14:paraId="3BE23B7E" w14:textId="77777777" w:rsidR="001C7654" w:rsidRPr="00CF571C" w:rsidRDefault="007F6C52" w:rsidP="00536E76">
      <w:pPr>
        <w:ind w:firstLineChars="200" w:firstLine="420"/>
        <w:jc w:val="both"/>
        <w:rPr>
          <w:rFonts w:ascii="Times New Roman" w:eastAsia="黑体" w:hAnsi="Times New Roman" w:cs="Times New Roman"/>
          <w:bCs/>
          <w:color w:val="000000" w:themeColor="text1"/>
          <w:kern w:val="2"/>
          <w:sz w:val="21"/>
          <w:szCs w:val="21"/>
        </w:rPr>
      </w:pPr>
      <w:r w:rsidRPr="00CF571C">
        <w:rPr>
          <w:rFonts w:hint="eastAsia"/>
          <w:bCs/>
          <w:color w:val="000000" w:themeColor="text1"/>
          <w:sz w:val="21"/>
          <w:szCs w:val="21"/>
        </w:rPr>
        <w:t>进一步地，我们将纵向影响和横向影响进行比较。</w:t>
      </w:r>
      <w:r w:rsidR="001B227D" w:rsidRPr="00CF571C">
        <w:rPr>
          <w:rFonts w:hint="eastAsia"/>
          <w:bCs/>
          <w:color w:val="000000" w:themeColor="text1"/>
          <w:sz w:val="21"/>
          <w:szCs w:val="21"/>
        </w:rPr>
        <w:t>如表</w:t>
      </w:r>
      <w:r w:rsidR="001B227D" w:rsidRPr="00CF571C">
        <w:rPr>
          <w:rFonts w:ascii="Times New Roman" w:hAnsi="Times New Roman" w:cs="Times New Roman"/>
          <w:bCs/>
          <w:color w:val="000000" w:themeColor="text1"/>
          <w:sz w:val="21"/>
          <w:szCs w:val="21"/>
        </w:rPr>
        <w:t>1</w:t>
      </w:r>
      <w:r w:rsidR="003F73D6" w:rsidRPr="00CF571C">
        <w:rPr>
          <w:rFonts w:ascii="Times New Roman" w:hAnsi="Times New Roman" w:cs="Times New Roman"/>
          <w:bCs/>
          <w:color w:val="000000" w:themeColor="text1"/>
          <w:sz w:val="21"/>
          <w:szCs w:val="21"/>
        </w:rPr>
        <w:t>2</w:t>
      </w:r>
      <w:r w:rsidR="001B227D" w:rsidRPr="00CF571C">
        <w:rPr>
          <w:rFonts w:hint="eastAsia"/>
          <w:bCs/>
          <w:color w:val="000000" w:themeColor="text1"/>
          <w:sz w:val="21"/>
          <w:szCs w:val="21"/>
        </w:rPr>
        <w:t>所示，</w:t>
      </w:r>
      <w:r w:rsidR="00FB253F" w:rsidRPr="00CF571C">
        <w:rPr>
          <w:rFonts w:hint="eastAsia"/>
          <w:bCs/>
          <w:color w:val="000000" w:themeColor="text1"/>
          <w:sz w:val="21"/>
          <w:szCs w:val="21"/>
        </w:rPr>
        <w:t>与最近邻匹配</w:t>
      </w:r>
      <w:r w:rsidR="001B227D" w:rsidRPr="00CF571C">
        <w:rPr>
          <w:rFonts w:hint="eastAsia"/>
          <w:bCs/>
          <w:color w:val="000000" w:themeColor="text1"/>
          <w:sz w:val="21"/>
          <w:szCs w:val="21"/>
        </w:rPr>
        <w:t>的结果一致</w:t>
      </w:r>
      <w:r w:rsidR="00FB253F" w:rsidRPr="00CF571C">
        <w:rPr>
          <w:rFonts w:hint="eastAsia"/>
          <w:bCs/>
          <w:color w:val="000000" w:themeColor="text1"/>
          <w:sz w:val="21"/>
          <w:szCs w:val="21"/>
        </w:rPr>
        <w:t>，</w:t>
      </w:r>
      <w:r w:rsidR="001B227D" w:rsidRPr="00CF571C">
        <w:rPr>
          <w:rFonts w:hint="eastAsia"/>
          <w:bCs/>
          <w:color w:val="000000" w:themeColor="text1"/>
          <w:sz w:val="21"/>
          <w:szCs w:val="21"/>
        </w:rPr>
        <w:t>使用</w:t>
      </w:r>
      <w:r w:rsidRPr="00CF571C">
        <w:rPr>
          <w:rFonts w:hint="eastAsia"/>
          <w:bCs/>
          <w:color w:val="000000" w:themeColor="text1"/>
          <w:sz w:val="21"/>
          <w:szCs w:val="21"/>
        </w:rPr>
        <w:t>半径匹配和核匹配</w:t>
      </w:r>
      <w:r w:rsidR="001B227D" w:rsidRPr="00CF571C">
        <w:rPr>
          <w:rFonts w:hint="eastAsia"/>
          <w:bCs/>
          <w:color w:val="000000" w:themeColor="text1"/>
          <w:sz w:val="21"/>
          <w:szCs w:val="21"/>
        </w:rPr>
        <w:t>后</w:t>
      </w:r>
      <w:r w:rsidR="00FB253F" w:rsidRPr="00CF571C">
        <w:rPr>
          <w:rFonts w:hint="eastAsia"/>
          <w:bCs/>
          <w:color w:val="000000" w:themeColor="text1"/>
          <w:sz w:val="21"/>
          <w:szCs w:val="21"/>
        </w:rPr>
        <w:t>，对于教育和科技支出，</w:t>
      </w:r>
      <w:r w:rsidR="001B227D" w:rsidRPr="00CF571C">
        <w:rPr>
          <w:rFonts w:hint="eastAsia"/>
          <w:bCs/>
          <w:color w:val="000000" w:themeColor="text1"/>
          <w:sz w:val="21"/>
          <w:szCs w:val="21"/>
        </w:rPr>
        <w:t>省级纵向影响的系数绝对值较小，毗邻横向影响的系数绝对值较大，横向因素更为主导。对于医疗卫生支出和社会保障支出，省级纵向影响的系数绝对值较大，毗邻横向影响的系数绝对值较小，纵向因素更为主导。</w:t>
      </w:r>
      <w:r w:rsidR="001E0098" w:rsidRPr="00CF571C">
        <w:rPr>
          <w:rFonts w:hint="eastAsia"/>
          <w:bCs/>
          <w:color w:val="000000" w:themeColor="text1"/>
          <w:sz w:val="21"/>
          <w:szCs w:val="21"/>
        </w:rPr>
        <w:t>再次证明了城市</w:t>
      </w:r>
      <w:r w:rsidR="00670E85" w:rsidRPr="00CF571C">
        <w:rPr>
          <w:rFonts w:hint="eastAsia"/>
          <w:bCs/>
          <w:color w:val="000000" w:themeColor="text1"/>
          <w:sz w:val="21"/>
          <w:szCs w:val="21"/>
        </w:rPr>
        <w:t>间</w:t>
      </w:r>
      <w:r w:rsidR="001B227D" w:rsidRPr="00CF571C">
        <w:rPr>
          <w:rFonts w:hint="eastAsia"/>
          <w:bCs/>
          <w:color w:val="000000" w:themeColor="text1"/>
          <w:sz w:val="21"/>
          <w:szCs w:val="21"/>
        </w:rPr>
        <w:t>同时受两种力量影响时，</w:t>
      </w:r>
      <w:r w:rsidR="001B227D" w:rsidRPr="00CF571C">
        <w:rPr>
          <w:bCs/>
          <w:color w:val="000000" w:themeColor="text1"/>
          <w:sz w:val="21"/>
          <w:szCs w:val="21"/>
        </w:rPr>
        <w:t>对于教育和科技支出</w:t>
      </w:r>
      <w:r w:rsidR="00670E85" w:rsidRPr="00CF571C">
        <w:rPr>
          <w:rFonts w:hint="eastAsia"/>
          <w:bCs/>
          <w:color w:val="000000" w:themeColor="text1"/>
          <w:sz w:val="21"/>
          <w:szCs w:val="21"/>
        </w:rPr>
        <w:t>差异</w:t>
      </w:r>
      <w:r w:rsidR="001B227D" w:rsidRPr="00CF571C">
        <w:rPr>
          <w:bCs/>
          <w:color w:val="000000" w:themeColor="text1"/>
          <w:sz w:val="21"/>
          <w:szCs w:val="21"/>
        </w:rPr>
        <w:t>，</w:t>
      </w:r>
      <w:r w:rsidR="001B227D" w:rsidRPr="00CF571C">
        <w:rPr>
          <w:rFonts w:hint="eastAsia"/>
          <w:bCs/>
          <w:color w:val="000000" w:themeColor="text1"/>
          <w:sz w:val="21"/>
          <w:szCs w:val="21"/>
        </w:rPr>
        <w:t>横</w:t>
      </w:r>
      <w:r w:rsidR="001B227D" w:rsidRPr="00CF571C">
        <w:rPr>
          <w:bCs/>
          <w:color w:val="000000" w:themeColor="text1"/>
          <w:sz w:val="21"/>
          <w:szCs w:val="21"/>
        </w:rPr>
        <w:t>向趋同</w:t>
      </w:r>
      <w:r w:rsidR="001B227D" w:rsidRPr="00CF571C">
        <w:rPr>
          <w:rFonts w:hint="eastAsia"/>
          <w:bCs/>
          <w:color w:val="000000" w:themeColor="text1"/>
          <w:sz w:val="21"/>
          <w:szCs w:val="21"/>
        </w:rPr>
        <w:t>效果更为明显</w:t>
      </w:r>
      <w:r w:rsidR="001B227D" w:rsidRPr="00CF571C">
        <w:rPr>
          <w:bCs/>
          <w:color w:val="000000" w:themeColor="text1"/>
          <w:sz w:val="21"/>
          <w:szCs w:val="21"/>
        </w:rPr>
        <w:t>；对于医疗卫生和社会保障支出</w:t>
      </w:r>
      <w:r w:rsidR="00670E85" w:rsidRPr="00CF571C">
        <w:rPr>
          <w:rFonts w:hint="eastAsia"/>
          <w:bCs/>
          <w:color w:val="000000" w:themeColor="text1"/>
          <w:sz w:val="21"/>
          <w:szCs w:val="21"/>
        </w:rPr>
        <w:t>差异</w:t>
      </w:r>
      <w:r w:rsidR="001B227D" w:rsidRPr="00CF571C">
        <w:rPr>
          <w:bCs/>
          <w:color w:val="000000" w:themeColor="text1"/>
          <w:sz w:val="21"/>
          <w:szCs w:val="21"/>
        </w:rPr>
        <w:t>，省级纵向</w:t>
      </w:r>
      <w:r w:rsidR="00346D17" w:rsidRPr="00CF571C">
        <w:rPr>
          <w:rFonts w:hint="eastAsia"/>
          <w:bCs/>
          <w:color w:val="000000" w:themeColor="text1"/>
          <w:sz w:val="21"/>
          <w:szCs w:val="21"/>
        </w:rPr>
        <w:t>统筹效果</w:t>
      </w:r>
      <w:r w:rsidR="001B227D" w:rsidRPr="00CF571C">
        <w:rPr>
          <w:bCs/>
          <w:color w:val="000000" w:themeColor="text1"/>
          <w:sz w:val="21"/>
          <w:szCs w:val="21"/>
        </w:rPr>
        <w:t>更</w:t>
      </w:r>
      <w:r w:rsidR="001B227D" w:rsidRPr="00CF571C">
        <w:rPr>
          <w:rFonts w:hint="eastAsia"/>
          <w:bCs/>
          <w:color w:val="000000" w:themeColor="text1"/>
          <w:sz w:val="21"/>
          <w:szCs w:val="21"/>
        </w:rPr>
        <w:t>为明显</w:t>
      </w:r>
      <w:r w:rsidR="001B227D" w:rsidRPr="00CF571C">
        <w:rPr>
          <w:bCs/>
          <w:color w:val="000000" w:themeColor="text1"/>
          <w:sz w:val="21"/>
          <w:szCs w:val="21"/>
        </w:rPr>
        <w:t>。</w:t>
      </w:r>
    </w:p>
    <w:p w14:paraId="71113420" w14:textId="77777777" w:rsidR="001C7654" w:rsidRPr="00CF571C" w:rsidRDefault="001C7654" w:rsidP="00EE122F">
      <w:pPr>
        <w:widowControl w:val="0"/>
        <w:adjustRightInd w:val="0"/>
        <w:snapToGrid w:val="0"/>
        <w:jc w:val="both"/>
        <w:rPr>
          <w:rFonts w:ascii="Times New Roman" w:eastAsia="黑体" w:hAnsi="Times New Roman" w:cs="Times New Roman"/>
          <w:bCs/>
          <w:color w:val="000000" w:themeColor="text1"/>
          <w:kern w:val="2"/>
          <w:sz w:val="21"/>
          <w:szCs w:val="21"/>
        </w:rPr>
      </w:pPr>
    </w:p>
    <w:p w14:paraId="3C09AA48" w14:textId="77777777" w:rsidR="00CB4743" w:rsidRPr="00CF571C" w:rsidRDefault="00EE122F" w:rsidP="007529E0">
      <w:pPr>
        <w:widowControl w:val="0"/>
        <w:adjustRightInd w:val="0"/>
        <w:snapToGrid w:val="0"/>
        <w:jc w:val="center"/>
        <w:rPr>
          <w:rFonts w:ascii="Times New Roman" w:eastAsia="楷体" w:hAnsi="Times New Roman" w:cs="Times New Roman"/>
          <w:bCs/>
          <w:color w:val="000000" w:themeColor="text1"/>
          <w:kern w:val="2"/>
          <w:sz w:val="21"/>
          <w:szCs w:val="21"/>
        </w:rPr>
      </w:pPr>
      <w:r w:rsidRPr="00CF571C">
        <w:rPr>
          <w:rFonts w:ascii="Times New Roman" w:eastAsia="楷体" w:hAnsi="Times New Roman" w:cs="Times New Roman"/>
          <w:bCs/>
          <w:color w:val="000000" w:themeColor="text1"/>
          <w:kern w:val="2"/>
          <w:sz w:val="21"/>
          <w:szCs w:val="21"/>
        </w:rPr>
        <w:t>表</w:t>
      </w:r>
      <w:r w:rsidRPr="00CF571C">
        <w:rPr>
          <w:rFonts w:ascii="Times New Roman" w:eastAsia="楷体" w:hAnsi="Times New Roman" w:cs="Times New Roman"/>
          <w:bCs/>
          <w:color w:val="000000" w:themeColor="text1"/>
          <w:kern w:val="2"/>
          <w:sz w:val="21"/>
          <w:szCs w:val="21"/>
        </w:rPr>
        <w:t>1</w:t>
      </w:r>
      <w:r w:rsidR="003F73D6" w:rsidRPr="00CF571C">
        <w:rPr>
          <w:rFonts w:ascii="Times New Roman" w:eastAsia="楷体" w:hAnsi="Times New Roman" w:cs="Times New Roman"/>
          <w:bCs/>
          <w:color w:val="000000" w:themeColor="text1"/>
          <w:kern w:val="2"/>
          <w:sz w:val="21"/>
          <w:szCs w:val="21"/>
        </w:rPr>
        <w:t>2</w:t>
      </w:r>
      <w:r w:rsidR="007529E0" w:rsidRPr="00CF571C">
        <w:rPr>
          <w:rFonts w:ascii="Times New Roman" w:eastAsia="楷体" w:hAnsi="Times New Roman" w:cs="Times New Roman"/>
          <w:bCs/>
          <w:color w:val="000000" w:themeColor="text1"/>
          <w:kern w:val="2"/>
          <w:sz w:val="21"/>
          <w:szCs w:val="21"/>
        </w:rPr>
        <w:t xml:space="preserve">    </w:t>
      </w:r>
      <w:r w:rsidRPr="00CF571C">
        <w:rPr>
          <w:rFonts w:ascii="Times New Roman" w:eastAsia="楷体" w:hAnsi="Times New Roman" w:cs="Times New Roman"/>
          <w:bCs/>
          <w:color w:val="000000" w:themeColor="text1"/>
          <w:kern w:val="2"/>
          <w:sz w:val="21"/>
          <w:szCs w:val="21"/>
        </w:rPr>
        <w:t>纵向影响与横向影响对比（半径匹配）</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458"/>
        <w:gridCol w:w="1307"/>
        <w:gridCol w:w="34"/>
        <w:gridCol w:w="1669"/>
        <w:gridCol w:w="44"/>
        <w:gridCol w:w="1987"/>
        <w:gridCol w:w="2023"/>
      </w:tblGrid>
      <w:tr w:rsidR="00CF571C" w:rsidRPr="00CF571C" w14:paraId="652C2B6C" w14:textId="77777777" w:rsidTr="003F73D6">
        <w:trPr>
          <w:trHeight w:val="317"/>
          <w:jc w:val="center"/>
        </w:trPr>
        <w:tc>
          <w:tcPr>
            <w:tcW w:w="855" w:type="pct"/>
            <w:tcBorders>
              <w:top w:val="single" w:sz="8" w:space="0" w:color="auto"/>
              <w:bottom w:val="single" w:sz="4" w:space="0" w:color="auto"/>
            </w:tcBorders>
            <w:shd w:val="clear" w:color="auto" w:fill="auto"/>
            <w:noWrap/>
            <w:vAlign w:val="center"/>
            <w:hideMark/>
          </w:tcPr>
          <w:p w14:paraId="59D67355" w14:textId="77777777" w:rsidR="00CB4743" w:rsidRPr="00CF571C" w:rsidRDefault="00CB4743" w:rsidP="00B636FD">
            <w:pPr>
              <w:jc w:val="center"/>
              <w:rPr>
                <w:rFonts w:ascii="Times New Roman" w:hAnsi="Times New Roman" w:cs="Times New Roman"/>
                <w:color w:val="000000" w:themeColor="text1"/>
                <w:sz w:val="21"/>
                <w:szCs w:val="21"/>
              </w:rPr>
            </w:pPr>
          </w:p>
        </w:tc>
        <w:tc>
          <w:tcPr>
            <w:tcW w:w="787" w:type="pct"/>
            <w:gridSpan w:val="2"/>
            <w:tcBorders>
              <w:top w:val="single" w:sz="8" w:space="0" w:color="auto"/>
              <w:bottom w:val="single" w:sz="4" w:space="0" w:color="auto"/>
            </w:tcBorders>
            <w:shd w:val="clear" w:color="auto" w:fill="auto"/>
            <w:noWrap/>
            <w:vAlign w:val="center"/>
            <w:hideMark/>
          </w:tcPr>
          <w:p w14:paraId="1313624B"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教育支出比重差异</w:t>
            </w:r>
          </w:p>
        </w:tc>
        <w:tc>
          <w:tcPr>
            <w:tcW w:w="979" w:type="pct"/>
            <w:tcBorders>
              <w:top w:val="single" w:sz="8" w:space="0" w:color="auto"/>
              <w:bottom w:val="single" w:sz="4" w:space="0" w:color="auto"/>
            </w:tcBorders>
            <w:shd w:val="clear" w:color="auto" w:fill="auto"/>
            <w:noWrap/>
            <w:vAlign w:val="center"/>
            <w:hideMark/>
          </w:tcPr>
          <w:p w14:paraId="69AE85A0"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科技支出比重差异</w:t>
            </w:r>
          </w:p>
        </w:tc>
        <w:tc>
          <w:tcPr>
            <w:tcW w:w="1192" w:type="pct"/>
            <w:gridSpan w:val="2"/>
            <w:tcBorders>
              <w:top w:val="single" w:sz="8" w:space="0" w:color="auto"/>
              <w:bottom w:val="single" w:sz="4" w:space="0" w:color="auto"/>
            </w:tcBorders>
            <w:shd w:val="clear" w:color="auto" w:fill="auto"/>
            <w:noWrap/>
            <w:vAlign w:val="center"/>
            <w:hideMark/>
          </w:tcPr>
          <w:p w14:paraId="674935AC"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医疗卫生支出比重差异</w:t>
            </w:r>
          </w:p>
        </w:tc>
        <w:tc>
          <w:tcPr>
            <w:tcW w:w="1187" w:type="pct"/>
            <w:tcBorders>
              <w:top w:val="single" w:sz="8" w:space="0" w:color="auto"/>
              <w:bottom w:val="single" w:sz="4" w:space="0" w:color="auto"/>
            </w:tcBorders>
            <w:shd w:val="clear" w:color="auto" w:fill="auto"/>
            <w:noWrap/>
            <w:vAlign w:val="center"/>
            <w:hideMark/>
          </w:tcPr>
          <w:p w14:paraId="7E9CEC8F"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社会保障支出比重差异</w:t>
            </w:r>
          </w:p>
        </w:tc>
      </w:tr>
      <w:tr w:rsidR="00CF571C" w:rsidRPr="00CF571C" w14:paraId="696678A2" w14:textId="77777777" w:rsidTr="001C7654">
        <w:trPr>
          <w:trHeight w:val="265"/>
          <w:jc w:val="center"/>
        </w:trPr>
        <w:tc>
          <w:tcPr>
            <w:tcW w:w="5000" w:type="pct"/>
            <w:gridSpan w:val="7"/>
            <w:tcBorders>
              <w:top w:val="single" w:sz="8" w:space="0" w:color="auto"/>
              <w:bottom w:val="single" w:sz="8" w:space="0" w:color="auto"/>
            </w:tcBorders>
            <w:shd w:val="clear" w:color="auto" w:fill="auto"/>
            <w:noWrap/>
            <w:vAlign w:val="center"/>
          </w:tcPr>
          <w:p w14:paraId="6A8AC9A4" w14:textId="77777777" w:rsidR="001C7654" w:rsidRPr="00CF571C" w:rsidRDefault="001C7654" w:rsidP="00B636FD">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b/>
                <w:bCs/>
                <w:color w:val="000000" w:themeColor="text1"/>
                <w:sz w:val="21"/>
                <w:szCs w:val="21"/>
              </w:rPr>
              <w:t>半径匹配</w:t>
            </w:r>
          </w:p>
        </w:tc>
      </w:tr>
      <w:tr w:rsidR="00CF571C" w:rsidRPr="00CF571C" w14:paraId="3F62DB68" w14:textId="77777777" w:rsidTr="007529E0">
        <w:trPr>
          <w:trHeight w:val="265"/>
          <w:jc w:val="center"/>
        </w:trPr>
        <w:tc>
          <w:tcPr>
            <w:tcW w:w="855" w:type="pct"/>
            <w:tcBorders>
              <w:top w:val="single" w:sz="8" w:space="0" w:color="auto"/>
              <w:bottom w:val="nil"/>
            </w:tcBorders>
            <w:shd w:val="clear" w:color="auto" w:fill="auto"/>
            <w:noWrap/>
            <w:vAlign w:val="center"/>
          </w:tcPr>
          <w:p w14:paraId="1B2ED9D0" w14:textId="77777777" w:rsidR="001C7654" w:rsidRPr="00CF571C" w:rsidRDefault="001C7654" w:rsidP="00B636FD">
            <w:pPr>
              <w:jc w:val="center"/>
              <w:rPr>
                <w:rFonts w:ascii="Times New Roman" w:hAnsi="Times New Roman" w:cs="Times New Roman"/>
                <w:color w:val="000000" w:themeColor="text1"/>
                <w:sz w:val="21"/>
                <w:szCs w:val="21"/>
              </w:rPr>
            </w:pPr>
          </w:p>
        </w:tc>
        <w:tc>
          <w:tcPr>
            <w:tcW w:w="767" w:type="pct"/>
            <w:tcBorders>
              <w:top w:val="single" w:sz="8" w:space="0" w:color="auto"/>
              <w:bottom w:val="nil"/>
            </w:tcBorders>
            <w:shd w:val="clear" w:color="auto" w:fill="auto"/>
            <w:noWrap/>
            <w:vAlign w:val="center"/>
          </w:tcPr>
          <w:p w14:paraId="6F66B6CF" w14:textId="77777777" w:rsidR="001C7654" w:rsidRPr="00CF571C" w:rsidRDefault="001C7654"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1</w:t>
            </w:r>
            <w:r w:rsidRPr="00CF571C">
              <w:rPr>
                <w:rFonts w:ascii="Times New Roman" w:hAnsi="Times New Roman" w:cs="Times New Roman" w:hint="eastAsia"/>
                <w:color w:val="000000" w:themeColor="text1"/>
                <w:sz w:val="21"/>
                <w:szCs w:val="21"/>
              </w:rPr>
              <w:t>）</w:t>
            </w:r>
          </w:p>
        </w:tc>
        <w:tc>
          <w:tcPr>
            <w:tcW w:w="1025" w:type="pct"/>
            <w:gridSpan w:val="3"/>
            <w:tcBorders>
              <w:top w:val="single" w:sz="8" w:space="0" w:color="auto"/>
              <w:bottom w:val="nil"/>
            </w:tcBorders>
            <w:shd w:val="clear" w:color="auto" w:fill="auto"/>
            <w:noWrap/>
            <w:vAlign w:val="center"/>
          </w:tcPr>
          <w:p w14:paraId="52801085" w14:textId="77777777" w:rsidR="001C7654" w:rsidRPr="00CF571C" w:rsidRDefault="001C7654"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2</w:t>
            </w:r>
            <w:r w:rsidRPr="00CF571C">
              <w:rPr>
                <w:rFonts w:ascii="Times New Roman" w:hAnsi="Times New Roman" w:cs="Times New Roman" w:hint="eastAsia"/>
                <w:color w:val="000000" w:themeColor="text1"/>
                <w:sz w:val="21"/>
                <w:szCs w:val="21"/>
              </w:rPr>
              <w:t>）</w:t>
            </w:r>
          </w:p>
        </w:tc>
        <w:tc>
          <w:tcPr>
            <w:tcW w:w="1166" w:type="pct"/>
            <w:tcBorders>
              <w:top w:val="single" w:sz="8" w:space="0" w:color="auto"/>
              <w:bottom w:val="nil"/>
            </w:tcBorders>
            <w:shd w:val="clear" w:color="auto" w:fill="auto"/>
            <w:noWrap/>
            <w:vAlign w:val="center"/>
          </w:tcPr>
          <w:p w14:paraId="160698C2" w14:textId="77777777" w:rsidR="001C7654" w:rsidRPr="00CF571C" w:rsidRDefault="001C7654"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3</w:t>
            </w:r>
            <w:r w:rsidRPr="00CF571C">
              <w:rPr>
                <w:rFonts w:ascii="Times New Roman" w:hAnsi="Times New Roman" w:cs="Times New Roman" w:hint="eastAsia"/>
                <w:color w:val="000000" w:themeColor="text1"/>
                <w:sz w:val="21"/>
                <w:szCs w:val="21"/>
              </w:rPr>
              <w:t>）</w:t>
            </w:r>
          </w:p>
        </w:tc>
        <w:tc>
          <w:tcPr>
            <w:tcW w:w="1187" w:type="pct"/>
            <w:tcBorders>
              <w:top w:val="single" w:sz="8" w:space="0" w:color="auto"/>
              <w:bottom w:val="nil"/>
            </w:tcBorders>
            <w:shd w:val="clear" w:color="auto" w:fill="auto"/>
            <w:noWrap/>
            <w:vAlign w:val="center"/>
          </w:tcPr>
          <w:p w14:paraId="161F072C" w14:textId="77777777" w:rsidR="001C7654" w:rsidRPr="00CF571C" w:rsidRDefault="001C7654"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4</w:t>
            </w:r>
            <w:r w:rsidRPr="00CF571C">
              <w:rPr>
                <w:rFonts w:ascii="Times New Roman" w:hAnsi="Times New Roman" w:cs="Times New Roman" w:hint="eastAsia"/>
                <w:color w:val="000000" w:themeColor="text1"/>
                <w:sz w:val="21"/>
                <w:szCs w:val="21"/>
              </w:rPr>
              <w:t>）</w:t>
            </w:r>
          </w:p>
        </w:tc>
      </w:tr>
      <w:tr w:rsidR="00CF571C" w:rsidRPr="00CF571C" w14:paraId="596443E8" w14:textId="77777777" w:rsidTr="007529E0">
        <w:trPr>
          <w:trHeight w:val="317"/>
          <w:jc w:val="center"/>
        </w:trPr>
        <w:tc>
          <w:tcPr>
            <w:tcW w:w="855" w:type="pct"/>
            <w:tcBorders>
              <w:top w:val="nil"/>
            </w:tcBorders>
            <w:shd w:val="clear" w:color="auto" w:fill="auto"/>
            <w:noWrap/>
            <w:vAlign w:val="center"/>
            <w:hideMark/>
          </w:tcPr>
          <w:p w14:paraId="4E87F601" w14:textId="77777777" w:rsidR="00CB4743" w:rsidRPr="00CF571C" w:rsidRDefault="00CB4743" w:rsidP="007529E0">
            <w:pPr>
              <w:jc w:val="right"/>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纵向</w:t>
            </w:r>
            <w:r w:rsidRPr="00CF571C">
              <w:rPr>
                <w:rFonts w:ascii="Times New Roman" w:hAnsi="Times New Roman" w:cs="Times New Roman" w:hint="eastAsia"/>
                <w:color w:val="000000" w:themeColor="text1"/>
                <w:sz w:val="21"/>
                <w:szCs w:val="21"/>
              </w:rPr>
              <w:t>影响</w:t>
            </w:r>
          </w:p>
        </w:tc>
        <w:tc>
          <w:tcPr>
            <w:tcW w:w="787" w:type="pct"/>
            <w:gridSpan w:val="2"/>
            <w:tcBorders>
              <w:top w:val="nil"/>
            </w:tcBorders>
            <w:shd w:val="clear" w:color="auto" w:fill="auto"/>
            <w:noWrap/>
            <w:hideMark/>
          </w:tcPr>
          <w:p w14:paraId="50F55A4E"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0.0053</w:t>
            </w:r>
          </w:p>
        </w:tc>
        <w:tc>
          <w:tcPr>
            <w:tcW w:w="979" w:type="pct"/>
            <w:tcBorders>
              <w:top w:val="nil"/>
            </w:tcBorders>
            <w:shd w:val="clear" w:color="auto" w:fill="auto"/>
            <w:noWrap/>
            <w:hideMark/>
          </w:tcPr>
          <w:p w14:paraId="6F964949"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0.0008</w:t>
            </w:r>
          </w:p>
        </w:tc>
        <w:tc>
          <w:tcPr>
            <w:tcW w:w="1192" w:type="pct"/>
            <w:gridSpan w:val="2"/>
            <w:tcBorders>
              <w:top w:val="nil"/>
            </w:tcBorders>
            <w:shd w:val="clear" w:color="auto" w:fill="auto"/>
            <w:noWrap/>
            <w:hideMark/>
          </w:tcPr>
          <w:p w14:paraId="73866562"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0.0036</w:t>
            </w:r>
          </w:p>
        </w:tc>
        <w:tc>
          <w:tcPr>
            <w:tcW w:w="1187" w:type="pct"/>
            <w:tcBorders>
              <w:top w:val="nil"/>
            </w:tcBorders>
            <w:shd w:val="clear" w:color="auto" w:fill="auto"/>
            <w:noWrap/>
            <w:hideMark/>
          </w:tcPr>
          <w:p w14:paraId="05EC6827"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0.0133</w:t>
            </w:r>
          </w:p>
        </w:tc>
      </w:tr>
      <w:tr w:rsidR="00CF571C" w:rsidRPr="00CF571C" w14:paraId="679AB2DD" w14:textId="77777777" w:rsidTr="007529E0">
        <w:trPr>
          <w:trHeight w:val="317"/>
          <w:jc w:val="center"/>
        </w:trPr>
        <w:tc>
          <w:tcPr>
            <w:tcW w:w="855" w:type="pct"/>
            <w:tcBorders>
              <w:top w:val="nil"/>
            </w:tcBorders>
            <w:shd w:val="clear" w:color="auto" w:fill="auto"/>
            <w:noWrap/>
            <w:vAlign w:val="center"/>
          </w:tcPr>
          <w:p w14:paraId="768E0DC5" w14:textId="77777777" w:rsidR="00CB4743" w:rsidRPr="00CF571C" w:rsidRDefault="00CB4743" w:rsidP="007529E0">
            <w:pPr>
              <w:jc w:val="center"/>
              <w:rPr>
                <w:rFonts w:ascii="Times New Roman" w:hAnsi="Times New Roman" w:cs="Times New Roman"/>
                <w:color w:val="000000" w:themeColor="text1"/>
                <w:sz w:val="21"/>
                <w:szCs w:val="21"/>
              </w:rPr>
            </w:pPr>
          </w:p>
        </w:tc>
        <w:tc>
          <w:tcPr>
            <w:tcW w:w="787" w:type="pct"/>
            <w:gridSpan w:val="2"/>
            <w:tcBorders>
              <w:top w:val="nil"/>
            </w:tcBorders>
            <w:shd w:val="clear" w:color="auto" w:fill="auto"/>
            <w:noWrap/>
          </w:tcPr>
          <w:p w14:paraId="42B32D63"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979" w:type="pct"/>
            <w:tcBorders>
              <w:top w:val="nil"/>
            </w:tcBorders>
            <w:shd w:val="clear" w:color="auto" w:fill="auto"/>
            <w:noWrap/>
          </w:tcPr>
          <w:p w14:paraId="6EE0FB50"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1192" w:type="pct"/>
            <w:gridSpan w:val="2"/>
            <w:tcBorders>
              <w:top w:val="nil"/>
            </w:tcBorders>
            <w:shd w:val="clear" w:color="auto" w:fill="auto"/>
            <w:noWrap/>
          </w:tcPr>
          <w:p w14:paraId="48162FC9"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1187" w:type="pct"/>
            <w:tcBorders>
              <w:top w:val="nil"/>
            </w:tcBorders>
            <w:shd w:val="clear" w:color="auto" w:fill="auto"/>
            <w:noWrap/>
          </w:tcPr>
          <w:p w14:paraId="16341873"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r>
      <w:tr w:rsidR="00CF571C" w:rsidRPr="00CF571C" w14:paraId="28278589" w14:textId="77777777" w:rsidTr="007529E0">
        <w:trPr>
          <w:trHeight w:val="317"/>
          <w:jc w:val="center"/>
        </w:trPr>
        <w:tc>
          <w:tcPr>
            <w:tcW w:w="855" w:type="pct"/>
            <w:tcBorders>
              <w:bottom w:val="nil"/>
            </w:tcBorders>
            <w:shd w:val="clear" w:color="auto" w:fill="auto"/>
            <w:noWrap/>
            <w:vAlign w:val="center"/>
            <w:hideMark/>
          </w:tcPr>
          <w:p w14:paraId="34CCC63E" w14:textId="77777777" w:rsidR="00CB4743" w:rsidRPr="00CF571C" w:rsidRDefault="00CB4743" w:rsidP="007529E0">
            <w:pPr>
              <w:jc w:val="right"/>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横向</w:t>
            </w:r>
            <w:r w:rsidRPr="00CF571C">
              <w:rPr>
                <w:rFonts w:ascii="Times New Roman" w:hAnsi="Times New Roman" w:cs="Times New Roman" w:hint="eastAsia"/>
                <w:color w:val="000000" w:themeColor="text1"/>
                <w:sz w:val="21"/>
                <w:szCs w:val="21"/>
              </w:rPr>
              <w:t>影响</w:t>
            </w:r>
          </w:p>
        </w:tc>
        <w:tc>
          <w:tcPr>
            <w:tcW w:w="787" w:type="pct"/>
            <w:gridSpan w:val="2"/>
            <w:tcBorders>
              <w:bottom w:val="nil"/>
            </w:tcBorders>
            <w:shd w:val="clear" w:color="auto" w:fill="auto"/>
            <w:noWrap/>
            <w:hideMark/>
          </w:tcPr>
          <w:p w14:paraId="2EDDF8F7"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-0.0113</w:t>
            </w:r>
          </w:p>
        </w:tc>
        <w:tc>
          <w:tcPr>
            <w:tcW w:w="979" w:type="pct"/>
            <w:tcBorders>
              <w:bottom w:val="nil"/>
            </w:tcBorders>
            <w:shd w:val="clear" w:color="auto" w:fill="auto"/>
            <w:noWrap/>
            <w:hideMark/>
          </w:tcPr>
          <w:p w14:paraId="14A4D74D"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-0.0040</w:t>
            </w:r>
          </w:p>
        </w:tc>
        <w:tc>
          <w:tcPr>
            <w:tcW w:w="1192" w:type="pct"/>
            <w:gridSpan w:val="2"/>
            <w:tcBorders>
              <w:bottom w:val="nil"/>
            </w:tcBorders>
            <w:shd w:val="clear" w:color="auto" w:fill="auto"/>
            <w:noWrap/>
            <w:hideMark/>
          </w:tcPr>
          <w:p w14:paraId="12E467F6"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-0.0006</w:t>
            </w:r>
          </w:p>
        </w:tc>
        <w:tc>
          <w:tcPr>
            <w:tcW w:w="1187" w:type="pct"/>
            <w:tcBorders>
              <w:bottom w:val="nil"/>
            </w:tcBorders>
            <w:shd w:val="clear" w:color="auto" w:fill="auto"/>
            <w:noWrap/>
            <w:hideMark/>
          </w:tcPr>
          <w:p w14:paraId="5F750AAD"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-0.0056</w:t>
            </w:r>
          </w:p>
        </w:tc>
      </w:tr>
      <w:tr w:rsidR="00CF571C" w:rsidRPr="00CF571C" w14:paraId="5A603CE6" w14:textId="77777777" w:rsidTr="007529E0">
        <w:trPr>
          <w:trHeight w:val="317"/>
          <w:jc w:val="center"/>
        </w:trPr>
        <w:tc>
          <w:tcPr>
            <w:tcW w:w="855" w:type="pct"/>
            <w:tcBorders>
              <w:top w:val="nil"/>
              <w:bottom w:val="single" w:sz="4" w:space="0" w:color="auto"/>
            </w:tcBorders>
            <w:shd w:val="clear" w:color="auto" w:fill="auto"/>
            <w:noWrap/>
            <w:vAlign w:val="center"/>
          </w:tcPr>
          <w:p w14:paraId="0F3AA7D2" w14:textId="77777777" w:rsidR="00CB4743" w:rsidRPr="00CF571C" w:rsidRDefault="00CB4743" w:rsidP="007529E0">
            <w:pPr>
              <w:jc w:val="center"/>
              <w:rPr>
                <w:rFonts w:ascii="Times New Roman" w:hAnsi="Times New Roman" w:cs="Times New Roman"/>
                <w:color w:val="000000" w:themeColor="text1"/>
                <w:sz w:val="21"/>
                <w:szCs w:val="21"/>
              </w:rPr>
            </w:pPr>
          </w:p>
        </w:tc>
        <w:tc>
          <w:tcPr>
            <w:tcW w:w="787" w:type="pct"/>
            <w:gridSpan w:val="2"/>
            <w:tcBorders>
              <w:top w:val="nil"/>
              <w:bottom w:val="single" w:sz="4" w:space="0" w:color="auto"/>
            </w:tcBorders>
            <w:shd w:val="clear" w:color="auto" w:fill="auto"/>
            <w:noWrap/>
          </w:tcPr>
          <w:p w14:paraId="5844EEF7"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979" w:type="pct"/>
            <w:tcBorders>
              <w:top w:val="nil"/>
              <w:bottom w:val="single" w:sz="4" w:space="0" w:color="auto"/>
            </w:tcBorders>
            <w:shd w:val="clear" w:color="auto" w:fill="auto"/>
            <w:noWrap/>
          </w:tcPr>
          <w:p w14:paraId="6790651A"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1192" w:type="pct"/>
            <w:gridSpan w:val="2"/>
            <w:tcBorders>
              <w:top w:val="nil"/>
              <w:bottom w:val="single" w:sz="4" w:space="0" w:color="auto"/>
            </w:tcBorders>
            <w:shd w:val="clear" w:color="auto" w:fill="auto"/>
            <w:noWrap/>
          </w:tcPr>
          <w:p w14:paraId="29837B73"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1187" w:type="pct"/>
            <w:tcBorders>
              <w:top w:val="nil"/>
              <w:bottom w:val="single" w:sz="4" w:space="0" w:color="auto"/>
            </w:tcBorders>
            <w:shd w:val="clear" w:color="auto" w:fill="auto"/>
            <w:noWrap/>
          </w:tcPr>
          <w:p w14:paraId="3423BEEC" w14:textId="77777777" w:rsidR="00CB4743" w:rsidRPr="00CF571C" w:rsidRDefault="00CB4743" w:rsidP="00B636FD">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r>
      <w:tr w:rsidR="00CF571C" w:rsidRPr="00CF571C" w14:paraId="480DB347" w14:textId="77777777" w:rsidTr="001C7654">
        <w:trPr>
          <w:trHeight w:val="265"/>
          <w:jc w:val="center"/>
        </w:trPr>
        <w:tc>
          <w:tcPr>
            <w:tcW w:w="5000" w:type="pct"/>
            <w:gridSpan w:val="7"/>
            <w:tcBorders>
              <w:top w:val="single" w:sz="8" w:space="0" w:color="auto"/>
              <w:bottom w:val="single" w:sz="8" w:space="0" w:color="auto"/>
            </w:tcBorders>
            <w:shd w:val="clear" w:color="auto" w:fill="auto"/>
            <w:noWrap/>
            <w:vAlign w:val="center"/>
          </w:tcPr>
          <w:p w14:paraId="390D233D" w14:textId="77777777" w:rsidR="001C7654" w:rsidRPr="00CF571C" w:rsidRDefault="001C7654" w:rsidP="007529E0">
            <w:pPr>
              <w:jc w:val="center"/>
              <w:rPr>
                <w:rFonts w:ascii="Times New Roman" w:hAnsi="Times New Roman" w:cs="Times New Roman"/>
                <w:b/>
                <w:bCs/>
                <w:color w:val="000000" w:themeColor="text1"/>
                <w:sz w:val="21"/>
                <w:szCs w:val="21"/>
              </w:rPr>
            </w:pPr>
            <w:r w:rsidRPr="00CF571C">
              <w:rPr>
                <w:rFonts w:ascii="Times New Roman" w:hAnsi="Times New Roman" w:cs="Times New Roman" w:hint="eastAsia"/>
                <w:b/>
                <w:bCs/>
                <w:color w:val="000000" w:themeColor="text1"/>
                <w:sz w:val="21"/>
                <w:szCs w:val="21"/>
              </w:rPr>
              <w:t>核匹配</w:t>
            </w:r>
          </w:p>
        </w:tc>
      </w:tr>
      <w:tr w:rsidR="00CF571C" w:rsidRPr="00CF571C" w14:paraId="525C71C4" w14:textId="77777777" w:rsidTr="007529E0">
        <w:trPr>
          <w:trHeight w:val="265"/>
          <w:jc w:val="center"/>
        </w:trPr>
        <w:tc>
          <w:tcPr>
            <w:tcW w:w="855" w:type="pct"/>
            <w:tcBorders>
              <w:top w:val="single" w:sz="8" w:space="0" w:color="auto"/>
              <w:bottom w:val="nil"/>
            </w:tcBorders>
            <w:shd w:val="clear" w:color="auto" w:fill="auto"/>
            <w:noWrap/>
            <w:vAlign w:val="center"/>
          </w:tcPr>
          <w:p w14:paraId="50A375A5" w14:textId="77777777" w:rsidR="001C7654" w:rsidRPr="00CF571C" w:rsidRDefault="001C7654" w:rsidP="007529E0">
            <w:pPr>
              <w:jc w:val="center"/>
              <w:rPr>
                <w:rFonts w:ascii="Times New Roman" w:hAnsi="Times New Roman" w:cs="Times New Roman"/>
                <w:color w:val="000000" w:themeColor="text1"/>
                <w:sz w:val="21"/>
                <w:szCs w:val="21"/>
              </w:rPr>
            </w:pPr>
          </w:p>
        </w:tc>
        <w:tc>
          <w:tcPr>
            <w:tcW w:w="767" w:type="pct"/>
            <w:tcBorders>
              <w:top w:val="single" w:sz="8" w:space="0" w:color="auto"/>
              <w:bottom w:val="nil"/>
            </w:tcBorders>
            <w:shd w:val="clear" w:color="auto" w:fill="auto"/>
            <w:noWrap/>
            <w:vAlign w:val="center"/>
          </w:tcPr>
          <w:p w14:paraId="29E52664"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5</w:t>
            </w:r>
            <w:r w:rsidRPr="00CF571C">
              <w:rPr>
                <w:rFonts w:ascii="Times New Roman" w:hAnsi="Times New Roman" w:cs="Times New Roman" w:hint="eastAsia"/>
                <w:color w:val="000000" w:themeColor="text1"/>
                <w:sz w:val="21"/>
                <w:szCs w:val="21"/>
              </w:rPr>
              <w:t>）</w:t>
            </w:r>
          </w:p>
        </w:tc>
        <w:tc>
          <w:tcPr>
            <w:tcW w:w="1025" w:type="pct"/>
            <w:gridSpan w:val="3"/>
            <w:tcBorders>
              <w:top w:val="single" w:sz="8" w:space="0" w:color="auto"/>
              <w:bottom w:val="nil"/>
            </w:tcBorders>
            <w:shd w:val="clear" w:color="auto" w:fill="auto"/>
            <w:noWrap/>
            <w:vAlign w:val="center"/>
          </w:tcPr>
          <w:p w14:paraId="56FE8FEF"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6</w:t>
            </w:r>
            <w:r w:rsidRPr="00CF571C">
              <w:rPr>
                <w:rFonts w:ascii="Times New Roman" w:hAnsi="Times New Roman" w:cs="Times New Roman" w:hint="eastAsia"/>
                <w:color w:val="000000" w:themeColor="text1"/>
                <w:sz w:val="21"/>
                <w:szCs w:val="21"/>
              </w:rPr>
              <w:t>）</w:t>
            </w:r>
          </w:p>
        </w:tc>
        <w:tc>
          <w:tcPr>
            <w:tcW w:w="1166" w:type="pct"/>
            <w:tcBorders>
              <w:top w:val="single" w:sz="8" w:space="0" w:color="auto"/>
              <w:bottom w:val="nil"/>
            </w:tcBorders>
            <w:shd w:val="clear" w:color="auto" w:fill="auto"/>
            <w:noWrap/>
            <w:vAlign w:val="center"/>
          </w:tcPr>
          <w:p w14:paraId="7EE4BA35"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7</w:t>
            </w:r>
            <w:r w:rsidRPr="00CF571C">
              <w:rPr>
                <w:rFonts w:ascii="Times New Roman" w:hAnsi="Times New Roman" w:cs="Times New Roman" w:hint="eastAsia"/>
                <w:color w:val="000000" w:themeColor="text1"/>
                <w:sz w:val="21"/>
                <w:szCs w:val="21"/>
              </w:rPr>
              <w:t>）</w:t>
            </w:r>
          </w:p>
        </w:tc>
        <w:tc>
          <w:tcPr>
            <w:tcW w:w="1187" w:type="pct"/>
            <w:tcBorders>
              <w:top w:val="single" w:sz="8" w:space="0" w:color="auto"/>
              <w:bottom w:val="nil"/>
            </w:tcBorders>
            <w:shd w:val="clear" w:color="auto" w:fill="auto"/>
            <w:noWrap/>
            <w:vAlign w:val="center"/>
          </w:tcPr>
          <w:p w14:paraId="27C88329"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8</w:t>
            </w:r>
            <w:r w:rsidRPr="00CF571C">
              <w:rPr>
                <w:rFonts w:ascii="Times New Roman" w:hAnsi="Times New Roman" w:cs="Times New Roman" w:hint="eastAsia"/>
                <w:color w:val="000000" w:themeColor="text1"/>
                <w:sz w:val="21"/>
                <w:szCs w:val="21"/>
              </w:rPr>
              <w:t>）</w:t>
            </w:r>
          </w:p>
        </w:tc>
      </w:tr>
      <w:tr w:rsidR="00CF571C" w:rsidRPr="00CF571C" w14:paraId="444A1D77" w14:textId="77777777" w:rsidTr="007529E0">
        <w:trPr>
          <w:trHeight w:val="317"/>
          <w:jc w:val="center"/>
        </w:trPr>
        <w:tc>
          <w:tcPr>
            <w:tcW w:w="855" w:type="pct"/>
            <w:tcBorders>
              <w:top w:val="nil"/>
            </w:tcBorders>
            <w:shd w:val="clear" w:color="auto" w:fill="auto"/>
            <w:noWrap/>
            <w:vAlign w:val="center"/>
            <w:hideMark/>
          </w:tcPr>
          <w:p w14:paraId="3F855D0C" w14:textId="77777777" w:rsidR="001C7654" w:rsidRPr="00CF571C" w:rsidRDefault="001C7654" w:rsidP="007529E0">
            <w:pPr>
              <w:jc w:val="right"/>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纵向</w:t>
            </w:r>
            <w:r w:rsidRPr="00CF571C">
              <w:rPr>
                <w:rFonts w:ascii="Times New Roman" w:hAnsi="Times New Roman" w:cs="Times New Roman" w:hint="eastAsia"/>
                <w:color w:val="000000" w:themeColor="text1"/>
                <w:sz w:val="21"/>
                <w:szCs w:val="21"/>
              </w:rPr>
              <w:t>影响</w:t>
            </w:r>
          </w:p>
        </w:tc>
        <w:tc>
          <w:tcPr>
            <w:tcW w:w="787" w:type="pct"/>
            <w:gridSpan w:val="2"/>
            <w:tcBorders>
              <w:top w:val="nil"/>
            </w:tcBorders>
            <w:shd w:val="clear" w:color="auto" w:fill="auto"/>
            <w:noWrap/>
            <w:vAlign w:val="center"/>
            <w:hideMark/>
          </w:tcPr>
          <w:p w14:paraId="7A4F5DF6"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0.0053</w:t>
            </w:r>
          </w:p>
        </w:tc>
        <w:tc>
          <w:tcPr>
            <w:tcW w:w="979" w:type="pct"/>
            <w:tcBorders>
              <w:top w:val="nil"/>
            </w:tcBorders>
            <w:shd w:val="clear" w:color="auto" w:fill="auto"/>
            <w:noWrap/>
            <w:vAlign w:val="center"/>
            <w:hideMark/>
          </w:tcPr>
          <w:p w14:paraId="51D4A6F2"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0.0008</w:t>
            </w:r>
          </w:p>
        </w:tc>
        <w:tc>
          <w:tcPr>
            <w:tcW w:w="1192" w:type="pct"/>
            <w:gridSpan w:val="2"/>
            <w:tcBorders>
              <w:top w:val="nil"/>
            </w:tcBorders>
            <w:shd w:val="clear" w:color="auto" w:fill="auto"/>
            <w:noWrap/>
            <w:vAlign w:val="center"/>
            <w:hideMark/>
          </w:tcPr>
          <w:p w14:paraId="66156010"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0.0036</w:t>
            </w:r>
          </w:p>
        </w:tc>
        <w:tc>
          <w:tcPr>
            <w:tcW w:w="1187" w:type="pct"/>
            <w:tcBorders>
              <w:top w:val="nil"/>
            </w:tcBorders>
            <w:shd w:val="clear" w:color="auto" w:fill="auto"/>
            <w:noWrap/>
            <w:vAlign w:val="center"/>
            <w:hideMark/>
          </w:tcPr>
          <w:p w14:paraId="5D1330F5"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0.0134</w:t>
            </w:r>
          </w:p>
        </w:tc>
      </w:tr>
      <w:tr w:rsidR="00CF571C" w:rsidRPr="00CF571C" w14:paraId="0D782C20" w14:textId="77777777" w:rsidTr="007529E0">
        <w:trPr>
          <w:trHeight w:val="317"/>
          <w:jc w:val="center"/>
        </w:trPr>
        <w:tc>
          <w:tcPr>
            <w:tcW w:w="855" w:type="pct"/>
            <w:tcBorders>
              <w:top w:val="nil"/>
            </w:tcBorders>
            <w:shd w:val="clear" w:color="auto" w:fill="auto"/>
            <w:noWrap/>
            <w:vAlign w:val="center"/>
          </w:tcPr>
          <w:p w14:paraId="6A593EBC" w14:textId="77777777" w:rsidR="001C7654" w:rsidRPr="00CF571C" w:rsidRDefault="001C7654" w:rsidP="007529E0">
            <w:pPr>
              <w:jc w:val="center"/>
              <w:rPr>
                <w:rFonts w:ascii="Times New Roman" w:hAnsi="Times New Roman" w:cs="Times New Roman"/>
                <w:color w:val="000000" w:themeColor="text1"/>
                <w:sz w:val="21"/>
                <w:szCs w:val="21"/>
              </w:rPr>
            </w:pPr>
          </w:p>
        </w:tc>
        <w:tc>
          <w:tcPr>
            <w:tcW w:w="787" w:type="pct"/>
            <w:gridSpan w:val="2"/>
            <w:tcBorders>
              <w:top w:val="nil"/>
            </w:tcBorders>
            <w:shd w:val="clear" w:color="auto" w:fill="auto"/>
            <w:noWrap/>
          </w:tcPr>
          <w:p w14:paraId="7CC8B0B3"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979" w:type="pct"/>
            <w:tcBorders>
              <w:top w:val="nil"/>
            </w:tcBorders>
            <w:shd w:val="clear" w:color="auto" w:fill="auto"/>
            <w:noWrap/>
          </w:tcPr>
          <w:p w14:paraId="3A2FAD47"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1192" w:type="pct"/>
            <w:gridSpan w:val="2"/>
            <w:tcBorders>
              <w:top w:val="nil"/>
            </w:tcBorders>
            <w:shd w:val="clear" w:color="auto" w:fill="auto"/>
            <w:noWrap/>
          </w:tcPr>
          <w:p w14:paraId="52174626"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1187" w:type="pct"/>
            <w:tcBorders>
              <w:top w:val="nil"/>
            </w:tcBorders>
            <w:shd w:val="clear" w:color="auto" w:fill="auto"/>
            <w:noWrap/>
          </w:tcPr>
          <w:p w14:paraId="61EAF2F9"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r>
      <w:tr w:rsidR="00CF571C" w:rsidRPr="00CF571C" w14:paraId="0C4D74CA" w14:textId="77777777" w:rsidTr="007529E0">
        <w:trPr>
          <w:trHeight w:val="317"/>
          <w:jc w:val="center"/>
        </w:trPr>
        <w:tc>
          <w:tcPr>
            <w:tcW w:w="855" w:type="pct"/>
            <w:tcBorders>
              <w:bottom w:val="nil"/>
            </w:tcBorders>
            <w:shd w:val="clear" w:color="auto" w:fill="auto"/>
            <w:noWrap/>
            <w:vAlign w:val="center"/>
            <w:hideMark/>
          </w:tcPr>
          <w:p w14:paraId="56419028" w14:textId="77777777" w:rsidR="001C7654" w:rsidRPr="00CF571C" w:rsidRDefault="001C7654" w:rsidP="007529E0">
            <w:pPr>
              <w:jc w:val="right"/>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横向</w:t>
            </w:r>
            <w:r w:rsidRPr="00CF571C">
              <w:rPr>
                <w:rFonts w:ascii="Times New Roman" w:hAnsi="Times New Roman" w:cs="Times New Roman" w:hint="eastAsia"/>
                <w:color w:val="000000" w:themeColor="text1"/>
                <w:sz w:val="21"/>
                <w:szCs w:val="21"/>
              </w:rPr>
              <w:t>影响</w:t>
            </w:r>
          </w:p>
        </w:tc>
        <w:tc>
          <w:tcPr>
            <w:tcW w:w="787" w:type="pct"/>
            <w:gridSpan w:val="2"/>
            <w:tcBorders>
              <w:bottom w:val="nil"/>
            </w:tcBorders>
            <w:shd w:val="clear" w:color="auto" w:fill="auto"/>
            <w:noWrap/>
            <w:vAlign w:val="center"/>
            <w:hideMark/>
          </w:tcPr>
          <w:p w14:paraId="2C4421C7"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-0.0113</w:t>
            </w:r>
          </w:p>
        </w:tc>
        <w:tc>
          <w:tcPr>
            <w:tcW w:w="979" w:type="pct"/>
            <w:tcBorders>
              <w:bottom w:val="nil"/>
            </w:tcBorders>
            <w:shd w:val="clear" w:color="auto" w:fill="auto"/>
            <w:noWrap/>
            <w:vAlign w:val="center"/>
            <w:hideMark/>
          </w:tcPr>
          <w:p w14:paraId="4CD0A190"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-0.0040</w:t>
            </w:r>
          </w:p>
        </w:tc>
        <w:tc>
          <w:tcPr>
            <w:tcW w:w="1192" w:type="pct"/>
            <w:gridSpan w:val="2"/>
            <w:tcBorders>
              <w:bottom w:val="nil"/>
            </w:tcBorders>
            <w:shd w:val="clear" w:color="auto" w:fill="auto"/>
            <w:noWrap/>
            <w:vAlign w:val="center"/>
            <w:hideMark/>
          </w:tcPr>
          <w:p w14:paraId="7AD2FC15"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-0.0006</w:t>
            </w:r>
          </w:p>
        </w:tc>
        <w:tc>
          <w:tcPr>
            <w:tcW w:w="1187" w:type="pct"/>
            <w:tcBorders>
              <w:bottom w:val="nil"/>
            </w:tcBorders>
            <w:shd w:val="clear" w:color="auto" w:fill="auto"/>
            <w:noWrap/>
            <w:vAlign w:val="center"/>
            <w:hideMark/>
          </w:tcPr>
          <w:p w14:paraId="0B1DAB9E"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-0.0056</w:t>
            </w:r>
          </w:p>
        </w:tc>
      </w:tr>
      <w:tr w:rsidR="001C7654" w:rsidRPr="00CF571C" w14:paraId="1EAB6E6A" w14:textId="77777777" w:rsidTr="003F73D6">
        <w:trPr>
          <w:trHeight w:val="317"/>
          <w:jc w:val="center"/>
        </w:trPr>
        <w:tc>
          <w:tcPr>
            <w:tcW w:w="855" w:type="pct"/>
            <w:tcBorders>
              <w:top w:val="nil"/>
              <w:bottom w:val="single" w:sz="8" w:space="0" w:color="auto"/>
            </w:tcBorders>
            <w:shd w:val="clear" w:color="auto" w:fill="auto"/>
            <w:noWrap/>
            <w:vAlign w:val="center"/>
          </w:tcPr>
          <w:p w14:paraId="12861931" w14:textId="77777777" w:rsidR="001C7654" w:rsidRPr="00CF571C" w:rsidRDefault="001C7654" w:rsidP="001C7654">
            <w:pPr>
              <w:jc w:val="center"/>
              <w:rPr>
                <w:rFonts w:ascii="Times New Roman" w:hAnsi="Times New Roman" w:cs="Times New Roman"/>
                <w:color w:val="000000" w:themeColor="text1"/>
                <w:sz w:val="21"/>
                <w:szCs w:val="21"/>
              </w:rPr>
            </w:pPr>
          </w:p>
        </w:tc>
        <w:tc>
          <w:tcPr>
            <w:tcW w:w="787" w:type="pct"/>
            <w:gridSpan w:val="2"/>
            <w:tcBorders>
              <w:top w:val="nil"/>
              <w:bottom w:val="single" w:sz="8" w:space="0" w:color="auto"/>
            </w:tcBorders>
            <w:shd w:val="clear" w:color="auto" w:fill="auto"/>
            <w:noWrap/>
          </w:tcPr>
          <w:p w14:paraId="3D811BEE"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979" w:type="pct"/>
            <w:tcBorders>
              <w:top w:val="nil"/>
              <w:bottom w:val="single" w:sz="8" w:space="0" w:color="auto"/>
            </w:tcBorders>
            <w:shd w:val="clear" w:color="auto" w:fill="auto"/>
            <w:noWrap/>
          </w:tcPr>
          <w:p w14:paraId="1D195CF8"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强</w:t>
            </w:r>
          </w:p>
        </w:tc>
        <w:tc>
          <w:tcPr>
            <w:tcW w:w="1192" w:type="pct"/>
            <w:gridSpan w:val="2"/>
            <w:tcBorders>
              <w:top w:val="nil"/>
              <w:bottom w:val="single" w:sz="8" w:space="0" w:color="auto"/>
            </w:tcBorders>
            <w:shd w:val="clear" w:color="auto" w:fill="auto"/>
            <w:noWrap/>
          </w:tcPr>
          <w:p w14:paraId="711051F5"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c>
          <w:tcPr>
            <w:tcW w:w="1187" w:type="pct"/>
            <w:tcBorders>
              <w:top w:val="nil"/>
              <w:bottom w:val="single" w:sz="8" w:space="0" w:color="auto"/>
            </w:tcBorders>
            <w:shd w:val="clear" w:color="auto" w:fill="auto"/>
            <w:noWrap/>
          </w:tcPr>
          <w:p w14:paraId="1A25293B" w14:textId="77777777" w:rsidR="001C7654" w:rsidRPr="00CF571C" w:rsidRDefault="001C7654" w:rsidP="001C7654">
            <w:pPr>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弱</w:t>
            </w:r>
          </w:p>
        </w:tc>
      </w:tr>
    </w:tbl>
    <w:p w14:paraId="31B791E7" w14:textId="77777777" w:rsidR="001C7654" w:rsidRPr="00CF571C" w:rsidRDefault="001C7654" w:rsidP="00B019E4">
      <w:pPr>
        <w:adjustRightInd w:val="0"/>
        <w:snapToGrid w:val="0"/>
        <w:ind w:firstLineChars="200" w:firstLine="420"/>
        <w:jc w:val="both"/>
        <w:rPr>
          <w:rFonts w:ascii="Times New Roman" w:hAnsi="Times New Roman" w:cs="Times New Roman"/>
          <w:color w:val="000000" w:themeColor="text1"/>
          <w:sz w:val="21"/>
          <w:szCs w:val="21"/>
        </w:rPr>
      </w:pPr>
    </w:p>
    <w:p w14:paraId="6A652A00" w14:textId="77777777" w:rsidR="0035284B" w:rsidRPr="00CF571C" w:rsidRDefault="00B019E4" w:rsidP="00B019E4">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综上，本文使用不同匹配方法对纵向和横向影响进行了分离识别</w:t>
      </w:r>
      <w:r w:rsidR="004329A9" w:rsidRPr="00CF571C">
        <w:rPr>
          <w:rFonts w:ascii="Times New Roman" w:hAnsi="Times New Roman" w:cs="Times New Roman" w:hint="eastAsia"/>
          <w:color w:val="000000" w:themeColor="text1"/>
          <w:sz w:val="21"/>
          <w:szCs w:val="21"/>
        </w:rPr>
        <w:t>，印证了本文提出的三个重要假设</w:t>
      </w:r>
      <w:r w:rsidRPr="00CF571C">
        <w:rPr>
          <w:rFonts w:ascii="Times New Roman" w:hAnsi="Times New Roman" w:cs="Times New Roman" w:hint="eastAsia"/>
          <w:color w:val="000000" w:themeColor="text1"/>
          <w:sz w:val="21"/>
          <w:szCs w:val="21"/>
        </w:rPr>
        <w:t>。纵向来看，</w:t>
      </w:r>
      <w:r w:rsidR="00346D17" w:rsidRPr="00CF571C">
        <w:rPr>
          <w:rFonts w:ascii="Times New Roman" w:hAnsi="Times New Roman" w:cs="Times New Roman" w:hint="eastAsia"/>
          <w:color w:val="000000" w:themeColor="text1"/>
          <w:sz w:val="21"/>
          <w:szCs w:val="21"/>
        </w:rPr>
        <w:t>因</w:t>
      </w:r>
      <w:r w:rsidR="008B2A87" w:rsidRPr="00CF571C">
        <w:rPr>
          <w:rFonts w:ascii="Times New Roman" w:hAnsi="Times New Roman" w:cs="Times New Roman" w:hint="eastAsia"/>
          <w:color w:val="000000" w:themeColor="text1"/>
          <w:sz w:val="21"/>
          <w:szCs w:val="21"/>
        </w:rPr>
        <w:t>省级纵向</w:t>
      </w:r>
      <w:r w:rsidR="00346D17" w:rsidRPr="00CF571C">
        <w:rPr>
          <w:rFonts w:ascii="Times New Roman" w:hAnsi="Times New Roman" w:cs="Times New Roman" w:hint="eastAsia"/>
          <w:color w:val="000000" w:themeColor="text1"/>
          <w:sz w:val="21"/>
          <w:szCs w:val="21"/>
        </w:rPr>
        <w:t>统筹</w:t>
      </w:r>
      <w:r w:rsidR="008B2A87" w:rsidRPr="00CF571C">
        <w:rPr>
          <w:rFonts w:ascii="Times New Roman" w:hAnsi="Times New Roman" w:cs="Times New Roman" w:hint="eastAsia"/>
          <w:color w:val="000000" w:themeColor="text1"/>
          <w:sz w:val="21"/>
          <w:szCs w:val="21"/>
        </w:rPr>
        <w:t>，</w:t>
      </w:r>
      <w:r w:rsidRPr="00CF571C">
        <w:rPr>
          <w:rFonts w:ascii="Times New Roman" w:hAnsi="Times New Roman" w:cs="Times New Roman" w:hint="eastAsia"/>
          <w:color w:val="000000" w:themeColor="text1"/>
          <w:sz w:val="21"/>
          <w:szCs w:val="21"/>
        </w:rPr>
        <w:t>省内城市间预算支出差异</w:t>
      </w:r>
      <w:r w:rsidR="008B2A87" w:rsidRPr="00CF571C">
        <w:rPr>
          <w:rFonts w:ascii="Times New Roman" w:hAnsi="Times New Roman" w:cs="Times New Roman" w:hint="eastAsia"/>
          <w:color w:val="000000" w:themeColor="text1"/>
          <w:sz w:val="21"/>
          <w:szCs w:val="21"/>
        </w:rPr>
        <w:t>缩小</w:t>
      </w:r>
      <w:r w:rsidRPr="00CF571C">
        <w:rPr>
          <w:rFonts w:ascii="Times New Roman" w:hAnsi="Times New Roman" w:cs="Times New Roman" w:hint="eastAsia"/>
          <w:color w:val="000000" w:themeColor="text1"/>
          <w:sz w:val="21"/>
          <w:szCs w:val="21"/>
        </w:rPr>
        <w:t>，跨省城市间预算支出差异</w:t>
      </w:r>
      <w:r w:rsidR="008B2A87" w:rsidRPr="00CF571C">
        <w:rPr>
          <w:rFonts w:ascii="Times New Roman" w:hAnsi="Times New Roman" w:cs="Times New Roman" w:hint="eastAsia"/>
          <w:color w:val="000000" w:themeColor="text1"/>
          <w:sz w:val="21"/>
          <w:szCs w:val="21"/>
        </w:rPr>
        <w:t>扩大</w:t>
      </w:r>
      <w:r w:rsidRPr="00CF571C">
        <w:rPr>
          <w:rFonts w:ascii="Times New Roman" w:hAnsi="Times New Roman" w:cs="Times New Roman" w:hint="eastAsia"/>
          <w:color w:val="000000" w:themeColor="text1"/>
          <w:sz w:val="21"/>
          <w:szCs w:val="21"/>
        </w:rPr>
        <w:t>。横向来看，</w:t>
      </w:r>
      <w:r w:rsidR="008B2A87" w:rsidRPr="00CF571C">
        <w:rPr>
          <w:rFonts w:ascii="Times New Roman" w:hAnsi="Times New Roman" w:cs="Times New Roman" w:hint="eastAsia"/>
          <w:color w:val="000000" w:themeColor="text1"/>
          <w:sz w:val="21"/>
          <w:szCs w:val="21"/>
        </w:rPr>
        <w:t>毗邻城市间存在预算支出趋同，即</w:t>
      </w:r>
      <w:r w:rsidRPr="00CF571C">
        <w:rPr>
          <w:rFonts w:ascii="Times New Roman" w:hAnsi="Times New Roman" w:cs="Times New Roman" w:hint="eastAsia"/>
          <w:color w:val="000000" w:themeColor="text1"/>
          <w:sz w:val="21"/>
          <w:szCs w:val="21"/>
        </w:rPr>
        <w:t>毗邻城市间预算支出差异较小，不毗邻城市间预算支出差异较大。此外，结合不同预算支出类型，</w:t>
      </w:r>
      <w:r w:rsidR="00E72178" w:rsidRPr="00CF571C">
        <w:rPr>
          <w:rFonts w:ascii="Times New Roman" w:hAnsi="Times New Roman" w:cs="Times New Roman"/>
          <w:color w:val="000000" w:themeColor="text1"/>
          <w:sz w:val="21"/>
          <w:szCs w:val="21"/>
        </w:rPr>
        <w:t>在同时受两种力量影响时，对于教育和科技支出，横向趋同效果更为明显；对于医疗卫生和社会保障支出，省级纵向影响更为明显。</w:t>
      </w:r>
    </w:p>
    <w:p w14:paraId="46092F18" w14:textId="77777777" w:rsidR="00FA60E7" w:rsidRPr="00CF571C" w:rsidRDefault="004E46D7" w:rsidP="0075508C">
      <w:pPr>
        <w:pStyle w:val="1"/>
        <w:rPr>
          <w:rFonts w:ascii="Times New Roman" w:hAnsi="Times New Roman" w:cs="Times New Roman"/>
          <w:color w:val="000000" w:themeColor="text1"/>
          <w:szCs w:val="28"/>
        </w:rPr>
      </w:pPr>
      <w:r w:rsidRPr="00CF571C">
        <w:rPr>
          <w:rFonts w:ascii="Times New Roman" w:hAnsi="Times New Roman" w:cs="Times New Roman" w:hint="eastAsia"/>
          <w:color w:val="000000" w:themeColor="text1"/>
          <w:szCs w:val="28"/>
        </w:rPr>
        <w:t>六、</w:t>
      </w:r>
      <w:r w:rsidR="00F52327" w:rsidRPr="00CF571C">
        <w:rPr>
          <w:rFonts w:ascii="Times New Roman" w:hAnsi="Times New Roman" w:cs="Times New Roman" w:hint="eastAsia"/>
          <w:color w:val="000000" w:themeColor="text1"/>
          <w:szCs w:val="28"/>
        </w:rPr>
        <w:t>结论</w:t>
      </w:r>
    </w:p>
    <w:p w14:paraId="6960978A" w14:textId="77777777" w:rsidR="009E2348" w:rsidRPr="00CF571C" w:rsidRDefault="009E2348" w:rsidP="00BA54BB">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本文基于</w:t>
      </w:r>
      <w:r w:rsidR="008F6410" w:rsidRPr="00CF571C">
        <w:rPr>
          <w:rFonts w:ascii="Times New Roman" w:hAnsi="Times New Roman" w:cs="Times New Roman"/>
          <w:color w:val="000000" w:themeColor="text1"/>
          <w:sz w:val="21"/>
          <w:szCs w:val="21"/>
        </w:rPr>
        <w:t>我国</w:t>
      </w:r>
      <w:r w:rsidR="008110D9" w:rsidRPr="00CF571C">
        <w:rPr>
          <w:rFonts w:ascii="Times New Roman" w:hAnsi="Times New Roman" w:cs="Times New Roman" w:hint="eastAsia"/>
          <w:color w:val="000000" w:themeColor="text1"/>
          <w:sz w:val="21"/>
          <w:szCs w:val="21"/>
        </w:rPr>
        <w:t>地级市</w:t>
      </w:r>
      <w:r w:rsidR="008F6410" w:rsidRPr="00CF571C">
        <w:rPr>
          <w:rFonts w:ascii="Times New Roman" w:hAnsi="Times New Roman" w:cs="Times New Roman"/>
          <w:color w:val="000000" w:themeColor="text1"/>
          <w:sz w:val="21"/>
          <w:szCs w:val="21"/>
        </w:rPr>
        <w:t>预算</w:t>
      </w:r>
      <w:r w:rsidR="000A3ACF" w:rsidRPr="00CF571C">
        <w:rPr>
          <w:rFonts w:ascii="Times New Roman" w:hAnsi="Times New Roman" w:cs="Times New Roman" w:hint="eastAsia"/>
          <w:color w:val="000000" w:themeColor="text1"/>
          <w:sz w:val="21"/>
          <w:szCs w:val="21"/>
        </w:rPr>
        <w:t>支出差异</w:t>
      </w:r>
      <w:r w:rsidR="008110D9" w:rsidRPr="00CF571C">
        <w:rPr>
          <w:rFonts w:ascii="Times New Roman" w:hAnsi="Times New Roman" w:cs="Times New Roman" w:hint="eastAsia"/>
          <w:color w:val="000000" w:themeColor="text1"/>
          <w:sz w:val="21"/>
          <w:szCs w:val="21"/>
        </w:rPr>
        <w:t>的典型事实特征</w:t>
      </w:r>
      <w:r w:rsidRPr="00CF571C">
        <w:rPr>
          <w:rFonts w:ascii="Times New Roman" w:hAnsi="Times New Roman" w:cs="Times New Roman" w:hint="eastAsia"/>
          <w:color w:val="000000" w:themeColor="text1"/>
          <w:sz w:val="21"/>
          <w:szCs w:val="21"/>
        </w:rPr>
        <w:t>，</w:t>
      </w:r>
      <w:r w:rsidR="00154738" w:rsidRPr="00CF571C">
        <w:rPr>
          <w:rFonts w:ascii="Times New Roman" w:hAnsi="Times New Roman" w:cs="Times New Roman" w:hint="eastAsia"/>
          <w:color w:val="000000" w:themeColor="text1"/>
          <w:sz w:val="21"/>
          <w:szCs w:val="21"/>
        </w:rPr>
        <w:t>利用</w:t>
      </w:r>
      <w:r w:rsidR="006255F9" w:rsidRPr="00CF571C">
        <w:rPr>
          <w:rFonts w:ascii="Times New Roman" w:hAnsi="Times New Roman" w:cs="Times New Roman" w:hint="eastAsia"/>
          <w:color w:val="000000" w:themeColor="text1"/>
          <w:sz w:val="21"/>
          <w:szCs w:val="21"/>
        </w:rPr>
        <w:t>“</w:t>
      </w:r>
      <w:r w:rsidR="00154738" w:rsidRPr="00CF571C">
        <w:rPr>
          <w:rFonts w:ascii="Times New Roman" w:hAnsi="Times New Roman" w:cs="Times New Roman"/>
          <w:color w:val="000000" w:themeColor="text1"/>
          <w:sz w:val="21"/>
          <w:szCs w:val="21"/>
        </w:rPr>
        <w:t>城市对</w:t>
      </w:r>
      <w:r w:rsidR="006255F9" w:rsidRPr="00CF571C">
        <w:rPr>
          <w:rFonts w:ascii="Times New Roman" w:hAnsi="Times New Roman" w:cs="Times New Roman" w:hint="eastAsia"/>
          <w:color w:val="000000" w:themeColor="text1"/>
          <w:sz w:val="21"/>
          <w:szCs w:val="21"/>
        </w:rPr>
        <w:t>”</w:t>
      </w:r>
      <w:r w:rsidR="00154738" w:rsidRPr="00CF571C">
        <w:rPr>
          <w:rFonts w:ascii="Times New Roman" w:hAnsi="Times New Roman" w:cs="Times New Roman"/>
          <w:color w:val="000000" w:themeColor="text1"/>
          <w:sz w:val="21"/>
          <w:szCs w:val="21"/>
        </w:rPr>
        <w:t>数据</w:t>
      </w:r>
      <w:r w:rsidR="00154738" w:rsidRPr="00CF571C">
        <w:rPr>
          <w:rFonts w:ascii="Times New Roman" w:hAnsi="Times New Roman" w:cs="Times New Roman" w:hint="eastAsia"/>
          <w:color w:val="000000" w:themeColor="text1"/>
          <w:sz w:val="21"/>
          <w:szCs w:val="21"/>
        </w:rPr>
        <w:t>研究差异</w:t>
      </w:r>
      <w:r w:rsidR="000A3ACF" w:rsidRPr="00CF571C">
        <w:rPr>
          <w:rFonts w:ascii="Times New Roman" w:hAnsi="Times New Roman" w:cs="Times New Roman" w:hint="eastAsia"/>
          <w:color w:val="000000" w:themeColor="text1"/>
          <w:sz w:val="21"/>
          <w:szCs w:val="21"/>
        </w:rPr>
        <w:t>形成</w:t>
      </w:r>
      <w:r w:rsidR="00154738" w:rsidRPr="00CF571C">
        <w:rPr>
          <w:rFonts w:ascii="Times New Roman" w:hAnsi="Times New Roman" w:cs="Times New Roman" w:hint="eastAsia"/>
          <w:color w:val="000000" w:themeColor="text1"/>
          <w:sz w:val="21"/>
          <w:szCs w:val="21"/>
        </w:rPr>
        <w:t>的纵向和横向因素。一方面，研究</w:t>
      </w:r>
      <w:r w:rsidR="0043493B" w:rsidRPr="00CF571C">
        <w:rPr>
          <w:rFonts w:ascii="Times New Roman" w:hAnsi="Times New Roman" w:cs="Times New Roman" w:hint="eastAsia"/>
          <w:color w:val="000000" w:themeColor="text1"/>
          <w:sz w:val="21"/>
          <w:szCs w:val="21"/>
        </w:rPr>
        <w:t>正式、全面地</w:t>
      </w:r>
      <w:r w:rsidR="00154738" w:rsidRPr="00CF571C">
        <w:rPr>
          <w:rFonts w:ascii="Times New Roman" w:hAnsi="Times New Roman" w:cs="Times New Roman" w:hint="eastAsia"/>
          <w:color w:val="000000" w:themeColor="text1"/>
          <w:sz w:val="21"/>
          <w:szCs w:val="21"/>
        </w:rPr>
        <w:t>证明了省级因素和毗邻因素对地级市预算支出差异</w:t>
      </w:r>
      <w:r w:rsidR="0043493B" w:rsidRPr="00CF571C">
        <w:rPr>
          <w:rFonts w:ascii="Times New Roman" w:hAnsi="Times New Roman" w:cs="Times New Roman" w:hint="eastAsia"/>
          <w:color w:val="000000" w:themeColor="text1"/>
          <w:sz w:val="21"/>
          <w:szCs w:val="21"/>
        </w:rPr>
        <w:t>的影响</w:t>
      </w:r>
      <w:r w:rsidR="00085741" w:rsidRPr="00CF571C">
        <w:rPr>
          <w:rFonts w:ascii="Times New Roman" w:hAnsi="Times New Roman" w:cs="Times New Roman" w:hint="eastAsia"/>
          <w:color w:val="000000" w:themeColor="text1"/>
          <w:sz w:val="21"/>
          <w:szCs w:val="21"/>
        </w:rPr>
        <w:t>，</w:t>
      </w:r>
      <w:r w:rsidR="0043493B" w:rsidRPr="00CF571C">
        <w:rPr>
          <w:rFonts w:ascii="Times New Roman" w:hAnsi="Times New Roman" w:cs="Times New Roman"/>
          <w:color w:val="000000" w:themeColor="text1"/>
          <w:sz w:val="21"/>
          <w:szCs w:val="21"/>
        </w:rPr>
        <w:t>为地方预算支出结构的调整和变动提供一种内在机理</w:t>
      </w:r>
      <w:r w:rsidR="0043493B" w:rsidRPr="00CF571C">
        <w:rPr>
          <w:rFonts w:ascii="Times New Roman" w:hAnsi="Times New Roman" w:cs="Times New Roman" w:hint="eastAsia"/>
          <w:color w:val="000000" w:themeColor="text1"/>
          <w:sz w:val="21"/>
          <w:szCs w:val="21"/>
        </w:rPr>
        <w:t>。另一方面，研究分析比较了纵向和横向因素对不同类型支出的影响差异，</w:t>
      </w:r>
      <w:r w:rsidR="00EC6B93" w:rsidRPr="00CF571C">
        <w:rPr>
          <w:rFonts w:ascii="Times New Roman" w:hAnsi="Times New Roman" w:cs="Times New Roman"/>
          <w:color w:val="000000" w:themeColor="text1"/>
          <w:sz w:val="21"/>
          <w:szCs w:val="21"/>
        </w:rPr>
        <w:t>丰富了财政支出</w:t>
      </w:r>
      <w:r w:rsidR="00EC6B93" w:rsidRPr="00CF571C">
        <w:rPr>
          <w:rFonts w:ascii="Times New Roman" w:hAnsi="Times New Roman" w:cs="Times New Roman" w:hint="eastAsia"/>
          <w:color w:val="000000" w:themeColor="text1"/>
          <w:sz w:val="21"/>
          <w:szCs w:val="21"/>
        </w:rPr>
        <w:t>和预算决策的</w:t>
      </w:r>
      <w:r w:rsidR="00EC6B93" w:rsidRPr="00CF571C">
        <w:rPr>
          <w:rFonts w:ascii="Times New Roman" w:hAnsi="Times New Roman" w:cs="Times New Roman"/>
          <w:color w:val="000000" w:themeColor="text1"/>
          <w:sz w:val="21"/>
          <w:szCs w:val="21"/>
        </w:rPr>
        <w:t>相关理论</w:t>
      </w:r>
      <w:r w:rsidR="00EC6B93" w:rsidRPr="00CF571C">
        <w:rPr>
          <w:rFonts w:ascii="Times New Roman" w:hAnsi="Times New Roman" w:cs="Times New Roman" w:hint="eastAsia"/>
          <w:color w:val="000000" w:themeColor="text1"/>
          <w:sz w:val="21"/>
          <w:szCs w:val="21"/>
        </w:rPr>
        <w:t>。</w:t>
      </w:r>
    </w:p>
    <w:p w14:paraId="39A27195" w14:textId="77777777" w:rsidR="00C37B03" w:rsidRPr="00CF571C" w:rsidRDefault="0084111B" w:rsidP="00BA54BB">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具体来看，本文</w:t>
      </w:r>
      <w:r w:rsidR="00C37B03" w:rsidRPr="00CF571C">
        <w:rPr>
          <w:rFonts w:ascii="Times New Roman" w:hAnsi="Times New Roman" w:cs="Times New Roman" w:hint="eastAsia"/>
          <w:color w:val="000000" w:themeColor="text1"/>
          <w:sz w:val="21"/>
          <w:szCs w:val="21"/>
        </w:rPr>
        <w:t>通过夏普利值分解和倾向得分匹配，</w:t>
      </w:r>
      <w:r w:rsidR="00A31563" w:rsidRPr="00CF571C">
        <w:rPr>
          <w:rFonts w:ascii="Times New Roman" w:hAnsi="Times New Roman" w:cs="Times New Roman" w:hint="eastAsia"/>
          <w:color w:val="000000" w:themeColor="text1"/>
          <w:sz w:val="21"/>
          <w:szCs w:val="21"/>
        </w:rPr>
        <w:t>通过聚焦异省毗邻“城市对”这一特殊样本群，</w:t>
      </w:r>
      <w:r w:rsidR="00C37B03" w:rsidRPr="00CF571C">
        <w:rPr>
          <w:rFonts w:ascii="Times New Roman" w:hAnsi="Times New Roman" w:cs="Times New Roman" w:hint="eastAsia"/>
          <w:color w:val="000000" w:themeColor="text1"/>
          <w:sz w:val="21"/>
          <w:szCs w:val="21"/>
        </w:rPr>
        <w:t>验证了纵向和横向影响的存在，并对两种影响进行了分离识别。研究发现：第一，地级市</w:t>
      </w:r>
      <w:r w:rsidR="00BA54BB" w:rsidRPr="00CF571C">
        <w:rPr>
          <w:rFonts w:ascii="Times New Roman" w:hAnsi="Times New Roman" w:cs="Times New Roman" w:hint="eastAsia"/>
          <w:color w:val="000000" w:themeColor="text1"/>
          <w:sz w:val="21"/>
          <w:szCs w:val="21"/>
        </w:rPr>
        <w:t>间预算支出差异</w:t>
      </w:r>
      <w:r w:rsidR="00CB7A5A" w:rsidRPr="00CF571C">
        <w:rPr>
          <w:rFonts w:ascii="Times New Roman" w:hAnsi="Times New Roman" w:cs="Times New Roman" w:hint="eastAsia"/>
          <w:color w:val="000000" w:themeColor="text1"/>
          <w:sz w:val="21"/>
          <w:szCs w:val="21"/>
        </w:rPr>
        <w:t>存</w:t>
      </w:r>
      <w:r w:rsidR="00BA54BB" w:rsidRPr="00CF571C">
        <w:rPr>
          <w:rFonts w:ascii="Times New Roman" w:hAnsi="Times New Roman" w:cs="Times New Roman"/>
          <w:color w:val="000000" w:themeColor="text1"/>
          <w:sz w:val="21"/>
          <w:szCs w:val="21"/>
        </w:rPr>
        <w:t>在纵向和横向两个来源。</w:t>
      </w:r>
      <w:r w:rsidR="00BA54BB" w:rsidRPr="00CF571C">
        <w:rPr>
          <w:rFonts w:ascii="Times New Roman" w:hAnsi="Times New Roman" w:cs="Times New Roman" w:hint="eastAsia"/>
          <w:color w:val="000000" w:themeColor="text1"/>
          <w:sz w:val="21"/>
          <w:szCs w:val="21"/>
        </w:rPr>
        <w:t>第二，</w:t>
      </w:r>
      <w:r w:rsidR="00BA54BB" w:rsidRPr="00CF571C">
        <w:rPr>
          <w:rFonts w:ascii="Times New Roman" w:hAnsi="Times New Roman" w:cs="Times New Roman"/>
          <w:color w:val="000000" w:themeColor="text1"/>
          <w:sz w:val="21"/>
          <w:szCs w:val="21"/>
        </w:rPr>
        <w:t>纵向来看，</w:t>
      </w:r>
      <w:r w:rsidR="00BA54BB" w:rsidRPr="00CF571C">
        <w:rPr>
          <w:rFonts w:ascii="Times New Roman" w:hAnsi="Times New Roman" w:cs="Times New Roman" w:hint="eastAsia"/>
          <w:color w:val="000000" w:themeColor="text1"/>
          <w:sz w:val="21"/>
          <w:szCs w:val="21"/>
        </w:rPr>
        <w:t>因省级政府</w:t>
      </w:r>
      <w:r w:rsidR="00563D3F" w:rsidRPr="00CF571C">
        <w:rPr>
          <w:rFonts w:ascii="Times New Roman" w:hAnsi="Times New Roman" w:cs="Times New Roman" w:hint="eastAsia"/>
          <w:color w:val="000000" w:themeColor="text1"/>
          <w:sz w:val="21"/>
          <w:szCs w:val="21"/>
        </w:rPr>
        <w:t>统筹</w:t>
      </w:r>
      <w:r w:rsidR="00BA54BB" w:rsidRPr="00CF571C">
        <w:rPr>
          <w:rFonts w:ascii="Times New Roman" w:hAnsi="Times New Roman" w:cs="Times New Roman" w:hint="eastAsia"/>
          <w:color w:val="000000" w:themeColor="text1"/>
          <w:sz w:val="21"/>
          <w:szCs w:val="21"/>
        </w:rPr>
        <w:t>，</w:t>
      </w:r>
      <w:r w:rsidR="00BA54BB" w:rsidRPr="00CF571C">
        <w:rPr>
          <w:rFonts w:ascii="Times New Roman" w:hAnsi="Times New Roman" w:cs="Times New Roman"/>
          <w:color w:val="000000" w:themeColor="text1"/>
          <w:sz w:val="21"/>
          <w:szCs w:val="21"/>
        </w:rPr>
        <w:t>省内城市间预算支出差异较小，跨省城市间预算支出差异较大。</w:t>
      </w:r>
      <w:r w:rsidR="00BA54BB" w:rsidRPr="00CF571C">
        <w:rPr>
          <w:rFonts w:ascii="Times New Roman" w:hAnsi="Times New Roman" w:cs="Times New Roman" w:hint="eastAsia"/>
          <w:color w:val="000000" w:themeColor="text1"/>
          <w:sz w:val="21"/>
          <w:szCs w:val="21"/>
        </w:rPr>
        <w:t>横向来看，因毗邻互动，</w:t>
      </w:r>
      <w:r w:rsidR="00BA54BB" w:rsidRPr="00CF571C">
        <w:rPr>
          <w:rFonts w:ascii="Times New Roman" w:hAnsi="Times New Roman" w:cs="Times New Roman"/>
          <w:color w:val="000000" w:themeColor="text1"/>
          <w:sz w:val="21"/>
          <w:szCs w:val="21"/>
        </w:rPr>
        <w:t>毗邻城市间预算支出差异较小，不毗邻城市间预算支出差异较大。</w:t>
      </w:r>
      <w:r w:rsidR="00BA54BB" w:rsidRPr="00CF571C">
        <w:rPr>
          <w:rFonts w:ascii="Times New Roman" w:hAnsi="Times New Roman" w:cs="Times New Roman" w:hint="eastAsia"/>
          <w:color w:val="000000" w:themeColor="text1"/>
          <w:sz w:val="21"/>
          <w:szCs w:val="21"/>
        </w:rPr>
        <w:t>第三，</w:t>
      </w:r>
      <w:r w:rsidR="00BA54BB" w:rsidRPr="00CF571C">
        <w:rPr>
          <w:rFonts w:ascii="Times New Roman" w:hAnsi="Times New Roman" w:cs="Times New Roman"/>
          <w:color w:val="000000" w:themeColor="text1"/>
          <w:sz w:val="21"/>
          <w:szCs w:val="21"/>
        </w:rPr>
        <w:t>在同时受两</w:t>
      </w:r>
      <w:r w:rsidR="00BA54BB" w:rsidRPr="00CF571C">
        <w:rPr>
          <w:rFonts w:ascii="Times New Roman" w:hAnsi="Times New Roman" w:cs="Times New Roman"/>
          <w:color w:val="000000" w:themeColor="text1"/>
          <w:sz w:val="21"/>
          <w:szCs w:val="21"/>
        </w:rPr>
        <w:lastRenderedPageBreak/>
        <w:t>种力量影响时，不同支出类型所受纵向和横向影响的大小不同</w:t>
      </w:r>
      <w:r w:rsidR="00BA54BB" w:rsidRPr="00CF571C">
        <w:rPr>
          <w:rFonts w:ascii="Times New Roman" w:hAnsi="Times New Roman" w:cs="Times New Roman" w:hint="eastAsia"/>
          <w:color w:val="000000" w:themeColor="text1"/>
          <w:sz w:val="21"/>
          <w:szCs w:val="21"/>
        </w:rPr>
        <w:t>。</w:t>
      </w:r>
      <w:r w:rsidR="00BA54BB" w:rsidRPr="00CF571C">
        <w:rPr>
          <w:rFonts w:ascii="Times New Roman" w:hAnsi="Times New Roman" w:cs="Times New Roman"/>
          <w:color w:val="000000" w:themeColor="text1"/>
          <w:sz w:val="21"/>
          <w:szCs w:val="21"/>
        </w:rPr>
        <w:t>对于教育和科技支出，横向趋同效果更为明显；对于医疗卫生和社会保障支出，省级纵向</w:t>
      </w:r>
      <w:r w:rsidR="00607BF3" w:rsidRPr="00CF571C">
        <w:rPr>
          <w:rFonts w:ascii="Times New Roman" w:hAnsi="Times New Roman" w:cs="Times New Roman" w:hint="eastAsia"/>
          <w:color w:val="000000" w:themeColor="text1"/>
          <w:sz w:val="21"/>
          <w:szCs w:val="21"/>
        </w:rPr>
        <w:t>统筹效果</w:t>
      </w:r>
      <w:r w:rsidR="00BA54BB" w:rsidRPr="00CF571C">
        <w:rPr>
          <w:rFonts w:ascii="Times New Roman" w:hAnsi="Times New Roman" w:cs="Times New Roman"/>
          <w:color w:val="000000" w:themeColor="text1"/>
          <w:sz w:val="21"/>
          <w:szCs w:val="21"/>
        </w:rPr>
        <w:t>更为明显。</w:t>
      </w:r>
    </w:p>
    <w:p w14:paraId="27EC42EA" w14:textId="77777777" w:rsidR="00380F04" w:rsidRPr="00CF571C" w:rsidRDefault="00DE4B4F" w:rsidP="007529E0">
      <w:pPr>
        <w:adjustRightInd w:val="0"/>
        <w:snapToGrid w:val="0"/>
        <w:ind w:firstLineChars="200" w:firstLine="420"/>
        <w:jc w:val="both"/>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本文研究发现是中国地方政府预算支出差异的特有故事，不论是纵向</w:t>
      </w:r>
      <w:r w:rsidR="00607BF3" w:rsidRPr="00CF571C">
        <w:rPr>
          <w:rFonts w:ascii="Times New Roman" w:hAnsi="Times New Roman" w:cs="Times New Roman" w:hint="eastAsia"/>
          <w:color w:val="000000" w:themeColor="text1"/>
          <w:sz w:val="21"/>
          <w:szCs w:val="21"/>
        </w:rPr>
        <w:t>统筹</w:t>
      </w:r>
      <w:r w:rsidRPr="00CF571C">
        <w:rPr>
          <w:rFonts w:ascii="Times New Roman" w:hAnsi="Times New Roman" w:cs="Times New Roman" w:hint="eastAsia"/>
          <w:color w:val="000000" w:themeColor="text1"/>
          <w:sz w:val="21"/>
          <w:szCs w:val="21"/>
        </w:rPr>
        <w:t>还是横向</w:t>
      </w:r>
      <w:r w:rsidR="00607BF3" w:rsidRPr="00CF571C">
        <w:rPr>
          <w:rFonts w:ascii="Times New Roman" w:hAnsi="Times New Roman" w:cs="Times New Roman" w:hint="eastAsia"/>
          <w:color w:val="000000" w:themeColor="text1"/>
          <w:sz w:val="21"/>
          <w:szCs w:val="21"/>
        </w:rPr>
        <w:t>趋同</w:t>
      </w:r>
      <w:r w:rsidRPr="00CF571C">
        <w:rPr>
          <w:rFonts w:ascii="Times New Roman" w:hAnsi="Times New Roman" w:cs="Times New Roman" w:hint="eastAsia"/>
          <w:color w:val="000000" w:themeColor="text1"/>
          <w:sz w:val="21"/>
          <w:szCs w:val="21"/>
        </w:rPr>
        <w:t>，均是我国特殊国情中的一般性规律。</w:t>
      </w:r>
      <w:r w:rsidRPr="00CF571C">
        <w:rPr>
          <w:rFonts w:ascii="Times New Roman" w:hAnsi="Times New Roman" w:cs="Times New Roman"/>
          <w:color w:val="000000" w:themeColor="text1"/>
          <w:sz w:val="21"/>
          <w:szCs w:val="21"/>
        </w:rPr>
        <w:t>我国地方民生性预算之所以有动机对来自纵向和横向的外部刺激做出反应，根本原因在于我国独特的财政制度设计</w:t>
      </w:r>
      <w:r w:rsidRPr="00CF571C">
        <w:rPr>
          <w:rFonts w:ascii="Times New Roman" w:hAnsi="Times New Roman" w:cs="Times New Roman" w:hint="eastAsia"/>
          <w:color w:val="000000" w:themeColor="text1"/>
          <w:sz w:val="21"/>
          <w:szCs w:val="21"/>
        </w:rPr>
        <w:t>，它</w:t>
      </w:r>
      <w:r w:rsidRPr="00CF571C">
        <w:rPr>
          <w:rFonts w:ascii="Times New Roman" w:hAnsi="Times New Roman" w:cs="Times New Roman"/>
          <w:color w:val="000000" w:themeColor="text1"/>
          <w:sz w:val="21"/>
          <w:szCs w:val="21"/>
        </w:rPr>
        <w:t>体现了我国财政体制的基本原则和底色</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统一领导、分级管理</w:t>
      </w:r>
      <w:r w:rsidRPr="00CF571C">
        <w:rPr>
          <w:rFonts w:ascii="Times New Roman" w:hAnsi="Times New Roman" w:cs="Times New Roman" w:hint="eastAsia"/>
          <w:color w:val="000000" w:themeColor="text1"/>
          <w:sz w:val="21"/>
          <w:szCs w:val="21"/>
        </w:rPr>
        <w:t>。首先，纵向影响的存在，</w:t>
      </w:r>
      <w:r w:rsidRPr="00CF571C">
        <w:rPr>
          <w:rFonts w:ascii="Times New Roman" w:hAnsi="Times New Roman" w:cs="Times New Roman"/>
          <w:color w:val="000000" w:themeColor="text1"/>
          <w:sz w:val="21"/>
          <w:szCs w:val="21"/>
        </w:rPr>
        <w:t>验证了上级政府对于下级政府预算编制产生</w:t>
      </w:r>
      <w:r w:rsidRPr="00CF571C">
        <w:rPr>
          <w:rFonts w:ascii="Times New Roman" w:hAnsi="Times New Roman" w:cs="Times New Roman" w:hint="eastAsia"/>
          <w:color w:val="000000" w:themeColor="text1"/>
          <w:sz w:val="21"/>
          <w:szCs w:val="21"/>
        </w:rPr>
        <w:t>统一领导</w:t>
      </w:r>
      <w:r w:rsidRPr="00CF571C">
        <w:rPr>
          <w:rFonts w:ascii="Times New Roman" w:hAnsi="Times New Roman" w:cs="Times New Roman"/>
          <w:color w:val="000000" w:themeColor="text1"/>
          <w:sz w:val="21"/>
          <w:szCs w:val="21"/>
        </w:rPr>
        <w:t>的事实，这是我国实行政府治理结构渐进变革，优化政府层级结构的重要表现，是</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有为政府</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利用统筹能力提升资源配置效率的有效反馈。</w:t>
      </w:r>
      <w:r w:rsidRPr="00CF571C">
        <w:rPr>
          <w:rFonts w:ascii="Times New Roman" w:hAnsi="Times New Roman" w:cs="Times New Roman" w:hint="eastAsia"/>
          <w:color w:val="000000" w:themeColor="text1"/>
          <w:sz w:val="21"/>
          <w:szCs w:val="21"/>
        </w:rPr>
        <w:t>其次，横向影响的存在，则验证了区域间政府的财政互动，体现了地方政府的财政积极性，</w:t>
      </w:r>
      <w:r w:rsidRPr="00CF571C">
        <w:rPr>
          <w:rFonts w:ascii="Times New Roman" w:hAnsi="Times New Roman" w:cs="Times New Roman"/>
          <w:color w:val="000000" w:themeColor="text1"/>
          <w:sz w:val="21"/>
          <w:szCs w:val="21"/>
        </w:rPr>
        <w:t>在不违背中央统一领导的前提下，能够因地制宜制定相应政策和管理财政收支</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这种独特的财政体制可以更好地统筹资源，协同发力，</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坚持全国一盘棋，调动各方面积极性，集中力量办大事</w:t>
      </w:r>
      <w:r w:rsidRPr="00CF571C">
        <w:rPr>
          <w:rFonts w:ascii="Times New Roman" w:hAnsi="Times New Roman" w:cs="Times New Roman"/>
          <w:color w:val="000000" w:themeColor="text1"/>
          <w:sz w:val="21"/>
          <w:szCs w:val="21"/>
        </w:rPr>
        <w:t>”</w:t>
      </w:r>
      <w:r w:rsidRPr="00CF571C">
        <w:rPr>
          <w:rFonts w:ascii="Times New Roman" w:hAnsi="Times New Roman" w:cs="Times New Roman"/>
          <w:color w:val="000000" w:themeColor="text1"/>
          <w:sz w:val="21"/>
          <w:szCs w:val="21"/>
        </w:rPr>
        <w:t>，发挥我国特色社会主义的制度优势，完成好新阶段经济社会发展任务目标。</w:t>
      </w:r>
    </w:p>
    <w:p w14:paraId="2DCFC00F" w14:textId="77777777" w:rsidR="00A716E2" w:rsidRPr="00CF571C" w:rsidRDefault="00A716E2" w:rsidP="006130E6">
      <w:pPr>
        <w:pStyle w:val="a3"/>
        <w:spacing w:beforeLines="50" w:before="156" w:afterLines="50" w:after="156"/>
        <w:ind w:left="357" w:firstLineChars="0" w:firstLine="0"/>
        <w:jc w:val="both"/>
        <w:rPr>
          <w:rFonts w:ascii="黑体" w:eastAsia="黑体" w:hAnsi="黑体" w:cs="Times New Roman"/>
          <w:b/>
          <w:bCs/>
          <w:color w:val="000000" w:themeColor="text1"/>
        </w:rPr>
      </w:pPr>
      <w:r w:rsidRPr="00CF571C">
        <w:rPr>
          <w:rFonts w:ascii="黑体" w:eastAsia="黑体" w:hAnsi="黑体" w:cs="Times New Roman" w:hint="eastAsia"/>
          <w:b/>
          <w:bCs/>
          <w:color w:val="000000" w:themeColor="text1"/>
        </w:rPr>
        <w:t>参考文献</w:t>
      </w:r>
      <w:r w:rsidR="007529E0" w:rsidRPr="00CF571C">
        <w:rPr>
          <w:rFonts w:ascii="黑体" w:eastAsia="黑体" w:hAnsi="黑体" w:cs="Times New Roman" w:hint="eastAsia"/>
          <w:b/>
          <w:bCs/>
          <w:color w:val="000000" w:themeColor="text1"/>
        </w:rPr>
        <w:t>：</w:t>
      </w:r>
    </w:p>
    <w:p w14:paraId="1607CA01"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邓慧慧</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赵家羚，</w:t>
      </w:r>
      <w:r w:rsidRPr="00CF571C">
        <w:rPr>
          <w:rFonts w:ascii="Times New Roman" w:hAnsi="Times New Roman" w:cs="Times New Roman"/>
          <w:color w:val="000000" w:themeColor="text1"/>
          <w:sz w:val="18"/>
          <w:szCs w:val="18"/>
        </w:rPr>
        <w:t>2018</w:t>
      </w:r>
      <w:r w:rsidRPr="00CF571C">
        <w:rPr>
          <w:rFonts w:ascii="Times New Roman" w:hAnsi="Times New Roman" w:cs="Times New Roman" w:hint="eastAsia"/>
          <w:color w:val="000000" w:themeColor="text1"/>
          <w:sz w:val="18"/>
          <w:szCs w:val="18"/>
        </w:rPr>
        <w:t>：</w:t>
      </w:r>
      <w:r w:rsidR="007E3540"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地方政府经济决策中的</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同群效应</w:t>
      </w:r>
      <w:r w:rsidRPr="00CF571C">
        <w:rPr>
          <w:rFonts w:ascii="Times New Roman" w:hAnsi="Times New Roman" w:cs="Times New Roman"/>
          <w:color w:val="000000" w:themeColor="text1"/>
          <w:sz w:val="18"/>
          <w:szCs w:val="18"/>
        </w:rPr>
        <w:t>”</w:t>
      </w:r>
      <w:r w:rsidR="007E3540"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，《中国工业经济》第</w:t>
      </w:r>
      <w:r w:rsidRPr="00CF571C">
        <w:rPr>
          <w:rFonts w:ascii="Times New Roman" w:hAnsi="Times New Roman" w:cs="Times New Roman"/>
          <w:color w:val="000000" w:themeColor="text1"/>
          <w:sz w:val="18"/>
          <w:szCs w:val="18"/>
        </w:rPr>
        <w:t>4</w:t>
      </w:r>
      <w:r w:rsidRPr="00CF571C">
        <w:rPr>
          <w:rFonts w:ascii="Times New Roman" w:hAnsi="Times New Roman" w:cs="Times New Roman" w:hint="eastAsia"/>
          <w:color w:val="000000" w:themeColor="text1"/>
          <w:sz w:val="18"/>
          <w:szCs w:val="18"/>
        </w:rPr>
        <w:t>期。</w:t>
      </w:r>
    </w:p>
    <w:p w14:paraId="43DD57F0"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付敏杰，</w:t>
      </w:r>
      <w:r w:rsidRPr="00CF571C">
        <w:rPr>
          <w:rFonts w:ascii="Times New Roman" w:hAnsi="Times New Roman" w:cs="Times New Roman"/>
          <w:color w:val="000000" w:themeColor="text1"/>
          <w:sz w:val="18"/>
          <w:szCs w:val="18"/>
        </w:rPr>
        <w:t>2016</w:t>
      </w:r>
      <w:r w:rsidRPr="00CF571C">
        <w:rPr>
          <w:rFonts w:ascii="Times New Roman" w:hAnsi="Times New Roman" w:cs="Times New Roman" w:hint="eastAsia"/>
          <w:color w:val="000000" w:themeColor="text1"/>
          <w:sz w:val="18"/>
          <w:szCs w:val="18"/>
        </w:rPr>
        <w:t>：</w:t>
      </w:r>
      <w:r w:rsidR="007E3540"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分税制二十年</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演进脉络与改革方向</w:t>
      </w:r>
      <w:r w:rsidR="007E3540"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，《社会学研究》第</w:t>
      </w:r>
      <w:r w:rsidRPr="00CF571C">
        <w:rPr>
          <w:rFonts w:ascii="Times New Roman" w:hAnsi="Times New Roman" w:cs="Times New Roman"/>
          <w:color w:val="000000" w:themeColor="text1"/>
          <w:sz w:val="18"/>
          <w:szCs w:val="18"/>
        </w:rPr>
        <w:t>5</w:t>
      </w:r>
      <w:r w:rsidRPr="00CF571C">
        <w:rPr>
          <w:rFonts w:ascii="Times New Roman" w:hAnsi="Times New Roman" w:cs="Times New Roman" w:hint="eastAsia"/>
          <w:color w:val="000000" w:themeColor="text1"/>
          <w:sz w:val="18"/>
          <w:szCs w:val="18"/>
        </w:rPr>
        <w:t>期。</w:t>
      </w:r>
    </w:p>
    <w:p w14:paraId="1D836848"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傅勇</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张晏，</w:t>
      </w:r>
      <w:r w:rsidRPr="00CF571C">
        <w:rPr>
          <w:rFonts w:ascii="Times New Roman" w:hAnsi="Times New Roman" w:cs="Times New Roman"/>
          <w:color w:val="000000" w:themeColor="text1"/>
          <w:sz w:val="18"/>
          <w:szCs w:val="18"/>
        </w:rPr>
        <w:t>2007</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中国式分权与财政支出结构偏向</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为增长而竞争的代价</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，《管理世界》第</w:t>
      </w:r>
      <w:r w:rsidRPr="00CF571C">
        <w:rPr>
          <w:rFonts w:ascii="Times New Roman" w:hAnsi="Times New Roman" w:cs="Times New Roman"/>
          <w:color w:val="000000" w:themeColor="text1"/>
          <w:sz w:val="18"/>
          <w:szCs w:val="18"/>
        </w:rPr>
        <w:t>3</w:t>
      </w:r>
      <w:r w:rsidRPr="00CF571C">
        <w:rPr>
          <w:rFonts w:ascii="Times New Roman" w:hAnsi="Times New Roman" w:cs="Times New Roman" w:hint="eastAsia"/>
          <w:color w:val="000000" w:themeColor="text1"/>
          <w:sz w:val="18"/>
          <w:szCs w:val="18"/>
        </w:rPr>
        <w:t>期。</w:t>
      </w:r>
    </w:p>
    <w:p w14:paraId="554460AE"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郭庆旺</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吕冰洋</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张德，</w:t>
      </w:r>
      <w:r w:rsidRPr="00CF571C">
        <w:rPr>
          <w:rFonts w:ascii="Times New Roman" w:hAnsi="Times New Roman" w:cs="Times New Roman"/>
          <w:color w:val="000000" w:themeColor="text1"/>
          <w:sz w:val="18"/>
          <w:szCs w:val="18"/>
        </w:rPr>
        <w:t>2003</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财政支出结构与经济增长</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，《经济理论与经济管理》第</w:t>
      </w:r>
      <w:r w:rsidRPr="00CF571C">
        <w:rPr>
          <w:rFonts w:ascii="Times New Roman" w:hAnsi="Times New Roman" w:cs="Times New Roman"/>
          <w:color w:val="000000" w:themeColor="text1"/>
          <w:sz w:val="18"/>
          <w:szCs w:val="18"/>
        </w:rPr>
        <w:t>11</w:t>
      </w:r>
      <w:r w:rsidRPr="00CF571C">
        <w:rPr>
          <w:rFonts w:ascii="Times New Roman" w:hAnsi="Times New Roman" w:cs="Times New Roman" w:hint="eastAsia"/>
          <w:color w:val="000000" w:themeColor="text1"/>
          <w:sz w:val="18"/>
          <w:szCs w:val="18"/>
        </w:rPr>
        <w:t>期。</w:t>
      </w:r>
    </w:p>
    <w:p w14:paraId="3B3DDAD6"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黄国平，</w:t>
      </w:r>
      <w:r w:rsidRPr="00CF571C">
        <w:rPr>
          <w:rFonts w:ascii="Times New Roman" w:hAnsi="Times New Roman" w:cs="Times New Roman"/>
          <w:color w:val="000000" w:themeColor="text1"/>
          <w:sz w:val="18"/>
          <w:szCs w:val="18"/>
        </w:rPr>
        <w:t>2013</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财政分权、城市化与地方财政支出结构失衡的实证分析</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以东中西部六省为例</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，《宏观经济研究》第</w:t>
      </w:r>
      <w:r w:rsidRPr="00CF571C">
        <w:rPr>
          <w:rFonts w:ascii="Times New Roman" w:hAnsi="Times New Roman" w:cs="Times New Roman"/>
          <w:color w:val="000000" w:themeColor="text1"/>
          <w:sz w:val="18"/>
          <w:szCs w:val="18"/>
        </w:rPr>
        <w:t>7</w:t>
      </w:r>
      <w:r w:rsidRPr="00CF571C">
        <w:rPr>
          <w:rFonts w:ascii="Times New Roman" w:hAnsi="Times New Roman" w:cs="Times New Roman" w:hint="eastAsia"/>
          <w:color w:val="000000" w:themeColor="text1"/>
          <w:sz w:val="18"/>
          <w:szCs w:val="18"/>
        </w:rPr>
        <w:t>期。</w:t>
      </w:r>
    </w:p>
    <w:p w14:paraId="4F012599"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贾康，</w:t>
      </w:r>
      <w:r w:rsidRPr="00CF571C">
        <w:rPr>
          <w:rFonts w:ascii="Times New Roman" w:hAnsi="Times New Roman" w:cs="Times New Roman"/>
          <w:color w:val="000000" w:themeColor="text1"/>
          <w:sz w:val="18"/>
          <w:szCs w:val="18"/>
        </w:rPr>
        <w:t>2008</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中国财税改革</w:t>
      </w:r>
      <w:r w:rsidRPr="00CF571C">
        <w:rPr>
          <w:rFonts w:ascii="Times New Roman" w:hAnsi="Times New Roman" w:cs="Times New Roman"/>
          <w:color w:val="000000" w:themeColor="text1"/>
          <w:sz w:val="18"/>
          <w:szCs w:val="18"/>
        </w:rPr>
        <w:t>30</w:t>
      </w:r>
      <w:r w:rsidRPr="00CF571C">
        <w:rPr>
          <w:rFonts w:ascii="Times New Roman" w:hAnsi="Times New Roman" w:cs="Times New Roman" w:hint="eastAsia"/>
          <w:color w:val="000000" w:themeColor="text1"/>
          <w:sz w:val="18"/>
          <w:szCs w:val="18"/>
        </w:rPr>
        <w:t>年</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简要回顾与评述</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，《财政研究》第</w:t>
      </w:r>
      <w:r w:rsidRPr="00CF571C">
        <w:rPr>
          <w:rFonts w:ascii="Times New Roman" w:hAnsi="Times New Roman" w:cs="Times New Roman"/>
          <w:color w:val="000000" w:themeColor="text1"/>
          <w:sz w:val="18"/>
          <w:szCs w:val="18"/>
        </w:rPr>
        <w:t>10</w:t>
      </w:r>
      <w:r w:rsidRPr="00CF571C">
        <w:rPr>
          <w:rFonts w:ascii="Times New Roman" w:hAnsi="Times New Roman" w:cs="Times New Roman" w:hint="eastAsia"/>
          <w:color w:val="000000" w:themeColor="text1"/>
          <w:sz w:val="18"/>
          <w:szCs w:val="18"/>
        </w:rPr>
        <w:t>期。</w:t>
      </w:r>
    </w:p>
    <w:p w14:paraId="7A0C40F6" w14:textId="77777777" w:rsidR="00024E74" w:rsidRPr="00CF571C" w:rsidRDefault="00024E74"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李沛霖，</w:t>
      </w:r>
      <w:r w:rsidRPr="00CF571C">
        <w:rPr>
          <w:rFonts w:ascii="Times New Roman" w:hAnsi="Times New Roman" w:cs="Times New Roman"/>
          <w:color w:val="000000" w:themeColor="text1"/>
          <w:sz w:val="18"/>
          <w:szCs w:val="18"/>
        </w:rPr>
        <w:t>2021</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户籍制度改革区域差异对人口流动影响研究</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，《人口与发展》第</w:t>
      </w:r>
      <w:r w:rsidRPr="00CF571C">
        <w:rPr>
          <w:rFonts w:ascii="Times New Roman" w:hAnsi="Times New Roman" w:cs="Times New Roman"/>
          <w:color w:val="000000" w:themeColor="text1"/>
          <w:sz w:val="18"/>
          <w:szCs w:val="18"/>
        </w:rPr>
        <w:t>6</w:t>
      </w:r>
      <w:r w:rsidRPr="00CF571C">
        <w:rPr>
          <w:rFonts w:ascii="Times New Roman" w:hAnsi="Times New Roman" w:cs="Times New Roman" w:hint="eastAsia"/>
          <w:color w:val="000000" w:themeColor="text1"/>
          <w:sz w:val="18"/>
          <w:szCs w:val="18"/>
        </w:rPr>
        <w:t>期。</w:t>
      </w:r>
    </w:p>
    <w:p w14:paraId="43250A2A"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李涛</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周业安，</w:t>
      </w:r>
      <w:r w:rsidRPr="00CF571C">
        <w:rPr>
          <w:rFonts w:ascii="Times New Roman" w:hAnsi="Times New Roman" w:cs="Times New Roman"/>
          <w:color w:val="000000" w:themeColor="text1"/>
          <w:sz w:val="18"/>
          <w:szCs w:val="18"/>
        </w:rPr>
        <w:t>2009</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中国地方政府间支出竞争研究</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基于中国省级面板数据的经验证据</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，《管理世界》第</w:t>
      </w:r>
      <w:r w:rsidRPr="00CF571C">
        <w:rPr>
          <w:rFonts w:ascii="Times New Roman" w:hAnsi="Times New Roman" w:cs="Times New Roman"/>
          <w:color w:val="000000" w:themeColor="text1"/>
          <w:sz w:val="18"/>
          <w:szCs w:val="18"/>
        </w:rPr>
        <w:t>2</w:t>
      </w:r>
      <w:r w:rsidRPr="00CF571C">
        <w:rPr>
          <w:rFonts w:ascii="Times New Roman" w:hAnsi="Times New Roman" w:cs="Times New Roman" w:hint="eastAsia"/>
          <w:color w:val="000000" w:themeColor="text1"/>
          <w:sz w:val="18"/>
          <w:szCs w:val="18"/>
        </w:rPr>
        <w:t>期。</w:t>
      </w:r>
    </w:p>
    <w:p w14:paraId="7F03BD34"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李盈萱</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方毅，</w:t>
      </w:r>
      <w:r w:rsidRPr="00CF571C">
        <w:rPr>
          <w:rFonts w:ascii="Times New Roman" w:hAnsi="Times New Roman" w:cs="Times New Roman"/>
          <w:color w:val="000000" w:themeColor="text1"/>
          <w:sz w:val="18"/>
          <w:szCs w:val="18"/>
        </w:rPr>
        <w:t>2021</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教育财政策略互动与区域协调发展</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基于空间溢出效应视角</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，《华东师范大学学报</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教育科学版</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》第</w:t>
      </w:r>
      <w:r w:rsidRPr="00CF571C">
        <w:rPr>
          <w:rFonts w:ascii="Times New Roman" w:hAnsi="Times New Roman" w:cs="Times New Roman"/>
          <w:color w:val="000000" w:themeColor="text1"/>
          <w:sz w:val="18"/>
          <w:szCs w:val="18"/>
        </w:rPr>
        <w:t>6</w:t>
      </w:r>
      <w:r w:rsidRPr="00CF571C">
        <w:rPr>
          <w:rFonts w:ascii="Times New Roman" w:hAnsi="Times New Roman" w:cs="Times New Roman" w:hint="eastAsia"/>
          <w:color w:val="000000" w:themeColor="text1"/>
          <w:sz w:val="18"/>
          <w:szCs w:val="18"/>
        </w:rPr>
        <w:t>期。</w:t>
      </w:r>
    </w:p>
    <w:p w14:paraId="4D7E6CD3"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李永友</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沈坤荣，</w:t>
      </w:r>
      <w:r w:rsidRPr="00CF571C">
        <w:rPr>
          <w:rFonts w:ascii="Times New Roman" w:hAnsi="Times New Roman" w:cs="Times New Roman"/>
          <w:color w:val="000000" w:themeColor="text1"/>
          <w:sz w:val="18"/>
          <w:szCs w:val="18"/>
        </w:rPr>
        <w:t>2008</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辖区间竞争、策略性财政政策与</w:t>
      </w:r>
      <w:r w:rsidRPr="00CF571C">
        <w:rPr>
          <w:rFonts w:ascii="Times New Roman" w:hAnsi="Times New Roman" w:cs="Times New Roman"/>
          <w:color w:val="000000" w:themeColor="text1"/>
          <w:sz w:val="18"/>
          <w:szCs w:val="18"/>
        </w:rPr>
        <w:t>FDI</w:t>
      </w:r>
      <w:r w:rsidRPr="00CF571C">
        <w:rPr>
          <w:rFonts w:ascii="Times New Roman" w:hAnsi="Times New Roman" w:cs="Times New Roman" w:hint="eastAsia"/>
          <w:color w:val="000000" w:themeColor="text1"/>
          <w:sz w:val="18"/>
          <w:szCs w:val="18"/>
        </w:rPr>
        <w:t>增长绩效的区域特征</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，《经济研究》第</w:t>
      </w:r>
      <w:r w:rsidRPr="00CF571C">
        <w:rPr>
          <w:rFonts w:ascii="Times New Roman" w:hAnsi="Times New Roman" w:cs="Times New Roman"/>
          <w:color w:val="000000" w:themeColor="text1"/>
          <w:sz w:val="18"/>
          <w:szCs w:val="18"/>
        </w:rPr>
        <w:t>5</w:t>
      </w:r>
      <w:r w:rsidRPr="00CF571C">
        <w:rPr>
          <w:rFonts w:ascii="Times New Roman" w:hAnsi="Times New Roman" w:cs="Times New Roman" w:hint="eastAsia"/>
          <w:color w:val="000000" w:themeColor="text1"/>
          <w:sz w:val="18"/>
          <w:szCs w:val="18"/>
        </w:rPr>
        <w:t>期。</w:t>
      </w:r>
    </w:p>
    <w:p w14:paraId="0621BB17"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罗春梅，</w:t>
      </w:r>
      <w:r w:rsidRPr="00CF571C">
        <w:rPr>
          <w:rFonts w:ascii="Times New Roman" w:hAnsi="Times New Roman" w:cs="Times New Roman"/>
          <w:color w:val="000000" w:themeColor="text1"/>
          <w:sz w:val="18"/>
          <w:szCs w:val="18"/>
        </w:rPr>
        <w:t>2004</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地方政府预算自主权的缺失问题研究</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，《中央财经大学学报》第</w:t>
      </w:r>
      <w:r w:rsidRPr="00CF571C">
        <w:rPr>
          <w:rFonts w:ascii="Times New Roman" w:hAnsi="Times New Roman" w:cs="Times New Roman"/>
          <w:color w:val="000000" w:themeColor="text1"/>
          <w:sz w:val="18"/>
          <w:szCs w:val="18"/>
        </w:rPr>
        <w:t>10</w:t>
      </w:r>
      <w:r w:rsidRPr="00CF571C">
        <w:rPr>
          <w:rFonts w:ascii="Times New Roman" w:hAnsi="Times New Roman" w:cs="Times New Roman" w:hint="eastAsia"/>
          <w:color w:val="000000" w:themeColor="text1"/>
          <w:sz w:val="18"/>
          <w:szCs w:val="18"/>
        </w:rPr>
        <w:t>期。</w:t>
      </w:r>
    </w:p>
    <w:p w14:paraId="57130C10" w14:textId="77777777" w:rsidR="00D31D73" w:rsidRPr="00CF571C" w:rsidRDefault="00D31D73" w:rsidP="00D31D73">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吕冰洋，</w:t>
      </w:r>
      <w:r w:rsidRPr="00CF571C">
        <w:rPr>
          <w:rFonts w:ascii="Times New Roman" w:hAnsi="Times New Roman" w:cs="Times New Roman"/>
          <w:color w:val="000000" w:themeColor="text1"/>
          <w:sz w:val="18"/>
          <w:szCs w:val="18"/>
        </w:rPr>
        <w:t>2022</w:t>
      </w:r>
      <w:r w:rsidRPr="00CF571C">
        <w:rPr>
          <w:rFonts w:ascii="Times New Roman" w:hAnsi="Times New Roman" w:cs="Times New Roman" w:hint="eastAsia"/>
          <w:color w:val="000000" w:themeColor="text1"/>
          <w:sz w:val="18"/>
          <w:szCs w:val="18"/>
        </w:rPr>
        <w:t>：</w:t>
      </w:r>
      <w:r w:rsidR="00D25BB1" w:rsidRPr="00CF571C">
        <w:rPr>
          <w:rFonts w:ascii="Times New Roman" w:hAnsi="Times New Roman" w:cs="Times New Roman" w:hint="eastAsia"/>
          <w:color w:val="000000" w:themeColor="text1"/>
          <w:sz w:val="18"/>
          <w:szCs w:val="18"/>
        </w:rPr>
        <w:t>《央地关系：寓活力于秩序》</w:t>
      </w:r>
      <w:r w:rsidRPr="00CF571C">
        <w:rPr>
          <w:rFonts w:ascii="Times New Roman" w:hAnsi="Times New Roman" w:cs="Times New Roman" w:hint="eastAsia"/>
          <w:color w:val="000000" w:themeColor="text1"/>
          <w:sz w:val="18"/>
          <w:szCs w:val="18"/>
        </w:rPr>
        <w:t>，</w:t>
      </w:r>
      <w:r w:rsidR="00D25BB1" w:rsidRPr="00CF571C">
        <w:rPr>
          <w:rFonts w:ascii="Times New Roman" w:hAnsi="Times New Roman" w:cs="Times New Roman" w:hint="eastAsia"/>
          <w:color w:val="000000" w:themeColor="text1"/>
          <w:sz w:val="18"/>
          <w:szCs w:val="18"/>
        </w:rPr>
        <w:t>商务印书馆</w:t>
      </w:r>
      <w:r w:rsidRPr="00CF571C">
        <w:rPr>
          <w:rFonts w:ascii="Times New Roman" w:hAnsi="Times New Roman" w:cs="Times New Roman" w:hint="eastAsia"/>
          <w:color w:val="000000" w:themeColor="text1"/>
          <w:sz w:val="18"/>
          <w:szCs w:val="18"/>
        </w:rPr>
        <w:t>。</w:t>
      </w:r>
    </w:p>
    <w:p w14:paraId="10C2B02F"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吕冰洋</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贺颖，</w:t>
      </w:r>
      <w:r w:rsidRPr="00CF571C">
        <w:rPr>
          <w:rFonts w:ascii="Times New Roman" w:hAnsi="Times New Roman" w:cs="Times New Roman"/>
          <w:color w:val="000000" w:themeColor="text1"/>
          <w:sz w:val="18"/>
          <w:szCs w:val="18"/>
        </w:rPr>
        <w:t>2022</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中国特色财政激励体制</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基于统一市场的视角</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，《中国社会科学》第</w:t>
      </w:r>
      <w:r w:rsidRPr="00CF571C">
        <w:rPr>
          <w:rFonts w:ascii="Times New Roman" w:hAnsi="Times New Roman" w:cs="Times New Roman"/>
          <w:color w:val="000000" w:themeColor="text1"/>
          <w:sz w:val="18"/>
          <w:szCs w:val="18"/>
        </w:rPr>
        <w:t>4</w:t>
      </w:r>
      <w:r w:rsidRPr="00CF571C">
        <w:rPr>
          <w:rFonts w:ascii="Times New Roman" w:hAnsi="Times New Roman" w:cs="Times New Roman" w:hint="eastAsia"/>
          <w:color w:val="000000" w:themeColor="text1"/>
          <w:sz w:val="18"/>
          <w:szCs w:val="18"/>
        </w:rPr>
        <w:t>期。</w:t>
      </w:r>
    </w:p>
    <w:p w14:paraId="17EDC3E8"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毛捷</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吕冰洋</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陈佩霞，</w:t>
      </w:r>
      <w:r w:rsidRPr="00CF571C">
        <w:rPr>
          <w:rFonts w:ascii="Times New Roman" w:hAnsi="Times New Roman" w:cs="Times New Roman"/>
          <w:color w:val="000000" w:themeColor="text1"/>
          <w:sz w:val="18"/>
          <w:szCs w:val="18"/>
        </w:rPr>
        <w:t>2018</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分税的事实</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度量中国县级财政分权的数据基础</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《经济学</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季刊</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》第</w:t>
      </w:r>
      <w:r w:rsidRPr="00CF571C">
        <w:rPr>
          <w:rFonts w:ascii="Times New Roman" w:hAnsi="Times New Roman" w:cs="Times New Roman"/>
          <w:color w:val="000000" w:themeColor="text1"/>
          <w:sz w:val="18"/>
          <w:szCs w:val="18"/>
        </w:rPr>
        <w:t>2</w:t>
      </w:r>
      <w:r w:rsidRPr="00CF571C">
        <w:rPr>
          <w:rFonts w:ascii="Times New Roman" w:hAnsi="Times New Roman" w:cs="Times New Roman" w:hint="eastAsia"/>
          <w:color w:val="000000" w:themeColor="text1"/>
          <w:sz w:val="18"/>
          <w:szCs w:val="18"/>
        </w:rPr>
        <w:t>期。</w:t>
      </w:r>
    </w:p>
    <w:p w14:paraId="1781640A"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宁静</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赵旭杰，</w:t>
      </w:r>
      <w:r w:rsidRPr="00CF571C">
        <w:rPr>
          <w:rFonts w:ascii="Times New Roman" w:hAnsi="Times New Roman" w:cs="Times New Roman"/>
          <w:color w:val="000000" w:themeColor="text1"/>
          <w:sz w:val="18"/>
          <w:szCs w:val="18"/>
        </w:rPr>
        <w:t>2019</w:t>
      </w:r>
      <w:r w:rsidRPr="00CF571C">
        <w:rPr>
          <w:rFonts w:ascii="Times New Roman" w:hAnsi="Times New Roman" w:cs="Times New Roman" w:hint="eastAsia"/>
          <w:color w:val="000000" w:themeColor="text1"/>
          <w:sz w:val="18"/>
          <w:szCs w:val="18"/>
        </w:rPr>
        <w:t>：</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纵向财政关系改革与基层政府财力保障</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准自然实验分析</w:t>
      </w:r>
      <w:r w:rsidR="00237178"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，《财贸经济》第</w:t>
      </w:r>
      <w:r w:rsidRPr="00CF571C">
        <w:rPr>
          <w:rFonts w:ascii="Times New Roman" w:hAnsi="Times New Roman" w:cs="Times New Roman"/>
          <w:color w:val="000000" w:themeColor="text1"/>
          <w:sz w:val="18"/>
          <w:szCs w:val="18"/>
        </w:rPr>
        <w:t>1</w:t>
      </w:r>
      <w:r w:rsidRPr="00CF571C">
        <w:rPr>
          <w:rFonts w:ascii="Times New Roman" w:hAnsi="Times New Roman" w:cs="Times New Roman" w:hint="eastAsia"/>
          <w:color w:val="000000" w:themeColor="text1"/>
          <w:sz w:val="18"/>
          <w:szCs w:val="18"/>
        </w:rPr>
        <w:t>期。</w:t>
      </w:r>
    </w:p>
    <w:p w14:paraId="59E7956B"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乔宝云</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范剑勇</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冯兴元，</w:t>
      </w:r>
      <w:r w:rsidR="00D66C0F" w:rsidRPr="00CF571C">
        <w:rPr>
          <w:rFonts w:ascii="Times New Roman" w:hAnsi="Times New Roman" w:cs="Times New Roman"/>
          <w:color w:val="000000" w:themeColor="text1"/>
          <w:sz w:val="18"/>
          <w:szCs w:val="18"/>
        </w:rPr>
        <w:t>2005</w:t>
      </w:r>
      <w:r w:rsidR="00D66C0F"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中国的财政分权与小学义务教育</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，《中国社会科学》第</w:t>
      </w:r>
      <w:r w:rsidRPr="00CF571C">
        <w:rPr>
          <w:rFonts w:ascii="Times New Roman" w:hAnsi="Times New Roman" w:cs="Times New Roman"/>
          <w:color w:val="000000" w:themeColor="text1"/>
          <w:sz w:val="18"/>
          <w:szCs w:val="18"/>
        </w:rPr>
        <w:t>6</w:t>
      </w:r>
      <w:r w:rsidRPr="00CF571C">
        <w:rPr>
          <w:rFonts w:ascii="Times New Roman" w:hAnsi="Times New Roman" w:cs="Times New Roman" w:hint="eastAsia"/>
          <w:color w:val="000000" w:themeColor="text1"/>
          <w:sz w:val="18"/>
          <w:szCs w:val="18"/>
        </w:rPr>
        <w:t>期。</w:t>
      </w:r>
    </w:p>
    <w:p w14:paraId="245C1625"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王德祥</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张权，</w:t>
      </w:r>
      <w:r w:rsidRPr="00CF571C">
        <w:rPr>
          <w:rFonts w:ascii="Times New Roman" w:hAnsi="Times New Roman" w:cs="Times New Roman"/>
          <w:color w:val="000000" w:themeColor="text1"/>
          <w:sz w:val="18"/>
          <w:szCs w:val="18"/>
        </w:rPr>
        <w:t>2011</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FDI</w:t>
      </w:r>
      <w:r w:rsidRPr="00CF571C">
        <w:rPr>
          <w:rFonts w:ascii="Times New Roman" w:hAnsi="Times New Roman" w:cs="Times New Roman" w:hint="eastAsia"/>
          <w:color w:val="000000" w:themeColor="text1"/>
          <w:sz w:val="18"/>
          <w:szCs w:val="18"/>
        </w:rPr>
        <w:t>与地方政府财政支出结构的关系研究</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基于中国东、中、西部地区</w:t>
      </w:r>
      <w:r w:rsidRPr="00CF571C">
        <w:rPr>
          <w:rFonts w:ascii="Times New Roman" w:hAnsi="Times New Roman" w:cs="Times New Roman"/>
          <w:color w:val="000000" w:themeColor="text1"/>
          <w:sz w:val="18"/>
          <w:szCs w:val="18"/>
        </w:rPr>
        <w:t>29</w:t>
      </w:r>
      <w:r w:rsidRPr="00CF571C">
        <w:rPr>
          <w:rFonts w:ascii="Times New Roman" w:hAnsi="Times New Roman" w:cs="Times New Roman" w:hint="eastAsia"/>
          <w:color w:val="000000" w:themeColor="text1"/>
          <w:sz w:val="18"/>
          <w:szCs w:val="18"/>
        </w:rPr>
        <w:t>个省市区面板数据</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，《财贸研究》第</w:t>
      </w:r>
      <w:r w:rsidRPr="00CF571C">
        <w:rPr>
          <w:rFonts w:ascii="Times New Roman" w:hAnsi="Times New Roman" w:cs="Times New Roman"/>
          <w:color w:val="000000" w:themeColor="text1"/>
          <w:sz w:val="18"/>
          <w:szCs w:val="18"/>
        </w:rPr>
        <w:t>1</w:t>
      </w:r>
      <w:r w:rsidRPr="00CF571C">
        <w:rPr>
          <w:rFonts w:ascii="Times New Roman" w:hAnsi="Times New Roman" w:cs="Times New Roman" w:hint="eastAsia"/>
          <w:color w:val="000000" w:themeColor="text1"/>
          <w:sz w:val="18"/>
          <w:szCs w:val="18"/>
        </w:rPr>
        <w:t>期。</w:t>
      </w:r>
    </w:p>
    <w:p w14:paraId="7BCA4EF9"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王永钦</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张晏</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章元</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陈钊</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陆铭，</w:t>
      </w:r>
      <w:r w:rsidRPr="00CF571C">
        <w:rPr>
          <w:rFonts w:ascii="Times New Roman" w:hAnsi="Times New Roman" w:cs="Times New Roman"/>
          <w:color w:val="000000" w:themeColor="text1"/>
          <w:sz w:val="18"/>
          <w:szCs w:val="18"/>
        </w:rPr>
        <w:t>2006</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十字路口的中国经济</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基于经济学文献的分析</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，《世界经济》第</w:t>
      </w:r>
      <w:r w:rsidRPr="00CF571C">
        <w:rPr>
          <w:rFonts w:ascii="Times New Roman" w:hAnsi="Times New Roman" w:cs="Times New Roman"/>
          <w:color w:val="000000" w:themeColor="text1"/>
          <w:sz w:val="18"/>
          <w:szCs w:val="18"/>
        </w:rPr>
        <w:t>10</w:t>
      </w:r>
      <w:r w:rsidRPr="00CF571C">
        <w:rPr>
          <w:rFonts w:ascii="Times New Roman" w:hAnsi="Times New Roman" w:cs="Times New Roman" w:hint="eastAsia"/>
          <w:color w:val="000000" w:themeColor="text1"/>
          <w:sz w:val="18"/>
          <w:szCs w:val="18"/>
        </w:rPr>
        <w:t>期。</w:t>
      </w:r>
    </w:p>
    <w:p w14:paraId="1B4495E1"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吴延兵，</w:t>
      </w:r>
      <w:r w:rsidRPr="00CF571C">
        <w:rPr>
          <w:rFonts w:ascii="Times New Roman" w:hAnsi="Times New Roman" w:cs="Times New Roman"/>
          <w:color w:val="000000" w:themeColor="text1"/>
          <w:sz w:val="18"/>
          <w:szCs w:val="18"/>
        </w:rPr>
        <w:t>2017</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中国式分权下的偏向性投资</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，《经济研究》第</w:t>
      </w:r>
      <w:r w:rsidRPr="00CF571C">
        <w:rPr>
          <w:rFonts w:ascii="Times New Roman" w:hAnsi="Times New Roman" w:cs="Times New Roman"/>
          <w:color w:val="000000" w:themeColor="text1"/>
          <w:sz w:val="18"/>
          <w:szCs w:val="18"/>
        </w:rPr>
        <w:t>6</w:t>
      </w:r>
      <w:r w:rsidRPr="00CF571C">
        <w:rPr>
          <w:rFonts w:ascii="Times New Roman" w:hAnsi="Times New Roman" w:cs="Times New Roman" w:hint="eastAsia"/>
          <w:color w:val="000000" w:themeColor="text1"/>
          <w:sz w:val="18"/>
          <w:szCs w:val="18"/>
        </w:rPr>
        <w:t>期。</w:t>
      </w:r>
    </w:p>
    <w:p w14:paraId="3136901D"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熊伟，</w:t>
      </w:r>
      <w:r w:rsidRPr="00CF571C">
        <w:rPr>
          <w:rFonts w:ascii="Times New Roman" w:hAnsi="Times New Roman" w:cs="Times New Roman"/>
          <w:color w:val="000000" w:themeColor="text1"/>
          <w:sz w:val="18"/>
          <w:szCs w:val="18"/>
        </w:rPr>
        <w:t>2015</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财政分税制与地方预算自主权</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，《武汉大学学报</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哲学社会科学版</w:t>
      </w:r>
      <w:r w:rsidRPr="00CF571C">
        <w:rPr>
          <w:rFonts w:ascii="Times New Roman" w:hAnsi="Times New Roman" w:cs="Times New Roman"/>
          <w:color w:val="000000" w:themeColor="text1"/>
          <w:sz w:val="18"/>
          <w:szCs w:val="18"/>
        </w:rPr>
        <w:t>)</w:t>
      </w:r>
      <w:r w:rsidRPr="00CF571C">
        <w:rPr>
          <w:rFonts w:ascii="Times New Roman" w:hAnsi="Times New Roman" w:cs="Times New Roman" w:hint="eastAsia"/>
          <w:color w:val="000000" w:themeColor="text1"/>
          <w:sz w:val="18"/>
          <w:szCs w:val="18"/>
        </w:rPr>
        <w:t>》第</w:t>
      </w:r>
      <w:r w:rsidRPr="00CF571C">
        <w:rPr>
          <w:rFonts w:ascii="Times New Roman" w:hAnsi="Times New Roman" w:cs="Times New Roman"/>
          <w:color w:val="000000" w:themeColor="text1"/>
          <w:sz w:val="18"/>
          <w:szCs w:val="18"/>
        </w:rPr>
        <w:t>3</w:t>
      </w:r>
      <w:r w:rsidRPr="00CF571C">
        <w:rPr>
          <w:rFonts w:ascii="Times New Roman" w:hAnsi="Times New Roman" w:cs="Times New Roman" w:hint="eastAsia"/>
          <w:color w:val="000000" w:themeColor="text1"/>
          <w:sz w:val="18"/>
          <w:szCs w:val="18"/>
        </w:rPr>
        <w:t>期。</w:t>
      </w:r>
    </w:p>
    <w:p w14:paraId="154364EE"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姚东旻</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许艺煊</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高秋男</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赵江威，</w:t>
      </w:r>
      <w:r w:rsidRPr="00CF571C">
        <w:rPr>
          <w:rFonts w:ascii="Times New Roman" w:hAnsi="Times New Roman" w:cs="Times New Roman"/>
          <w:color w:val="000000" w:themeColor="text1"/>
          <w:sz w:val="18"/>
          <w:szCs w:val="18"/>
        </w:rPr>
        <w:t>2020</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省际预算支出结构的差异及其主要来源</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，《财贸经济》第</w:t>
      </w:r>
      <w:r w:rsidRPr="00CF571C">
        <w:rPr>
          <w:rFonts w:ascii="Times New Roman" w:hAnsi="Times New Roman" w:cs="Times New Roman"/>
          <w:color w:val="000000" w:themeColor="text1"/>
          <w:sz w:val="18"/>
          <w:szCs w:val="18"/>
        </w:rPr>
        <w:t>9</w:t>
      </w:r>
      <w:r w:rsidRPr="00CF571C">
        <w:rPr>
          <w:rFonts w:ascii="Times New Roman" w:hAnsi="Times New Roman" w:cs="Times New Roman" w:hint="eastAsia"/>
          <w:color w:val="000000" w:themeColor="text1"/>
          <w:sz w:val="18"/>
          <w:szCs w:val="18"/>
        </w:rPr>
        <w:t>期。</w:t>
      </w:r>
    </w:p>
    <w:p w14:paraId="5583C15F"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尹恒</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徐琰超，</w:t>
      </w:r>
      <w:r w:rsidRPr="00CF571C">
        <w:rPr>
          <w:rFonts w:ascii="Times New Roman" w:hAnsi="Times New Roman" w:cs="Times New Roman"/>
          <w:color w:val="000000" w:themeColor="text1"/>
          <w:sz w:val="18"/>
          <w:szCs w:val="18"/>
        </w:rPr>
        <w:t>2011</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地市级地区间基本建设公共支出的相互影响</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，《经济研究》第</w:t>
      </w:r>
      <w:r w:rsidRPr="00CF571C">
        <w:rPr>
          <w:rFonts w:ascii="Times New Roman" w:hAnsi="Times New Roman" w:cs="Times New Roman"/>
          <w:color w:val="000000" w:themeColor="text1"/>
          <w:sz w:val="18"/>
          <w:szCs w:val="18"/>
        </w:rPr>
        <w:t>7</w:t>
      </w:r>
      <w:r w:rsidRPr="00CF571C">
        <w:rPr>
          <w:rFonts w:ascii="Times New Roman" w:hAnsi="Times New Roman" w:cs="Times New Roman" w:hint="eastAsia"/>
          <w:color w:val="000000" w:themeColor="text1"/>
          <w:sz w:val="18"/>
          <w:szCs w:val="18"/>
        </w:rPr>
        <w:t>期。</w:t>
      </w:r>
    </w:p>
    <w:p w14:paraId="3A9E3B38"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尹恒</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杨龙见，</w:t>
      </w:r>
      <w:r w:rsidRPr="00CF571C">
        <w:rPr>
          <w:rFonts w:ascii="Times New Roman" w:hAnsi="Times New Roman" w:cs="Times New Roman"/>
          <w:color w:val="000000" w:themeColor="text1"/>
          <w:sz w:val="18"/>
          <w:szCs w:val="18"/>
        </w:rPr>
        <w:t>2014</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地方财政对本地居民偏好的回应性研究</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，《中国社会科学》第</w:t>
      </w:r>
      <w:r w:rsidRPr="00CF571C">
        <w:rPr>
          <w:rFonts w:ascii="Times New Roman" w:hAnsi="Times New Roman" w:cs="Times New Roman"/>
          <w:color w:val="000000" w:themeColor="text1"/>
          <w:sz w:val="18"/>
          <w:szCs w:val="18"/>
        </w:rPr>
        <w:t>5</w:t>
      </w:r>
      <w:r w:rsidRPr="00CF571C">
        <w:rPr>
          <w:rFonts w:ascii="Times New Roman" w:hAnsi="Times New Roman" w:cs="Times New Roman" w:hint="eastAsia"/>
          <w:color w:val="000000" w:themeColor="text1"/>
          <w:sz w:val="18"/>
          <w:szCs w:val="18"/>
        </w:rPr>
        <w:t>期。</w:t>
      </w:r>
    </w:p>
    <w:p w14:paraId="6352A7C9"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尹恒</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朱虹，</w:t>
      </w:r>
      <w:r w:rsidRPr="00CF571C">
        <w:rPr>
          <w:rFonts w:ascii="Times New Roman" w:hAnsi="Times New Roman" w:cs="Times New Roman"/>
          <w:color w:val="000000" w:themeColor="text1"/>
          <w:sz w:val="18"/>
          <w:szCs w:val="18"/>
        </w:rPr>
        <w:t>2011</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县级财政生产性支出偏向研究</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，《中国社会科学》第</w:t>
      </w:r>
      <w:r w:rsidRPr="00CF571C">
        <w:rPr>
          <w:rFonts w:ascii="Times New Roman" w:hAnsi="Times New Roman" w:cs="Times New Roman"/>
          <w:color w:val="000000" w:themeColor="text1"/>
          <w:sz w:val="18"/>
          <w:szCs w:val="18"/>
        </w:rPr>
        <w:t>1</w:t>
      </w:r>
      <w:r w:rsidRPr="00CF571C">
        <w:rPr>
          <w:rFonts w:ascii="Times New Roman" w:hAnsi="Times New Roman" w:cs="Times New Roman" w:hint="eastAsia"/>
          <w:color w:val="000000" w:themeColor="text1"/>
          <w:sz w:val="18"/>
          <w:szCs w:val="18"/>
        </w:rPr>
        <w:t>期。</w:t>
      </w:r>
    </w:p>
    <w:p w14:paraId="74FBBF0E"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lastRenderedPageBreak/>
        <w:t>张恒龙</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陈宪，</w:t>
      </w:r>
      <w:r w:rsidRPr="00CF571C">
        <w:rPr>
          <w:rFonts w:ascii="Times New Roman" w:hAnsi="Times New Roman" w:cs="Times New Roman"/>
          <w:color w:val="000000" w:themeColor="text1"/>
          <w:sz w:val="18"/>
          <w:szCs w:val="18"/>
        </w:rPr>
        <w:t>2006</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财政竞争对地方公共支出结构的影响</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以中国的招商引资竞争为例</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，《经济社会体制比较》第</w:t>
      </w:r>
      <w:r w:rsidRPr="00CF571C">
        <w:rPr>
          <w:rFonts w:ascii="Times New Roman" w:hAnsi="Times New Roman" w:cs="Times New Roman"/>
          <w:color w:val="000000" w:themeColor="text1"/>
          <w:sz w:val="18"/>
          <w:szCs w:val="18"/>
        </w:rPr>
        <w:t>6</w:t>
      </w:r>
      <w:r w:rsidRPr="00CF571C">
        <w:rPr>
          <w:rFonts w:ascii="Times New Roman" w:hAnsi="Times New Roman" w:cs="Times New Roman" w:hint="eastAsia"/>
          <w:color w:val="000000" w:themeColor="text1"/>
          <w:sz w:val="18"/>
          <w:szCs w:val="18"/>
        </w:rPr>
        <w:t>期。</w:t>
      </w:r>
    </w:p>
    <w:p w14:paraId="78DD71A5"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张宇，</w:t>
      </w:r>
      <w:r w:rsidRPr="00CF571C">
        <w:rPr>
          <w:rFonts w:ascii="Times New Roman" w:hAnsi="Times New Roman" w:cs="Times New Roman"/>
          <w:color w:val="000000" w:themeColor="text1"/>
          <w:sz w:val="18"/>
          <w:szCs w:val="18"/>
        </w:rPr>
        <w:t>2013</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财政分权与政府财政支出结构偏异</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中国政府为何偏好生产性支出</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，《南开经济研究》第</w:t>
      </w:r>
      <w:r w:rsidRPr="00CF571C">
        <w:rPr>
          <w:rFonts w:ascii="Times New Roman" w:hAnsi="Times New Roman" w:cs="Times New Roman"/>
          <w:color w:val="000000" w:themeColor="text1"/>
          <w:sz w:val="18"/>
          <w:szCs w:val="18"/>
        </w:rPr>
        <w:t>3</w:t>
      </w:r>
      <w:r w:rsidRPr="00CF571C">
        <w:rPr>
          <w:rFonts w:ascii="Times New Roman" w:hAnsi="Times New Roman" w:cs="Times New Roman" w:hint="eastAsia"/>
          <w:color w:val="000000" w:themeColor="text1"/>
          <w:sz w:val="18"/>
          <w:szCs w:val="18"/>
        </w:rPr>
        <w:t>期。</w:t>
      </w:r>
    </w:p>
    <w:p w14:paraId="625DC6FE"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张志超</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丁宏，</w:t>
      </w:r>
      <w:r w:rsidRPr="00CF571C">
        <w:rPr>
          <w:rFonts w:ascii="Times New Roman" w:hAnsi="Times New Roman" w:cs="Times New Roman"/>
          <w:color w:val="000000" w:themeColor="text1"/>
          <w:sz w:val="18"/>
          <w:szCs w:val="18"/>
        </w:rPr>
        <w:t>2009</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优化政府财政支出结构的理论思考</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，《经济学动态》第</w:t>
      </w:r>
      <w:r w:rsidRPr="00CF571C">
        <w:rPr>
          <w:rFonts w:ascii="Times New Roman" w:hAnsi="Times New Roman" w:cs="Times New Roman"/>
          <w:color w:val="000000" w:themeColor="text1"/>
          <w:sz w:val="18"/>
          <w:szCs w:val="18"/>
        </w:rPr>
        <w:t>4</w:t>
      </w:r>
      <w:r w:rsidRPr="00CF571C">
        <w:rPr>
          <w:rFonts w:ascii="Times New Roman" w:hAnsi="Times New Roman" w:cs="Times New Roman" w:hint="eastAsia"/>
          <w:color w:val="000000" w:themeColor="text1"/>
          <w:sz w:val="18"/>
          <w:szCs w:val="18"/>
        </w:rPr>
        <w:t>期。</w:t>
      </w:r>
    </w:p>
    <w:p w14:paraId="42A7E872"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周黎安，</w:t>
      </w:r>
      <w:r w:rsidRPr="00CF571C">
        <w:rPr>
          <w:rFonts w:ascii="Times New Roman" w:hAnsi="Times New Roman" w:cs="Times New Roman"/>
          <w:color w:val="000000" w:themeColor="text1"/>
          <w:sz w:val="18"/>
          <w:szCs w:val="18"/>
        </w:rPr>
        <w:t>2004</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晋升博弈中政府官员的激励与合作</w:t>
      </w:r>
      <w:r w:rsidR="009A7E73"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兼论我国地方保护主义和重复建设问题长期存在的原因</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，《经济研究》第</w:t>
      </w:r>
      <w:r w:rsidRPr="00CF571C">
        <w:rPr>
          <w:rFonts w:ascii="Times New Roman" w:hAnsi="Times New Roman" w:cs="Times New Roman"/>
          <w:color w:val="000000" w:themeColor="text1"/>
          <w:sz w:val="18"/>
          <w:szCs w:val="18"/>
        </w:rPr>
        <w:t>6</w:t>
      </w:r>
      <w:r w:rsidRPr="00CF571C">
        <w:rPr>
          <w:rFonts w:ascii="Times New Roman" w:hAnsi="Times New Roman" w:cs="Times New Roman" w:hint="eastAsia"/>
          <w:color w:val="000000" w:themeColor="text1"/>
          <w:sz w:val="18"/>
          <w:szCs w:val="18"/>
        </w:rPr>
        <w:t>期。</w:t>
      </w:r>
    </w:p>
    <w:p w14:paraId="3E8D4604" w14:textId="77777777" w:rsidR="00A716E2" w:rsidRPr="00CF571C" w:rsidRDefault="00A716E2" w:rsidP="007529E0">
      <w:pPr>
        <w:rPr>
          <w:rFonts w:ascii="Times New Roman" w:hAnsi="Times New Roman" w:cs="Times New Roman"/>
          <w:color w:val="000000" w:themeColor="text1"/>
          <w:sz w:val="18"/>
          <w:szCs w:val="18"/>
        </w:rPr>
      </w:pPr>
      <w:bookmarkStart w:id="48" w:name="OLE_LINK1"/>
      <w:bookmarkStart w:id="49" w:name="OLE_LINK2"/>
      <w:r w:rsidRPr="00CF571C">
        <w:rPr>
          <w:rFonts w:ascii="Times New Roman" w:hAnsi="Times New Roman" w:cs="Times New Roman" w:hint="eastAsia"/>
          <w:color w:val="000000" w:themeColor="text1"/>
          <w:sz w:val="18"/>
          <w:szCs w:val="18"/>
        </w:rPr>
        <w:t>周亚虹</w:t>
      </w:r>
      <w:bookmarkEnd w:id="48"/>
      <w:bookmarkEnd w:id="49"/>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宗庆庆</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陈曦明，</w:t>
      </w:r>
      <w:r w:rsidRPr="00CF571C">
        <w:rPr>
          <w:rFonts w:ascii="Times New Roman" w:hAnsi="Times New Roman" w:cs="Times New Roman"/>
          <w:color w:val="000000" w:themeColor="text1"/>
          <w:sz w:val="18"/>
          <w:szCs w:val="18"/>
        </w:rPr>
        <w:t>2013</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财政分权体制下地市级政府教育支出的标尺竞争</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，《经济研究》第</w:t>
      </w:r>
      <w:r w:rsidRPr="00CF571C">
        <w:rPr>
          <w:rFonts w:ascii="Times New Roman" w:hAnsi="Times New Roman" w:cs="Times New Roman"/>
          <w:color w:val="000000" w:themeColor="text1"/>
          <w:sz w:val="18"/>
          <w:szCs w:val="18"/>
        </w:rPr>
        <w:t>11</w:t>
      </w:r>
      <w:r w:rsidRPr="00CF571C">
        <w:rPr>
          <w:rFonts w:ascii="Times New Roman" w:hAnsi="Times New Roman" w:cs="Times New Roman" w:hint="eastAsia"/>
          <w:color w:val="000000" w:themeColor="text1"/>
          <w:sz w:val="18"/>
          <w:szCs w:val="18"/>
        </w:rPr>
        <w:t>期。</w:t>
      </w:r>
    </w:p>
    <w:p w14:paraId="4CC3D0CF"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hint="eastAsia"/>
          <w:color w:val="000000" w:themeColor="text1"/>
          <w:sz w:val="18"/>
          <w:szCs w:val="18"/>
        </w:rPr>
        <w:t>祝树金</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hint="eastAsia"/>
          <w:color w:val="000000" w:themeColor="text1"/>
          <w:sz w:val="18"/>
          <w:szCs w:val="18"/>
        </w:rPr>
        <w:t>虢娟，</w:t>
      </w:r>
      <w:r w:rsidRPr="00CF571C">
        <w:rPr>
          <w:rFonts w:ascii="Times New Roman" w:hAnsi="Times New Roman" w:cs="Times New Roman"/>
          <w:color w:val="000000" w:themeColor="text1"/>
          <w:sz w:val="18"/>
          <w:szCs w:val="18"/>
        </w:rPr>
        <w:t>2008</w:t>
      </w:r>
      <w:r w:rsidRPr="00CF571C">
        <w:rPr>
          <w:rFonts w:ascii="Times New Roman" w:hAnsi="Times New Roman" w:cs="Times New Roman" w:hint="eastAsia"/>
          <w:color w:val="000000" w:themeColor="text1"/>
          <w:sz w:val="18"/>
          <w:szCs w:val="18"/>
        </w:rPr>
        <w:t>：</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开放条件下的教育支出、教育溢出与经济增长</w:t>
      </w:r>
      <w:r w:rsidR="006B2D6B" w:rsidRPr="00CF571C">
        <w:rPr>
          <w:rFonts w:ascii="Times New Roman" w:hAnsi="Times New Roman" w:cs="Times New Roman" w:hint="eastAsia"/>
          <w:color w:val="000000" w:themeColor="text1"/>
          <w:sz w:val="18"/>
          <w:szCs w:val="18"/>
        </w:rPr>
        <w:t>》</w:t>
      </w:r>
      <w:r w:rsidRPr="00CF571C">
        <w:rPr>
          <w:rFonts w:ascii="Times New Roman" w:hAnsi="Times New Roman" w:cs="Times New Roman" w:hint="eastAsia"/>
          <w:color w:val="000000" w:themeColor="text1"/>
          <w:sz w:val="18"/>
          <w:szCs w:val="18"/>
        </w:rPr>
        <w:t>，《世界经济》第</w:t>
      </w:r>
      <w:r w:rsidRPr="00CF571C">
        <w:rPr>
          <w:rFonts w:ascii="Times New Roman" w:hAnsi="Times New Roman" w:cs="Times New Roman"/>
          <w:color w:val="000000" w:themeColor="text1"/>
          <w:sz w:val="18"/>
          <w:szCs w:val="18"/>
        </w:rPr>
        <w:t>5</w:t>
      </w:r>
      <w:r w:rsidRPr="00CF571C">
        <w:rPr>
          <w:rFonts w:ascii="Times New Roman" w:hAnsi="Times New Roman" w:cs="Times New Roman" w:hint="eastAsia"/>
          <w:color w:val="000000" w:themeColor="text1"/>
          <w:sz w:val="18"/>
          <w:szCs w:val="18"/>
        </w:rPr>
        <w:t>期。</w:t>
      </w:r>
    </w:p>
    <w:p w14:paraId="0F2E685F"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 xml:space="preserve">Case, A.C. et al(1993), “Budget spillovers and fiscal policy interdependence : Evidence from the states”, </w:t>
      </w:r>
      <w:r w:rsidRPr="00CF571C">
        <w:rPr>
          <w:rFonts w:ascii="Times New Roman" w:hAnsi="Times New Roman" w:cs="Times New Roman"/>
          <w:i/>
          <w:iCs/>
          <w:color w:val="000000" w:themeColor="text1"/>
          <w:sz w:val="18"/>
          <w:szCs w:val="18"/>
        </w:rPr>
        <w:t xml:space="preserve">Journal of Public Economics </w:t>
      </w:r>
      <w:r w:rsidRPr="00CF571C">
        <w:rPr>
          <w:rFonts w:ascii="Times New Roman" w:hAnsi="Times New Roman" w:cs="Times New Roman"/>
          <w:color w:val="000000" w:themeColor="text1"/>
          <w:sz w:val="18"/>
          <w:szCs w:val="18"/>
        </w:rPr>
        <w:t>52(3):285-307.</w:t>
      </w:r>
    </w:p>
    <w:p w14:paraId="0266CFD2"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Feltenstein, A.</w:t>
      </w:r>
      <w:r w:rsidR="009A7E73" w:rsidRPr="00CF571C">
        <w:rPr>
          <w:rFonts w:ascii="Times New Roman" w:hAnsi="Times New Roman" w:cs="Times New Roman" w:hint="eastAsia"/>
          <w:color w:val="000000" w:themeColor="text1"/>
          <w:sz w:val="18"/>
          <w:szCs w:val="18"/>
        </w:rPr>
        <w:t xml:space="preserve"> </w:t>
      </w:r>
      <w:r w:rsidRPr="00CF571C">
        <w:rPr>
          <w:rFonts w:ascii="Times New Roman" w:hAnsi="Times New Roman" w:cs="Times New Roman"/>
          <w:color w:val="000000" w:themeColor="text1"/>
          <w:sz w:val="18"/>
          <w:szCs w:val="18"/>
        </w:rPr>
        <w:t xml:space="preserve">&amp; S.Iwata(2005), “Decentralization and macroeconomic performance in China: </w:t>
      </w:r>
      <w:r w:rsidR="009A7E73" w:rsidRPr="00CF571C">
        <w:rPr>
          <w:rFonts w:ascii="Times New Roman" w:hAnsi="Times New Roman" w:cs="Times New Roman" w:hint="eastAsia"/>
          <w:color w:val="000000" w:themeColor="text1"/>
          <w:sz w:val="18"/>
          <w:szCs w:val="18"/>
        </w:rPr>
        <w:t>R</w:t>
      </w:r>
      <w:r w:rsidRPr="00CF571C">
        <w:rPr>
          <w:rFonts w:ascii="Times New Roman" w:hAnsi="Times New Roman" w:cs="Times New Roman"/>
          <w:color w:val="000000" w:themeColor="text1"/>
          <w:sz w:val="18"/>
          <w:szCs w:val="18"/>
        </w:rPr>
        <w:t xml:space="preserve">egional autonomy has its costs”, </w:t>
      </w:r>
      <w:r w:rsidRPr="00CF571C">
        <w:rPr>
          <w:rFonts w:ascii="Times New Roman" w:hAnsi="Times New Roman" w:cs="Times New Roman"/>
          <w:i/>
          <w:iCs/>
          <w:color w:val="000000" w:themeColor="text1"/>
          <w:sz w:val="18"/>
          <w:szCs w:val="18"/>
        </w:rPr>
        <w:t>Journal of Development Economics</w:t>
      </w:r>
      <w:r w:rsidRPr="00CF571C">
        <w:rPr>
          <w:rFonts w:ascii="Times New Roman" w:hAnsi="Times New Roman" w:cs="Times New Roman"/>
          <w:color w:val="000000" w:themeColor="text1"/>
          <w:sz w:val="18"/>
          <w:szCs w:val="18"/>
        </w:rPr>
        <w:t xml:space="preserve"> 76(2):481-501.</w:t>
      </w:r>
    </w:p>
    <w:p w14:paraId="3D3F4D75"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 xml:space="preserve">Heine, K(2006), “Interjurisdictional competition and the allocation of constitutional rights: A research note”, </w:t>
      </w:r>
      <w:r w:rsidRPr="00CF571C">
        <w:rPr>
          <w:rFonts w:ascii="Times New Roman" w:hAnsi="Times New Roman" w:cs="Times New Roman"/>
          <w:i/>
          <w:iCs/>
          <w:color w:val="000000" w:themeColor="text1"/>
          <w:sz w:val="18"/>
          <w:szCs w:val="18"/>
        </w:rPr>
        <w:t>International Review of Law &amp; Economics</w:t>
      </w:r>
      <w:r w:rsidRPr="00CF571C">
        <w:rPr>
          <w:rFonts w:ascii="Times New Roman" w:hAnsi="Times New Roman" w:cs="Times New Roman"/>
          <w:color w:val="000000" w:themeColor="text1"/>
          <w:sz w:val="18"/>
          <w:szCs w:val="18"/>
        </w:rPr>
        <w:t xml:space="preserve"> 26(1):33-41.</w:t>
      </w:r>
    </w:p>
    <w:p w14:paraId="408B54C0"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Keen, M.</w:t>
      </w:r>
      <w:r w:rsidR="00A32413" w:rsidRPr="00CF571C">
        <w:rPr>
          <w:rFonts w:ascii="Times New Roman" w:hAnsi="Times New Roman" w:cs="Times New Roman" w:hint="eastAsia"/>
          <w:color w:val="000000" w:themeColor="text1"/>
          <w:sz w:val="18"/>
          <w:szCs w:val="18"/>
        </w:rPr>
        <w:t xml:space="preserve"> </w:t>
      </w:r>
      <w:r w:rsidRPr="00CF571C">
        <w:rPr>
          <w:rFonts w:ascii="Times New Roman" w:hAnsi="Times New Roman" w:cs="Times New Roman"/>
          <w:color w:val="000000" w:themeColor="text1"/>
          <w:sz w:val="18"/>
          <w:szCs w:val="18"/>
        </w:rPr>
        <w:t xml:space="preserve">&amp; M.Marchand(1997), “Fiscal competition and the pattern of public spending”, </w:t>
      </w:r>
      <w:r w:rsidRPr="00CF571C">
        <w:rPr>
          <w:rFonts w:ascii="Times New Roman" w:hAnsi="Times New Roman" w:cs="Times New Roman"/>
          <w:i/>
          <w:iCs/>
          <w:color w:val="000000" w:themeColor="text1"/>
          <w:sz w:val="18"/>
          <w:szCs w:val="18"/>
        </w:rPr>
        <w:t>Journal of Public Economics</w:t>
      </w:r>
      <w:r w:rsidRPr="00CF571C">
        <w:rPr>
          <w:rFonts w:ascii="Times New Roman" w:hAnsi="Times New Roman" w:cs="Times New Roman"/>
          <w:color w:val="000000" w:themeColor="text1"/>
          <w:sz w:val="18"/>
          <w:szCs w:val="18"/>
        </w:rPr>
        <w:t xml:space="preserve"> 66(1):33-53.</w:t>
      </w:r>
    </w:p>
    <w:p w14:paraId="3C3F3306"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Oates, W.E</w:t>
      </w:r>
      <w:r w:rsidR="00734F20"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 xml:space="preserve">(1993), “Fiscal decentralization and economic development”, </w:t>
      </w:r>
      <w:r w:rsidRPr="00CF571C">
        <w:rPr>
          <w:rFonts w:ascii="Times New Roman" w:hAnsi="Times New Roman" w:cs="Times New Roman"/>
          <w:i/>
          <w:iCs/>
          <w:color w:val="000000" w:themeColor="text1"/>
          <w:sz w:val="18"/>
          <w:szCs w:val="18"/>
        </w:rPr>
        <w:t xml:space="preserve">National </w:t>
      </w:r>
      <w:r w:rsidR="00734F20" w:rsidRPr="00CF571C">
        <w:rPr>
          <w:rFonts w:ascii="Times New Roman" w:hAnsi="Times New Roman" w:cs="Times New Roman" w:hint="eastAsia"/>
          <w:i/>
          <w:iCs/>
          <w:color w:val="000000" w:themeColor="text1"/>
          <w:sz w:val="18"/>
          <w:szCs w:val="18"/>
        </w:rPr>
        <w:t>T</w:t>
      </w:r>
      <w:r w:rsidRPr="00CF571C">
        <w:rPr>
          <w:rFonts w:ascii="Times New Roman" w:hAnsi="Times New Roman" w:cs="Times New Roman"/>
          <w:i/>
          <w:iCs/>
          <w:color w:val="000000" w:themeColor="text1"/>
          <w:sz w:val="18"/>
          <w:szCs w:val="18"/>
        </w:rPr>
        <w:t xml:space="preserve">ax </w:t>
      </w:r>
      <w:r w:rsidR="00734F20" w:rsidRPr="00CF571C">
        <w:rPr>
          <w:rFonts w:ascii="Times New Roman" w:hAnsi="Times New Roman" w:cs="Times New Roman" w:hint="eastAsia"/>
          <w:i/>
          <w:iCs/>
          <w:color w:val="000000" w:themeColor="text1"/>
          <w:sz w:val="18"/>
          <w:szCs w:val="18"/>
        </w:rPr>
        <w:t>J</w:t>
      </w:r>
      <w:r w:rsidRPr="00CF571C">
        <w:rPr>
          <w:rFonts w:ascii="Times New Roman" w:hAnsi="Times New Roman" w:cs="Times New Roman"/>
          <w:i/>
          <w:iCs/>
          <w:color w:val="000000" w:themeColor="text1"/>
          <w:sz w:val="18"/>
          <w:szCs w:val="18"/>
        </w:rPr>
        <w:t>ournal</w:t>
      </w:r>
      <w:r w:rsidRPr="00CF571C">
        <w:rPr>
          <w:rFonts w:ascii="Times New Roman" w:hAnsi="Times New Roman" w:cs="Times New Roman"/>
          <w:color w:val="000000" w:themeColor="text1"/>
          <w:sz w:val="18"/>
          <w:szCs w:val="18"/>
        </w:rPr>
        <w:t xml:space="preserve"> 46(2):237-243.</w:t>
      </w:r>
    </w:p>
    <w:p w14:paraId="5F954EE2"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 xml:space="preserve">Peacock, A. &amp; A.Scott(2000), “The curious attraction of Wagner's law”, </w:t>
      </w:r>
      <w:r w:rsidRPr="00CF571C">
        <w:rPr>
          <w:rFonts w:ascii="Times New Roman" w:hAnsi="Times New Roman" w:cs="Times New Roman"/>
          <w:i/>
          <w:iCs/>
          <w:color w:val="000000" w:themeColor="text1"/>
          <w:sz w:val="18"/>
          <w:szCs w:val="18"/>
        </w:rPr>
        <w:t>Public Choice</w:t>
      </w:r>
      <w:r w:rsidRPr="00CF571C">
        <w:rPr>
          <w:rFonts w:ascii="Times New Roman" w:hAnsi="Times New Roman" w:cs="Times New Roman"/>
          <w:color w:val="000000" w:themeColor="text1"/>
          <w:sz w:val="18"/>
          <w:szCs w:val="18"/>
        </w:rPr>
        <w:t xml:space="preserve"> 102(1):1-17.</w:t>
      </w:r>
    </w:p>
    <w:p w14:paraId="7E002EE8"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Barro, R.J</w:t>
      </w:r>
      <w:r w:rsidR="00AB0D03"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 xml:space="preserve">(1990), “Government </w:t>
      </w:r>
      <w:r w:rsidR="00AB0D03" w:rsidRPr="00CF571C">
        <w:rPr>
          <w:rFonts w:ascii="Times New Roman" w:hAnsi="Times New Roman" w:cs="Times New Roman"/>
          <w:color w:val="000000" w:themeColor="text1"/>
          <w:sz w:val="18"/>
          <w:szCs w:val="18"/>
        </w:rPr>
        <w:t>spending in a simple model of endogeneous growth</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i/>
          <w:iCs/>
          <w:color w:val="000000" w:themeColor="text1"/>
          <w:sz w:val="18"/>
          <w:szCs w:val="18"/>
        </w:rPr>
        <w:t>Journal of Political Economy</w:t>
      </w:r>
      <w:r w:rsidRPr="00CF571C">
        <w:rPr>
          <w:rFonts w:ascii="Times New Roman" w:hAnsi="Times New Roman" w:cs="Times New Roman"/>
          <w:color w:val="000000" w:themeColor="text1"/>
          <w:sz w:val="18"/>
          <w:szCs w:val="18"/>
        </w:rPr>
        <w:t xml:space="preserve"> 98(5):S103-S125.</w:t>
      </w:r>
    </w:p>
    <w:p w14:paraId="68146F51"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Shorrocks, A.F</w:t>
      </w:r>
      <w:r w:rsidR="00AB0D03"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(2013), “Decomposition procedures for distributional analysis:</w:t>
      </w:r>
      <w:r w:rsidR="00AB0D03" w:rsidRPr="00CF571C">
        <w:rPr>
          <w:rFonts w:ascii="Times New Roman" w:hAnsi="Times New Roman" w:cs="Times New Roman" w:hint="eastAsia"/>
          <w:color w:val="000000" w:themeColor="text1"/>
          <w:sz w:val="18"/>
          <w:szCs w:val="18"/>
        </w:rPr>
        <w:t xml:space="preserve"> </w:t>
      </w:r>
      <w:r w:rsidRPr="00CF571C">
        <w:rPr>
          <w:rFonts w:ascii="Times New Roman" w:hAnsi="Times New Roman" w:cs="Times New Roman"/>
          <w:color w:val="000000" w:themeColor="text1"/>
          <w:sz w:val="18"/>
          <w:szCs w:val="18"/>
        </w:rPr>
        <w:t xml:space="preserve">A unified framework based on the Shapley value”, </w:t>
      </w:r>
      <w:r w:rsidRPr="00CF571C">
        <w:rPr>
          <w:rFonts w:ascii="Times New Roman" w:hAnsi="Times New Roman" w:cs="Times New Roman"/>
          <w:i/>
          <w:iCs/>
          <w:color w:val="000000" w:themeColor="text1"/>
          <w:sz w:val="18"/>
          <w:szCs w:val="18"/>
        </w:rPr>
        <w:t>Journal of Economic Inequality</w:t>
      </w:r>
      <w:r w:rsidRPr="00CF571C">
        <w:rPr>
          <w:rFonts w:ascii="Times New Roman" w:hAnsi="Times New Roman" w:cs="Times New Roman"/>
          <w:color w:val="000000" w:themeColor="text1"/>
          <w:sz w:val="18"/>
          <w:szCs w:val="18"/>
        </w:rPr>
        <w:t xml:space="preserve"> 11(1):99</w:t>
      </w:r>
      <w:r w:rsidR="00AB0D03" w:rsidRPr="00CF571C">
        <w:rPr>
          <w:rFonts w:ascii="Times New Roman" w:hAnsi="Times New Roman" w:cs="Times New Roman" w:hint="eastAsia"/>
          <w:color w:val="000000" w:themeColor="text1"/>
          <w:sz w:val="18"/>
          <w:szCs w:val="18"/>
        </w:rPr>
        <w:t>-</w:t>
      </w:r>
      <w:r w:rsidRPr="00CF571C">
        <w:rPr>
          <w:rFonts w:ascii="Times New Roman" w:hAnsi="Times New Roman" w:cs="Times New Roman"/>
          <w:color w:val="000000" w:themeColor="text1"/>
          <w:sz w:val="18"/>
          <w:szCs w:val="18"/>
        </w:rPr>
        <w:t>126.</w:t>
      </w:r>
    </w:p>
    <w:p w14:paraId="72FF6C23" w14:textId="77777777" w:rsidR="00A716E2"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 xml:space="preserve">Wagner, A.(1958), </w:t>
      </w:r>
      <w:r w:rsidRPr="00CF571C">
        <w:rPr>
          <w:rFonts w:ascii="Times New Roman" w:hAnsi="Times New Roman" w:cs="Times New Roman"/>
          <w:i/>
          <w:color w:val="000000" w:themeColor="text1"/>
          <w:sz w:val="18"/>
          <w:szCs w:val="18"/>
        </w:rPr>
        <w:t xml:space="preserve">Three </w:t>
      </w:r>
      <w:r w:rsidR="00AB0D03" w:rsidRPr="00CF571C">
        <w:rPr>
          <w:rFonts w:ascii="Times New Roman" w:hAnsi="Times New Roman" w:cs="Times New Roman"/>
          <w:i/>
          <w:color w:val="000000" w:themeColor="text1"/>
          <w:sz w:val="18"/>
          <w:szCs w:val="18"/>
        </w:rPr>
        <w:t xml:space="preserve">Extracts </w:t>
      </w:r>
      <w:r w:rsidR="00AB0D03" w:rsidRPr="00CF571C">
        <w:rPr>
          <w:rFonts w:ascii="Times New Roman" w:hAnsi="Times New Roman" w:cs="Times New Roman" w:hint="eastAsia"/>
          <w:i/>
          <w:color w:val="000000" w:themeColor="text1"/>
          <w:sz w:val="18"/>
          <w:szCs w:val="18"/>
        </w:rPr>
        <w:t>o</w:t>
      </w:r>
      <w:r w:rsidR="00AB0D03" w:rsidRPr="00CF571C">
        <w:rPr>
          <w:rFonts w:ascii="Times New Roman" w:hAnsi="Times New Roman" w:cs="Times New Roman"/>
          <w:i/>
          <w:color w:val="000000" w:themeColor="text1"/>
          <w:sz w:val="18"/>
          <w:szCs w:val="18"/>
        </w:rPr>
        <w:t>n Public Finance</w:t>
      </w:r>
      <w:r w:rsidRPr="00CF571C">
        <w:rPr>
          <w:rFonts w:ascii="Times New Roman" w:hAnsi="Times New Roman" w:cs="Times New Roman"/>
          <w:color w:val="000000" w:themeColor="text1"/>
          <w:sz w:val="18"/>
          <w:szCs w:val="18"/>
        </w:rPr>
        <w:t>, Palgrave Macmillan.</w:t>
      </w:r>
    </w:p>
    <w:p w14:paraId="4BE46244" w14:textId="77777777" w:rsidR="00380F04" w:rsidRPr="00CF571C" w:rsidRDefault="00A716E2" w:rsidP="007529E0">
      <w:pPr>
        <w:rPr>
          <w:rFonts w:ascii="Times New Roman" w:hAnsi="Times New Roman" w:cs="Times New Roman"/>
          <w:color w:val="000000" w:themeColor="text1"/>
          <w:sz w:val="18"/>
          <w:szCs w:val="18"/>
        </w:rPr>
      </w:pPr>
      <w:r w:rsidRPr="00CF571C">
        <w:rPr>
          <w:rFonts w:ascii="Times New Roman" w:hAnsi="Times New Roman" w:cs="Times New Roman"/>
          <w:color w:val="000000" w:themeColor="text1"/>
          <w:sz w:val="18"/>
          <w:szCs w:val="18"/>
        </w:rPr>
        <w:t xml:space="preserve">Qian, Y. &amp; G.Roland(1998), “Federalism and the </w:t>
      </w:r>
      <w:r w:rsidR="00C97999" w:rsidRPr="00CF571C">
        <w:rPr>
          <w:rFonts w:ascii="Times New Roman" w:hAnsi="Times New Roman" w:cs="Times New Roman"/>
          <w:color w:val="000000" w:themeColor="text1"/>
          <w:sz w:val="18"/>
          <w:szCs w:val="18"/>
        </w:rPr>
        <w:t>soft budget constraint</w:t>
      </w:r>
      <w:r w:rsidRPr="00CF571C">
        <w:rPr>
          <w:rFonts w:ascii="Times New Roman" w:hAnsi="Times New Roman" w:cs="Times New Roman"/>
          <w:color w:val="000000" w:themeColor="text1"/>
          <w:sz w:val="18"/>
          <w:szCs w:val="18"/>
        </w:rPr>
        <w:t xml:space="preserve">”, </w:t>
      </w:r>
      <w:r w:rsidRPr="00CF571C">
        <w:rPr>
          <w:rFonts w:ascii="Times New Roman" w:hAnsi="Times New Roman" w:cs="Times New Roman"/>
          <w:i/>
          <w:iCs/>
          <w:color w:val="000000" w:themeColor="text1"/>
          <w:sz w:val="18"/>
          <w:szCs w:val="18"/>
        </w:rPr>
        <w:t>American Economic Review</w:t>
      </w:r>
      <w:r w:rsidRPr="00CF571C">
        <w:rPr>
          <w:rFonts w:ascii="Times New Roman" w:hAnsi="Times New Roman" w:cs="Times New Roman"/>
          <w:color w:val="000000" w:themeColor="text1"/>
          <w:sz w:val="18"/>
          <w:szCs w:val="18"/>
        </w:rPr>
        <w:t xml:space="preserve"> 88(5):1143-1162.</w:t>
      </w:r>
    </w:p>
    <w:p w14:paraId="139AA5BE" w14:textId="77777777" w:rsidR="00B65DF9" w:rsidRPr="00CF571C" w:rsidRDefault="00B65DF9" w:rsidP="007529E0">
      <w:pPr>
        <w:rPr>
          <w:rFonts w:ascii="Times New Roman" w:hAnsi="Times New Roman" w:cs="Times New Roman"/>
          <w:color w:val="000000" w:themeColor="text1"/>
          <w:sz w:val="21"/>
          <w:szCs w:val="21"/>
        </w:rPr>
      </w:pPr>
    </w:p>
    <w:p w14:paraId="2ED5381A" w14:textId="77777777" w:rsidR="00B65DF9" w:rsidRPr="00CF571C" w:rsidRDefault="000824EE" w:rsidP="00B65DF9">
      <w:pPr>
        <w:tabs>
          <w:tab w:val="left" w:pos="7447"/>
        </w:tabs>
        <w:adjustRightInd w:val="0"/>
        <w:snapToGrid w:val="0"/>
        <w:jc w:val="center"/>
        <w:rPr>
          <w:rFonts w:ascii="Times New Roman" w:hAnsi="Times New Roman"/>
          <w:b/>
          <w:bCs/>
          <w:color w:val="000000" w:themeColor="text1"/>
          <w:sz w:val="21"/>
          <w:szCs w:val="21"/>
        </w:rPr>
      </w:pPr>
      <w:r w:rsidRPr="00CF571C">
        <w:rPr>
          <w:rFonts w:ascii="Times New Roman" w:hAnsi="Times New Roman"/>
          <w:b/>
          <w:bCs/>
          <w:color w:val="000000" w:themeColor="text1"/>
          <w:sz w:val="21"/>
          <w:szCs w:val="21"/>
        </w:rPr>
        <w:t xml:space="preserve">The Institutional Factors </w:t>
      </w:r>
      <w:r w:rsidRPr="00CF571C">
        <w:rPr>
          <w:rFonts w:ascii="Times New Roman" w:hAnsi="Times New Roman" w:hint="eastAsia"/>
          <w:b/>
          <w:bCs/>
          <w:color w:val="000000" w:themeColor="text1"/>
          <w:sz w:val="21"/>
          <w:szCs w:val="21"/>
        </w:rPr>
        <w:t>o</w:t>
      </w:r>
      <w:r w:rsidRPr="00CF571C">
        <w:rPr>
          <w:rFonts w:ascii="Times New Roman" w:hAnsi="Times New Roman"/>
          <w:b/>
          <w:bCs/>
          <w:color w:val="000000" w:themeColor="text1"/>
          <w:sz w:val="21"/>
          <w:szCs w:val="21"/>
        </w:rPr>
        <w:t xml:space="preserve">f </w:t>
      </w:r>
      <w:r w:rsidRPr="00CF571C">
        <w:rPr>
          <w:rFonts w:ascii="Times New Roman" w:hAnsi="Times New Roman" w:hint="eastAsia"/>
          <w:b/>
          <w:bCs/>
          <w:color w:val="000000" w:themeColor="text1"/>
          <w:sz w:val="21"/>
          <w:szCs w:val="21"/>
        </w:rPr>
        <w:t>t</w:t>
      </w:r>
      <w:r w:rsidRPr="00CF571C">
        <w:rPr>
          <w:rFonts w:ascii="Times New Roman" w:hAnsi="Times New Roman"/>
          <w:b/>
          <w:bCs/>
          <w:color w:val="000000" w:themeColor="text1"/>
          <w:sz w:val="21"/>
          <w:szCs w:val="21"/>
        </w:rPr>
        <w:t xml:space="preserve">he Differences </w:t>
      </w:r>
      <w:r w:rsidRPr="00CF571C">
        <w:rPr>
          <w:rFonts w:ascii="Times New Roman" w:hAnsi="Times New Roman" w:hint="eastAsia"/>
          <w:b/>
          <w:bCs/>
          <w:color w:val="000000" w:themeColor="text1"/>
          <w:sz w:val="21"/>
          <w:szCs w:val="21"/>
        </w:rPr>
        <w:t>i</w:t>
      </w:r>
      <w:r w:rsidRPr="00CF571C">
        <w:rPr>
          <w:rFonts w:ascii="Times New Roman" w:hAnsi="Times New Roman"/>
          <w:b/>
          <w:bCs/>
          <w:color w:val="000000" w:themeColor="text1"/>
          <w:sz w:val="21"/>
          <w:szCs w:val="21"/>
        </w:rPr>
        <w:t xml:space="preserve">n </w:t>
      </w:r>
      <w:r w:rsidRPr="00CF571C">
        <w:rPr>
          <w:rFonts w:ascii="Times New Roman" w:hAnsi="Times New Roman" w:hint="eastAsia"/>
          <w:b/>
          <w:bCs/>
          <w:color w:val="000000" w:themeColor="text1"/>
          <w:sz w:val="21"/>
          <w:szCs w:val="21"/>
        </w:rPr>
        <w:t>t</w:t>
      </w:r>
      <w:r w:rsidRPr="00CF571C">
        <w:rPr>
          <w:rFonts w:ascii="Times New Roman" w:hAnsi="Times New Roman"/>
          <w:b/>
          <w:bCs/>
          <w:color w:val="000000" w:themeColor="text1"/>
          <w:sz w:val="21"/>
          <w:szCs w:val="21"/>
        </w:rPr>
        <w:t xml:space="preserve">he Structure </w:t>
      </w:r>
      <w:r w:rsidRPr="00CF571C">
        <w:rPr>
          <w:rFonts w:ascii="Times New Roman" w:hAnsi="Times New Roman" w:hint="eastAsia"/>
          <w:b/>
          <w:bCs/>
          <w:color w:val="000000" w:themeColor="text1"/>
          <w:sz w:val="21"/>
          <w:szCs w:val="21"/>
        </w:rPr>
        <w:t>o</w:t>
      </w:r>
      <w:r w:rsidRPr="00CF571C">
        <w:rPr>
          <w:rFonts w:ascii="Times New Roman" w:hAnsi="Times New Roman"/>
          <w:b/>
          <w:bCs/>
          <w:color w:val="000000" w:themeColor="text1"/>
          <w:sz w:val="21"/>
          <w:szCs w:val="21"/>
        </w:rPr>
        <w:t xml:space="preserve">f Budget Expenditure </w:t>
      </w:r>
      <w:r w:rsidRPr="00CF571C">
        <w:rPr>
          <w:rFonts w:ascii="Times New Roman" w:hAnsi="Times New Roman" w:hint="eastAsia"/>
          <w:b/>
          <w:bCs/>
          <w:color w:val="000000" w:themeColor="text1"/>
          <w:sz w:val="21"/>
          <w:szCs w:val="21"/>
        </w:rPr>
        <w:t>o</w:t>
      </w:r>
      <w:r w:rsidRPr="00CF571C">
        <w:rPr>
          <w:rFonts w:ascii="Times New Roman" w:hAnsi="Times New Roman"/>
          <w:b/>
          <w:bCs/>
          <w:color w:val="000000" w:themeColor="text1"/>
          <w:sz w:val="21"/>
          <w:szCs w:val="21"/>
        </w:rPr>
        <w:t xml:space="preserve">n People's Livelihood </w:t>
      </w:r>
      <w:r w:rsidRPr="00CF571C">
        <w:rPr>
          <w:rFonts w:ascii="Times New Roman" w:hAnsi="Times New Roman" w:hint="eastAsia"/>
          <w:b/>
          <w:bCs/>
          <w:color w:val="000000" w:themeColor="text1"/>
          <w:sz w:val="21"/>
          <w:szCs w:val="21"/>
        </w:rPr>
        <w:t>o</w:t>
      </w:r>
      <w:r w:rsidRPr="00CF571C">
        <w:rPr>
          <w:rFonts w:ascii="Times New Roman" w:hAnsi="Times New Roman"/>
          <w:b/>
          <w:bCs/>
          <w:color w:val="000000" w:themeColor="text1"/>
          <w:sz w:val="21"/>
          <w:szCs w:val="21"/>
        </w:rPr>
        <w:t>f Local Governments</w:t>
      </w:r>
      <w:r w:rsidR="00B65DF9" w:rsidRPr="00CF571C">
        <w:rPr>
          <w:rFonts w:ascii="Times New Roman" w:hAnsi="Times New Roman"/>
          <w:b/>
          <w:bCs/>
          <w:color w:val="000000" w:themeColor="text1"/>
          <w:sz w:val="21"/>
          <w:szCs w:val="21"/>
        </w:rPr>
        <w:t xml:space="preserve"> in Chin</w:t>
      </w:r>
      <w:r w:rsidR="00B65DF9" w:rsidRPr="00CF571C">
        <w:rPr>
          <w:rFonts w:ascii="Times New Roman" w:hAnsi="Times New Roman" w:hint="eastAsia"/>
          <w:b/>
          <w:bCs/>
          <w:color w:val="000000" w:themeColor="text1"/>
          <w:sz w:val="21"/>
          <w:szCs w:val="21"/>
        </w:rPr>
        <w:t>a</w:t>
      </w:r>
    </w:p>
    <w:p w14:paraId="44D5FB43" w14:textId="77777777" w:rsidR="000824EE" w:rsidRPr="00CF571C" w:rsidRDefault="000824EE" w:rsidP="00B65DF9">
      <w:pPr>
        <w:tabs>
          <w:tab w:val="left" w:pos="7447"/>
        </w:tabs>
        <w:adjustRightInd w:val="0"/>
        <w:snapToGrid w:val="0"/>
        <w:jc w:val="center"/>
        <w:rPr>
          <w:rFonts w:ascii="Times New Roman" w:hAnsi="Times New Roman"/>
          <w:b/>
          <w:bCs/>
          <w:color w:val="000000" w:themeColor="text1"/>
          <w:sz w:val="21"/>
          <w:szCs w:val="21"/>
        </w:rPr>
      </w:pPr>
      <w:r w:rsidRPr="00CF571C">
        <w:rPr>
          <w:rFonts w:ascii="Times New Roman" w:hAnsi="Times New Roman" w:hint="eastAsia"/>
          <w:b/>
          <w:bCs/>
          <w:color w:val="000000" w:themeColor="text1"/>
          <w:sz w:val="21"/>
          <w:szCs w:val="21"/>
        </w:rPr>
        <w:t>—</w:t>
      </w:r>
      <w:r w:rsidRPr="00CF571C">
        <w:rPr>
          <w:rFonts w:ascii="Times New Roman" w:hAnsi="Times New Roman"/>
          <w:b/>
          <w:bCs/>
          <w:color w:val="000000" w:themeColor="text1"/>
          <w:sz w:val="21"/>
          <w:szCs w:val="21"/>
        </w:rPr>
        <w:t xml:space="preserve">Vertical </w:t>
      </w:r>
      <w:r w:rsidRPr="00CF571C">
        <w:rPr>
          <w:rFonts w:ascii="Times New Roman" w:hAnsi="Times New Roman" w:hint="eastAsia"/>
          <w:b/>
          <w:bCs/>
          <w:color w:val="000000" w:themeColor="text1"/>
          <w:sz w:val="21"/>
          <w:szCs w:val="21"/>
        </w:rPr>
        <w:t>P</w:t>
      </w:r>
      <w:r w:rsidRPr="00CF571C">
        <w:rPr>
          <w:rFonts w:ascii="Times New Roman" w:hAnsi="Times New Roman"/>
          <w:b/>
          <w:bCs/>
          <w:color w:val="000000" w:themeColor="text1"/>
          <w:sz w:val="21"/>
          <w:szCs w:val="21"/>
        </w:rPr>
        <w:t xml:space="preserve">lanning and </w:t>
      </w:r>
      <w:r w:rsidRPr="00CF571C">
        <w:rPr>
          <w:rFonts w:ascii="Times New Roman" w:hAnsi="Times New Roman" w:hint="eastAsia"/>
          <w:b/>
          <w:bCs/>
          <w:color w:val="000000" w:themeColor="text1"/>
          <w:sz w:val="21"/>
          <w:szCs w:val="21"/>
        </w:rPr>
        <w:t>H</w:t>
      </w:r>
      <w:r w:rsidRPr="00CF571C">
        <w:rPr>
          <w:rFonts w:ascii="Times New Roman" w:hAnsi="Times New Roman"/>
          <w:b/>
          <w:bCs/>
          <w:color w:val="000000" w:themeColor="text1"/>
          <w:sz w:val="21"/>
          <w:szCs w:val="21"/>
        </w:rPr>
        <w:t xml:space="preserve">orizontal </w:t>
      </w:r>
      <w:r w:rsidRPr="00CF571C">
        <w:rPr>
          <w:rFonts w:ascii="Times New Roman" w:hAnsi="Times New Roman" w:hint="eastAsia"/>
          <w:b/>
          <w:bCs/>
          <w:color w:val="000000" w:themeColor="text1"/>
          <w:sz w:val="21"/>
          <w:szCs w:val="21"/>
        </w:rPr>
        <w:t>A</w:t>
      </w:r>
      <w:r w:rsidRPr="00CF571C">
        <w:rPr>
          <w:rFonts w:ascii="Times New Roman" w:hAnsi="Times New Roman"/>
          <w:b/>
          <w:bCs/>
          <w:color w:val="000000" w:themeColor="text1"/>
          <w:sz w:val="21"/>
          <w:szCs w:val="21"/>
        </w:rPr>
        <w:t>pproaching</w:t>
      </w:r>
    </w:p>
    <w:p w14:paraId="60150D8F" w14:textId="77777777" w:rsidR="00B65DF9" w:rsidRPr="00CF571C" w:rsidRDefault="000824EE" w:rsidP="00B65DF9">
      <w:pPr>
        <w:tabs>
          <w:tab w:val="left" w:pos="7447"/>
        </w:tabs>
        <w:adjustRightInd w:val="0"/>
        <w:snapToGrid w:val="0"/>
        <w:jc w:val="center"/>
        <w:rPr>
          <w:rFonts w:ascii="Times New Roman" w:hAnsi="Times New Roman" w:cs="Times New Roman"/>
          <w:color w:val="000000" w:themeColor="text1"/>
          <w:sz w:val="21"/>
          <w:szCs w:val="21"/>
        </w:rPr>
      </w:pPr>
      <w:r w:rsidRPr="00CF571C">
        <w:rPr>
          <w:rFonts w:ascii="Times New Roman" w:hAnsi="Times New Roman" w:cs="Times New Roman"/>
          <w:color w:val="000000" w:themeColor="text1"/>
          <w:sz w:val="21"/>
          <w:szCs w:val="21"/>
        </w:rPr>
        <w:t>YAO</w:t>
      </w:r>
      <w:r w:rsidR="00B65DF9" w:rsidRPr="00CF571C">
        <w:rPr>
          <w:rFonts w:ascii="Times New Roman" w:hAnsi="Times New Roman" w:cs="Times New Roman"/>
          <w:color w:val="000000" w:themeColor="text1"/>
          <w:sz w:val="21"/>
          <w:szCs w:val="21"/>
        </w:rPr>
        <w:t xml:space="preserve"> Dongmin</w:t>
      </w:r>
      <w:r w:rsidRPr="00CF571C">
        <w:rPr>
          <w:rFonts w:ascii="Times New Roman" w:hAnsi="Times New Roman" w:cs="Times New Roman" w:hint="eastAsia"/>
          <w:color w:val="000000" w:themeColor="text1"/>
          <w:sz w:val="21"/>
          <w:szCs w:val="21"/>
        </w:rPr>
        <w:t xml:space="preserve">    </w:t>
      </w:r>
      <w:r w:rsidRPr="00CF571C">
        <w:rPr>
          <w:rFonts w:ascii="Times New Roman" w:hAnsi="Times New Roman" w:cs="Times New Roman"/>
          <w:color w:val="000000" w:themeColor="text1"/>
          <w:sz w:val="21"/>
          <w:szCs w:val="21"/>
        </w:rPr>
        <w:t>CUI</w:t>
      </w:r>
      <w:r w:rsidR="00B65DF9" w:rsidRPr="00CF571C">
        <w:rPr>
          <w:rFonts w:ascii="Times New Roman" w:hAnsi="Times New Roman" w:cs="Times New Roman"/>
          <w:color w:val="000000" w:themeColor="text1"/>
          <w:sz w:val="21"/>
          <w:szCs w:val="21"/>
        </w:rPr>
        <w:t xml:space="preserve"> Mengqi</w:t>
      </w:r>
      <w:r w:rsidRPr="00CF571C">
        <w:rPr>
          <w:rFonts w:ascii="Times New Roman" w:hAnsi="Times New Roman" w:cs="Times New Roman" w:hint="eastAsia"/>
          <w:color w:val="000000" w:themeColor="text1"/>
          <w:sz w:val="21"/>
          <w:szCs w:val="21"/>
        </w:rPr>
        <w:t xml:space="preserve">    </w:t>
      </w:r>
      <w:r w:rsidRPr="00CF571C">
        <w:rPr>
          <w:rFonts w:ascii="Times New Roman" w:hAnsi="Times New Roman" w:cs="Times New Roman"/>
          <w:color w:val="000000" w:themeColor="text1"/>
          <w:sz w:val="21"/>
          <w:szCs w:val="21"/>
        </w:rPr>
        <w:t>ZHAO</w:t>
      </w:r>
      <w:r w:rsidR="00B65DF9" w:rsidRPr="00CF571C">
        <w:rPr>
          <w:rFonts w:ascii="Times New Roman" w:hAnsi="Times New Roman" w:cs="Times New Roman"/>
          <w:color w:val="000000" w:themeColor="text1"/>
          <w:sz w:val="21"/>
          <w:szCs w:val="21"/>
        </w:rPr>
        <w:t xml:space="preserve"> Jiangwei</w:t>
      </w:r>
    </w:p>
    <w:p w14:paraId="22B60716" w14:textId="77777777" w:rsidR="00A92605" w:rsidRPr="00CF571C" w:rsidRDefault="00A92605" w:rsidP="00B65DF9">
      <w:pPr>
        <w:tabs>
          <w:tab w:val="left" w:pos="7447"/>
        </w:tabs>
        <w:adjustRightInd w:val="0"/>
        <w:snapToGrid w:val="0"/>
        <w:jc w:val="center"/>
        <w:rPr>
          <w:rFonts w:ascii="Times New Roman" w:hAnsi="Times New Roman" w:cs="Times New Roman"/>
          <w:color w:val="000000" w:themeColor="text1"/>
          <w:sz w:val="21"/>
          <w:szCs w:val="21"/>
        </w:rPr>
      </w:pP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Central University of Finance and Economics</w:t>
      </w:r>
      <w:r w:rsidRPr="00CF571C">
        <w:rPr>
          <w:rFonts w:ascii="Times New Roman" w:hAnsi="Times New Roman" w:cs="Times New Roman" w:hint="eastAsia"/>
          <w:color w:val="000000" w:themeColor="text1"/>
          <w:sz w:val="21"/>
          <w:szCs w:val="21"/>
        </w:rPr>
        <w:t>,</w:t>
      </w:r>
      <w:r w:rsidRPr="00CF571C">
        <w:rPr>
          <w:rFonts w:ascii="Times New Roman" w:hAnsi="Times New Roman" w:cs="Times New Roman"/>
          <w:color w:val="000000" w:themeColor="text1"/>
          <w:sz w:val="21"/>
          <w:szCs w:val="21"/>
        </w:rPr>
        <w:t xml:space="preserve"> Beijing, China)</w:t>
      </w:r>
    </w:p>
    <w:p w14:paraId="3C3A8C31" w14:textId="77777777" w:rsidR="00B65DF9" w:rsidRPr="00CF571C" w:rsidRDefault="00B65DF9" w:rsidP="00187D2F">
      <w:pPr>
        <w:tabs>
          <w:tab w:val="left" w:pos="7447"/>
        </w:tabs>
        <w:adjustRightInd w:val="0"/>
        <w:snapToGrid w:val="0"/>
        <w:ind w:firstLineChars="150" w:firstLine="316"/>
        <w:jc w:val="both"/>
        <w:rPr>
          <w:rFonts w:ascii="Times New Roman" w:hAnsi="Times New Roman"/>
          <w:color w:val="000000" w:themeColor="text1"/>
          <w:sz w:val="21"/>
          <w:szCs w:val="21"/>
        </w:rPr>
      </w:pPr>
      <w:r w:rsidRPr="00CF571C">
        <w:rPr>
          <w:rFonts w:ascii="Times New Roman" w:hAnsi="Times New Roman" w:hint="eastAsia"/>
          <w:b/>
          <w:bCs/>
          <w:color w:val="000000" w:themeColor="text1"/>
          <w:sz w:val="21"/>
          <w:szCs w:val="21"/>
        </w:rPr>
        <w:t xml:space="preserve">Abstract: </w:t>
      </w:r>
      <w:r w:rsidRPr="00CF571C">
        <w:rPr>
          <w:rFonts w:ascii="Times New Roman" w:hAnsi="Times New Roman"/>
          <w:color w:val="000000" w:themeColor="text1"/>
          <w:sz w:val="21"/>
          <w:szCs w:val="21"/>
        </w:rPr>
        <w:t xml:space="preserve">The difference of local budget expenditure is affected by the financial interaction between different levels of government. It is very important to analyze the special causes of the difference of local budget expenditure for understanding the government budget behavior. This paper constructs the "city pair" data from 2010 to 2018, and uses the methods of Sharpley value decomposition and propensity score matching to identify the vertical </w:t>
      </w:r>
      <w:r w:rsidRPr="00CF571C">
        <w:rPr>
          <w:rFonts w:ascii="Times New Roman" w:hAnsi="Times New Roman" w:hint="eastAsia"/>
          <w:color w:val="000000" w:themeColor="text1"/>
          <w:sz w:val="21"/>
          <w:szCs w:val="21"/>
        </w:rPr>
        <w:t>planning</w:t>
      </w:r>
      <w:r w:rsidRPr="00CF571C">
        <w:rPr>
          <w:rFonts w:ascii="Times New Roman" w:hAnsi="Times New Roman"/>
          <w:color w:val="000000" w:themeColor="text1"/>
          <w:sz w:val="21"/>
          <w:szCs w:val="21"/>
        </w:rPr>
        <w:t xml:space="preserve"> and horizontal </w:t>
      </w:r>
      <w:r w:rsidR="007E197E" w:rsidRPr="00CF571C">
        <w:rPr>
          <w:rFonts w:ascii="Times New Roman" w:hAnsi="Times New Roman"/>
          <w:color w:val="000000" w:themeColor="text1"/>
          <w:sz w:val="21"/>
          <w:szCs w:val="21"/>
        </w:rPr>
        <w:t>approaching</w:t>
      </w:r>
      <w:r w:rsidRPr="00CF571C">
        <w:rPr>
          <w:rFonts w:ascii="Times New Roman" w:hAnsi="Times New Roman"/>
          <w:color w:val="000000" w:themeColor="text1"/>
          <w:sz w:val="21"/>
          <w:szCs w:val="21"/>
        </w:rPr>
        <w:t xml:space="preserve"> factors that affect the differences of four kinds of budget expenditures of local governments in China. Vertically, the local governments below the provincial government have limited financial autonomy, and the budgets of prefecture level cities are bound to be coordinated and guided by the provincial government. Horizontally, due to the deepening of the reform of the registered residence system and the expenditure competition among local governments, the budgets of prefecture level cities are also affected by the neighboring regions. The findings are as follows: first, due to the </w:t>
      </w:r>
      <w:r w:rsidRPr="00CF571C">
        <w:rPr>
          <w:rFonts w:ascii="Times New Roman" w:hAnsi="Times New Roman" w:hint="eastAsia"/>
          <w:color w:val="000000" w:themeColor="text1"/>
          <w:sz w:val="21"/>
          <w:szCs w:val="21"/>
        </w:rPr>
        <w:t>planning</w:t>
      </w:r>
      <w:r w:rsidRPr="00CF571C">
        <w:rPr>
          <w:rFonts w:ascii="Times New Roman" w:hAnsi="Times New Roman"/>
          <w:color w:val="000000" w:themeColor="text1"/>
          <w:sz w:val="21"/>
          <w:szCs w:val="21"/>
        </w:rPr>
        <w:t xml:space="preserve"> of the provincial government, the budget expenditure difference between cities within the province is small, and the budget expenditure difference between cities across provinces is large. Second, due to the interaction of adjacent areas, the budget expenditure difference between adjacent cities is small, and the budget expenditure difference between non-adjacent cities is large. Third, when affected by </w:t>
      </w:r>
      <w:r w:rsidR="006A2A4A" w:rsidRPr="00CF571C">
        <w:rPr>
          <w:rFonts w:ascii="Times New Roman" w:hAnsi="Times New Roman" w:hint="eastAsia"/>
          <w:color w:val="000000" w:themeColor="text1"/>
          <w:sz w:val="21"/>
          <w:szCs w:val="21"/>
        </w:rPr>
        <w:t>both</w:t>
      </w:r>
      <w:r w:rsidRPr="00CF571C">
        <w:rPr>
          <w:rFonts w:ascii="Times New Roman" w:hAnsi="Times New Roman"/>
          <w:color w:val="000000" w:themeColor="text1"/>
          <w:sz w:val="21"/>
          <w:szCs w:val="21"/>
        </w:rPr>
        <w:t xml:space="preserve">, </w:t>
      </w:r>
      <w:r w:rsidR="006A2A4A" w:rsidRPr="00CF571C">
        <w:rPr>
          <w:rFonts w:ascii="Times New Roman" w:hAnsi="Times New Roman"/>
          <w:color w:val="000000" w:themeColor="text1"/>
          <w:sz w:val="21"/>
          <w:szCs w:val="21"/>
        </w:rPr>
        <w:t xml:space="preserve">different expenditure types are affected by </w:t>
      </w:r>
      <w:r w:rsidR="006A2A4A" w:rsidRPr="00CF571C">
        <w:rPr>
          <w:rFonts w:ascii="Times New Roman" w:hAnsi="Times New Roman"/>
          <w:color w:val="000000" w:themeColor="text1"/>
          <w:sz w:val="21"/>
          <w:szCs w:val="21"/>
        </w:rPr>
        <w:lastRenderedPageBreak/>
        <w:t>different relative intensities</w:t>
      </w:r>
      <w:r w:rsidRPr="00CF571C">
        <w:rPr>
          <w:rFonts w:ascii="Times New Roman" w:hAnsi="Times New Roman"/>
          <w:color w:val="000000" w:themeColor="text1"/>
          <w:sz w:val="21"/>
          <w:szCs w:val="21"/>
        </w:rPr>
        <w:t xml:space="preserve">. For education and science and technology expenditure, the horizontal </w:t>
      </w:r>
      <w:r w:rsidR="007E197E" w:rsidRPr="00CF571C">
        <w:rPr>
          <w:rFonts w:ascii="Times New Roman" w:hAnsi="Times New Roman"/>
          <w:color w:val="000000" w:themeColor="text1"/>
          <w:sz w:val="21"/>
          <w:szCs w:val="21"/>
        </w:rPr>
        <w:t>approaching</w:t>
      </w:r>
      <w:r w:rsidRPr="00CF571C">
        <w:rPr>
          <w:rFonts w:ascii="Times New Roman" w:hAnsi="Times New Roman"/>
          <w:color w:val="000000" w:themeColor="text1"/>
          <w:sz w:val="21"/>
          <w:szCs w:val="21"/>
        </w:rPr>
        <w:t xml:space="preserve"> effect is more obvious; For medical and health expenditure and social security expenditure, the provincial-level vertical </w:t>
      </w:r>
      <w:r w:rsidRPr="00CF571C">
        <w:rPr>
          <w:rFonts w:ascii="Times New Roman" w:hAnsi="Times New Roman" w:hint="eastAsia"/>
          <w:color w:val="000000" w:themeColor="text1"/>
          <w:sz w:val="21"/>
          <w:szCs w:val="21"/>
        </w:rPr>
        <w:t>planning</w:t>
      </w:r>
      <w:r w:rsidRPr="00CF571C">
        <w:rPr>
          <w:rFonts w:ascii="Times New Roman" w:hAnsi="Times New Roman"/>
          <w:color w:val="000000" w:themeColor="text1"/>
          <w:sz w:val="21"/>
          <w:szCs w:val="21"/>
        </w:rPr>
        <w:t xml:space="preserve"> is more obvious.</w:t>
      </w:r>
    </w:p>
    <w:p w14:paraId="2D210C4B" w14:textId="77777777" w:rsidR="00B65DF9" w:rsidRPr="00CF571C" w:rsidRDefault="00B65DF9" w:rsidP="00187D2F">
      <w:pPr>
        <w:tabs>
          <w:tab w:val="left" w:pos="7447"/>
        </w:tabs>
        <w:adjustRightInd w:val="0"/>
        <w:snapToGrid w:val="0"/>
        <w:ind w:firstLineChars="200" w:firstLine="422"/>
        <w:jc w:val="both"/>
        <w:rPr>
          <w:rFonts w:ascii="Times New Roman" w:hAnsi="Times New Roman"/>
          <w:color w:val="000000" w:themeColor="text1"/>
          <w:sz w:val="21"/>
          <w:szCs w:val="21"/>
        </w:rPr>
      </w:pPr>
      <w:r w:rsidRPr="00CF571C">
        <w:rPr>
          <w:rFonts w:ascii="Times New Roman" w:hAnsi="Times New Roman" w:hint="eastAsia"/>
          <w:b/>
          <w:bCs/>
          <w:color w:val="000000" w:themeColor="text1"/>
          <w:sz w:val="21"/>
          <w:szCs w:val="21"/>
        </w:rPr>
        <w:t>Keywords:</w:t>
      </w:r>
      <w:r w:rsidRPr="00CF571C">
        <w:rPr>
          <w:rFonts w:ascii="Times New Roman" w:hAnsi="Times New Roman" w:hint="eastAsia"/>
          <w:color w:val="000000" w:themeColor="text1"/>
          <w:sz w:val="21"/>
          <w:szCs w:val="21"/>
        </w:rPr>
        <w:t xml:space="preserve"> </w:t>
      </w:r>
      <w:r w:rsidRPr="00CF571C">
        <w:rPr>
          <w:rFonts w:ascii="Times New Roman" w:hAnsi="Times New Roman"/>
          <w:color w:val="000000" w:themeColor="text1"/>
          <w:sz w:val="21"/>
          <w:szCs w:val="21"/>
        </w:rPr>
        <w:t>Budget Expenditure Structure;</w:t>
      </w:r>
      <w:r w:rsidRPr="00CF571C">
        <w:rPr>
          <w:color w:val="000000" w:themeColor="text1"/>
          <w:sz w:val="21"/>
          <w:szCs w:val="21"/>
        </w:rPr>
        <w:t xml:space="preserve"> </w:t>
      </w:r>
      <w:r w:rsidRPr="00CF571C">
        <w:rPr>
          <w:rFonts w:ascii="Times New Roman" w:hAnsi="Times New Roman"/>
          <w:color w:val="000000" w:themeColor="text1"/>
          <w:sz w:val="21"/>
          <w:szCs w:val="21"/>
        </w:rPr>
        <w:t>Expenditure Competition; Shapley Value; Adjacent Cities</w:t>
      </w:r>
    </w:p>
    <w:p w14:paraId="67E16093" w14:textId="77777777" w:rsidR="000824EE" w:rsidRPr="00CF571C" w:rsidRDefault="000824EE" w:rsidP="000824EE">
      <w:pPr>
        <w:tabs>
          <w:tab w:val="left" w:pos="7447"/>
        </w:tabs>
        <w:adjustRightInd w:val="0"/>
        <w:snapToGrid w:val="0"/>
        <w:ind w:firstLineChars="200" w:firstLine="420"/>
        <w:jc w:val="both"/>
        <w:rPr>
          <w:rFonts w:ascii="Times New Roman" w:hAnsi="Times New Roman"/>
          <w:color w:val="000000" w:themeColor="text1"/>
          <w:sz w:val="21"/>
          <w:szCs w:val="21"/>
        </w:rPr>
      </w:pPr>
    </w:p>
    <w:p w14:paraId="3D48FC27" w14:textId="2C37A5E8" w:rsidR="000824EE" w:rsidRPr="00CF571C" w:rsidRDefault="000824EE" w:rsidP="00741550">
      <w:pPr>
        <w:tabs>
          <w:tab w:val="left" w:pos="7447"/>
        </w:tabs>
        <w:adjustRightInd w:val="0"/>
        <w:snapToGrid w:val="0"/>
        <w:ind w:firstLineChars="200" w:firstLine="420"/>
        <w:jc w:val="both"/>
        <w:rPr>
          <w:rFonts w:ascii="Times New Roman" w:hAnsi="Times New Roman"/>
          <w:color w:val="000000" w:themeColor="text1"/>
          <w:sz w:val="21"/>
          <w:szCs w:val="21"/>
        </w:rPr>
      </w:pPr>
      <w:r w:rsidRPr="00CF571C">
        <w:rPr>
          <w:rFonts w:ascii="Times New Roman" w:hAnsi="Times New Roman" w:hint="eastAsia"/>
          <w:color w:val="000000" w:themeColor="text1"/>
          <w:sz w:val="21"/>
          <w:szCs w:val="21"/>
        </w:rPr>
        <w:t xml:space="preserve">                                                                                                          </w:t>
      </w:r>
    </w:p>
    <w:p w14:paraId="33FE48F3" w14:textId="77777777" w:rsidR="00B65DF9" w:rsidRPr="00CF571C" w:rsidRDefault="00B65DF9" w:rsidP="007529E0">
      <w:pPr>
        <w:rPr>
          <w:rFonts w:ascii="Times New Roman" w:hAnsi="Times New Roman" w:cs="Times New Roman"/>
          <w:color w:val="000000" w:themeColor="text1"/>
          <w:sz w:val="21"/>
          <w:szCs w:val="21"/>
        </w:rPr>
      </w:pPr>
    </w:p>
    <w:sectPr w:rsidR="00B65DF9" w:rsidRPr="00CF571C" w:rsidSect="00BC2BC4">
      <w:footerReference w:type="even" r:id="rId21"/>
      <w:footerReference w:type="default" r:id="rId22"/>
      <w:footnotePr>
        <w:numFmt w:val="decimalEnclosedCircleChinese"/>
        <w:numRestart w:val="eachPage"/>
      </w:footnotePr>
      <w:endnotePr>
        <w:numFmt w:val="decimalEnclosedCircleChinese"/>
      </w:end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78EB" w14:textId="77777777" w:rsidR="00226306" w:rsidRDefault="00226306" w:rsidP="00553C49">
      <w:r>
        <w:separator/>
      </w:r>
    </w:p>
  </w:endnote>
  <w:endnote w:type="continuationSeparator" w:id="0">
    <w:p w14:paraId="6984A022" w14:textId="77777777" w:rsidR="00226306" w:rsidRDefault="00226306" w:rsidP="0055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985825799"/>
      <w:docPartObj>
        <w:docPartGallery w:val="Page Numbers (Bottom of Page)"/>
        <w:docPartUnique/>
      </w:docPartObj>
    </w:sdtPr>
    <w:sdtContent>
      <w:p w14:paraId="3B49D08A" w14:textId="77777777" w:rsidR="006130E6" w:rsidRDefault="006130E6" w:rsidP="00483DA6">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19D20039" w14:textId="77777777" w:rsidR="006130E6" w:rsidRDefault="006130E6">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1509" w14:textId="77777777" w:rsidR="006130E6" w:rsidRDefault="006130E6" w:rsidP="00483DA6">
    <w:pPr>
      <w:pStyle w:val="af2"/>
      <w:framePr w:wrap="none" w:vAnchor="text" w:hAnchor="margin" w:xAlign="center" w:y="1"/>
      <w:rPr>
        <w:rStyle w:val="af4"/>
      </w:rPr>
    </w:pPr>
    <w:r>
      <w:rPr>
        <w:rStyle w:val="af4"/>
        <w:rFonts w:hint="eastAsia"/>
      </w:rPr>
      <w:t>第</w:t>
    </w:r>
    <w:sdt>
      <w:sdtPr>
        <w:rPr>
          <w:rStyle w:val="af4"/>
        </w:rPr>
        <w:id w:val="1412895092"/>
        <w:docPartObj>
          <w:docPartGallery w:val="Page Numbers (Bottom of Page)"/>
          <w:docPartUnique/>
        </w:docPartObj>
      </w:sdtPr>
      <w:sdtContent>
        <w:r>
          <w:rPr>
            <w:rStyle w:val="af4"/>
          </w:rPr>
          <w:t xml:space="preserve"> </w:t>
        </w:r>
        <w:r w:rsidRPr="00E46631">
          <w:rPr>
            <w:rStyle w:val="af4"/>
            <w:rFonts w:ascii="Times New Roman" w:hAnsi="Times New Roman" w:cs="Times New Roman"/>
          </w:rPr>
          <w:fldChar w:fldCharType="begin"/>
        </w:r>
        <w:r w:rsidRPr="00E46631">
          <w:rPr>
            <w:rStyle w:val="af4"/>
            <w:rFonts w:ascii="Times New Roman" w:hAnsi="Times New Roman" w:cs="Times New Roman"/>
          </w:rPr>
          <w:instrText xml:space="preserve"> PAGE </w:instrText>
        </w:r>
        <w:r w:rsidRPr="00E46631">
          <w:rPr>
            <w:rStyle w:val="af4"/>
            <w:rFonts w:ascii="Times New Roman" w:hAnsi="Times New Roman" w:cs="Times New Roman"/>
          </w:rPr>
          <w:fldChar w:fldCharType="separate"/>
        </w:r>
        <w:r w:rsidR="000932EE">
          <w:rPr>
            <w:rStyle w:val="af4"/>
            <w:rFonts w:ascii="Times New Roman" w:hAnsi="Times New Roman" w:cs="Times New Roman"/>
            <w:noProof/>
          </w:rPr>
          <w:t>22</w:t>
        </w:r>
        <w:r w:rsidRPr="00E46631">
          <w:rPr>
            <w:rStyle w:val="af4"/>
            <w:rFonts w:ascii="Times New Roman" w:hAnsi="Times New Roman" w:cs="Times New Roman"/>
          </w:rPr>
          <w:fldChar w:fldCharType="end"/>
        </w:r>
        <w:r>
          <w:rPr>
            <w:rStyle w:val="af4"/>
            <w:rFonts w:ascii="Times New Roman" w:hAnsi="Times New Roman" w:cs="Times New Roman"/>
          </w:rPr>
          <w:t xml:space="preserve"> </w:t>
        </w:r>
        <w:r w:rsidRPr="00E46631">
          <w:rPr>
            <w:rStyle w:val="af4"/>
            <w:rFonts w:ascii="Times New Roman" w:hAnsi="Times New Roman" w:cs="Times New Roman"/>
          </w:rPr>
          <w:t>页</w:t>
        </w:r>
        <w:r w:rsidRPr="00E46631">
          <w:rPr>
            <w:rStyle w:val="af4"/>
            <w:rFonts w:ascii="Times New Roman" w:hAnsi="Times New Roman" w:cs="Times New Roman"/>
          </w:rPr>
          <w:t xml:space="preserve"> </w:t>
        </w:r>
        <w:r>
          <w:rPr>
            <w:rStyle w:val="af4"/>
            <w:rFonts w:hint="eastAsia"/>
          </w:rPr>
          <w:t>共</w:t>
        </w:r>
        <w:r w:rsidRPr="00E46631">
          <w:rPr>
            <w:rStyle w:val="af4"/>
            <w:rFonts w:ascii="Times New Roman" w:hAnsi="Times New Roman" w:cs="Times New Roman"/>
          </w:rPr>
          <w:t>2</w:t>
        </w:r>
        <w:r>
          <w:rPr>
            <w:rStyle w:val="af4"/>
            <w:rFonts w:ascii="Times New Roman" w:hAnsi="Times New Roman" w:cs="Times New Roman"/>
          </w:rPr>
          <w:t>2</w:t>
        </w:r>
        <w:r>
          <w:rPr>
            <w:rStyle w:val="af4"/>
            <w:rFonts w:hint="eastAsia"/>
          </w:rPr>
          <w:t>页</w:t>
        </w:r>
      </w:sdtContent>
    </w:sdt>
  </w:p>
  <w:p w14:paraId="52BDEB30" w14:textId="77777777" w:rsidR="006130E6" w:rsidRDefault="006130E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9AAC" w14:textId="77777777" w:rsidR="00226306" w:rsidRDefault="00226306" w:rsidP="00553C49">
      <w:r>
        <w:separator/>
      </w:r>
    </w:p>
  </w:footnote>
  <w:footnote w:type="continuationSeparator" w:id="0">
    <w:p w14:paraId="69011A0C" w14:textId="77777777" w:rsidR="00226306" w:rsidRDefault="00226306" w:rsidP="00553C49">
      <w:r>
        <w:continuationSeparator/>
      </w:r>
    </w:p>
  </w:footnote>
  <w:footnote w:id="1">
    <w:p w14:paraId="5C7CBE99" w14:textId="77777777" w:rsidR="006130E6" w:rsidRPr="00BC2BC4" w:rsidRDefault="006130E6" w:rsidP="00BC2BC4">
      <w:pPr>
        <w:pStyle w:val="aa"/>
        <w:ind w:firstLineChars="200" w:firstLine="360"/>
        <w:jc w:val="both"/>
      </w:pPr>
      <w:r w:rsidRPr="00BC2BC4">
        <w:rPr>
          <w:rStyle w:val="ac"/>
          <w:vertAlign w:val="baseline"/>
        </w:rPr>
        <w:footnoteRef/>
      </w:r>
      <w:r>
        <w:rPr>
          <w:rFonts w:ascii="Times New Roman" w:hAnsi="Times New Roman" w:hint="eastAsia"/>
          <w:szCs w:val="32"/>
        </w:rPr>
        <w:t>姚东旻、崔孟奇（通讯作者）、赵江威，中央财经大学中国财政发展协同创新中心，邮政编码：</w:t>
      </w:r>
      <w:r>
        <w:rPr>
          <w:rFonts w:ascii="Times New Roman" w:hAnsi="Times New Roman"/>
          <w:szCs w:val="32"/>
        </w:rPr>
        <w:t>102206</w:t>
      </w:r>
      <w:r>
        <w:rPr>
          <w:rFonts w:ascii="Times New Roman" w:hAnsi="Times New Roman" w:hint="eastAsia"/>
          <w:szCs w:val="32"/>
        </w:rPr>
        <w:t>，电子邮箱：</w:t>
      </w:r>
      <w:r w:rsidRPr="00BC2BC4">
        <w:rPr>
          <w:rFonts w:ascii="Times New Roman" w:hAnsi="Times New Roman"/>
          <w:szCs w:val="32"/>
        </w:rPr>
        <w:t>yaodongminn@163.com</w:t>
      </w:r>
      <w:r w:rsidRPr="00BC2BC4">
        <w:rPr>
          <w:rFonts w:ascii="Times New Roman" w:hAnsi="Times New Roman" w:hint="eastAsia"/>
          <w:szCs w:val="32"/>
        </w:rPr>
        <w:t>，</w:t>
      </w:r>
      <w:r w:rsidRPr="00BC2BC4">
        <w:rPr>
          <w:rFonts w:ascii="Times New Roman" w:hAnsi="Times New Roman" w:hint="eastAsia"/>
          <w:szCs w:val="32"/>
        </w:rPr>
        <w:t>1</w:t>
      </w:r>
      <w:r w:rsidRPr="00BC2BC4">
        <w:rPr>
          <w:rFonts w:ascii="Times New Roman" w:hAnsi="Times New Roman"/>
          <w:szCs w:val="32"/>
        </w:rPr>
        <w:t>8811577179@163.com</w:t>
      </w:r>
      <w:r>
        <w:rPr>
          <w:rFonts w:ascii="Times New Roman" w:hAnsi="Times New Roman" w:hint="eastAsia"/>
          <w:szCs w:val="32"/>
        </w:rPr>
        <w:t>，</w:t>
      </w:r>
      <w:r w:rsidRPr="00453E23">
        <w:rPr>
          <w:rFonts w:ascii="Times New Roman" w:hAnsi="Times New Roman"/>
          <w:szCs w:val="32"/>
        </w:rPr>
        <w:t>deltazhao98@163.com</w:t>
      </w:r>
      <w:r>
        <w:rPr>
          <w:rFonts w:ascii="Times New Roman" w:hAnsi="Times New Roman" w:hint="eastAsia"/>
          <w:szCs w:val="32"/>
        </w:rPr>
        <w:t>。基金项目：国家社会科学基金重点项目“</w:t>
      </w:r>
      <w:r w:rsidRPr="00293C29">
        <w:rPr>
          <w:rFonts w:ascii="Times New Roman" w:hAnsi="Times New Roman"/>
          <w:szCs w:val="32"/>
        </w:rPr>
        <w:t>政府预决算视角下提升我国国家创新体系整体效能的财政体制与政策研究</w:t>
      </w:r>
      <w:r>
        <w:rPr>
          <w:rFonts w:ascii="Times New Roman" w:hAnsi="Times New Roman" w:hint="eastAsia"/>
          <w:szCs w:val="32"/>
        </w:rPr>
        <w:t>”（</w:t>
      </w:r>
      <w:r w:rsidRPr="00293C29">
        <w:rPr>
          <w:rFonts w:ascii="Times New Roman" w:hAnsi="Times New Roman"/>
          <w:szCs w:val="32"/>
        </w:rPr>
        <w:t>20AJY020</w:t>
      </w:r>
      <w:r>
        <w:rPr>
          <w:rFonts w:ascii="Times New Roman" w:hAnsi="Times New Roman" w:hint="eastAsia"/>
          <w:szCs w:val="32"/>
        </w:rPr>
        <w:t>）。感谢匿名审稿专家的宝贵意见，文责自负。</w:t>
      </w:r>
    </w:p>
  </w:footnote>
  <w:footnote w:id="2">
    <w:p w14:paraId="38A8DB35" w14:textId="77777777" w:rsidR="006130E6" w:rsidRPr="00EB546C" w:rsidRDefault="006130E6" w:rsidP="008B4F66">
      <w:pPr>
        <w:pStyle w:val="aa"/>
        <w:ind w:firstLineChars="200" w:firstLine="360"/>
        <w:jc w:val="both"/>
        <w:rPr>
          <w:color w:val="000000" w:themeColor="text1"/>
        </w:rPr>
      </w:pPr>
      <w:r w:rsidRPr="00EB546C">
        <w:rPr>
          <w:color w:val="000000" w:themeColor="text1"/>
        </w:rPr>
        <w:footnoteRef/>
      </w:r>
      <w:r w:rsidRPr="00EB546C">
        <w:rPr>
          <w:color w:val="000000" w:themeColor="text1"/>
        </w:rPr>
        <w:t xml:space="preserve"> 《国务院关于推进中央与地方财政事权和支出责任划分改革的指导意见》（国发〔2016〕49号）</w:t>
      </w:r>
    </w:p>
  </w:footnote>
  <w:footnote w:id="3">
    <w:p w14:paraId="40EE621C" w14:textId="77777777" w:rsidR="006130E6" w:rsidRPr="001C69B1" w:rsidRDefault="006130E6" w:rsidP="008B4F66">
      <w:pPr>
        <w:pStyle w:val="aa"/>
        <w:ind w:firstLineChars="200" w:firstLine="360"/>
        <w:jc w:val="both"/>
        <w:rPr>
          <w:color w:val="000000" w:themeColor="text1"/>
        </w:rPr>
      </w:pPr>
      <w:r w:rsidRPr="001C69B1">
        <w:rPr>
          <w:rStyle w:val="ac"/>
          <w:color w:val="000000" w:themeColor="text1"/>
          <w:vertAlign w:val="baseline"/>
        </w:rPr>
        <w:footnoteRef/>
      </w:r>
      <w:r w:rsidRPr="001C69B1">
        <w:rPr>
          <w:color w:val="000000" w:themeColor="text1"/>
        </w:rPr>
        <w:t xml:space="preserve"> </w:t>
      </w:r>
      <w:r>
        <w:rPr>
          <w:rFonts w:hint="eastAsia"/>
          <w:color w:val="000000" w:themeColor="text1"/>
        </w:rPr>
        <w:t>根据《</w:t>
      </w:r>
      <w:r w:rsidRPr="00486C2A">
        <w:rPr>
          <w:color w:val="000000" w:themeColor="text1"/>
        </w:rPr>
        <w:t>中华人民共和国农业法</w:t>
      </w:r>
      <w:r>
        <w:rPr>
          <w:rFonts w:hint="eastAsia"/>
          <w:color w:val="000000" w:themeColor="text1"/>
        </w:rPr>
        <w:t>》《</w:t>
      </w:r>
      <w:r w:rsidRPr="001D5308">
        <w:rPr>
          <w:color w:val="000000" w:themeColor="text1"/>
        </w:rPr>
        <w:t>中华人民共和国教育法</w:t>
      </w:r>
      <w:r>
        <w:rPr>
          <w:rFonts w:hint="eastAsia"/>
          <w:color w:val="000000" w:themeColor="text1"/>
        </w:rPr>
        <w:t>》《</w:t>
      </w:r>
      <w:r w:rsidRPr="001D5308">
        <w:rPr>
          <w:color w:val="000000" w:themeColor="text1"/>
        </w:rPr>
        <w:t>中华人民共和国科学技术进步法</w:t>
      </w:r>
      <w:r>
        <w:rPr>
          <w:rFonts w:hint="eastAsia"/>
          <w:color w:val="000000" w:themeColor="text1"/>
        </w:rPr>
        <w:t>》，</w:t>
      </w:r>
      <w:r w:rsidRPr="00CF5237">
        <w:rPr>
          <w:color w:val="000000" w:themeColor="text1"/>
        </w:rPr>
        <w:t>各级财政农林水事务支出、教育支出、科学技术支出的增长幅度应当高于其财政经常性收入的增长幅度</w:t>
      </w:r>
      <w:r>
        <w:rPr>
          <w:rFonts w:hint="eastAsia"/>
          <w:color w:val="000000" w:themeColor="text1"/>
        </w:rPr>
        <w:t>，</w:t>
      </w:r>
      <w:r w:rsidRPr="001C69B1">
        <w:rPr>
          <w:rFonts w:hint="eastAsia"/>
          <w:color w:val="000000" w:themeColor="text1"/>
        </w:rPr>
        <w:t>因此三项支出通常被称为法定支出。</w:t>
      </w:r>
    </w:p>
  </w:footnote>
  <w:footnote w:id="4">
    <w:p w14:paraId="1436AE8E" w14:textId="77777777" w:rsidR="006130E6" w:rsidRPr="00201402" w:rsidRDefault="006130E6" w:rsidP="00BC2BC4">
      <w:pPr>
        <w:pStyle w:val="aa"/>
        <w:ind w:firstLineChars="200" w:firstLine="360"/>
        <w:jc w:val="both"/>
        <w:rPr>
          <w:rFonts w:ascii="Times New Roman" w:hAnsi="Times New Roman" w:cs="Times New Roman"/>
          <w:color w:val="FF0000"/>
          <w:sz w:val="21"/>
          <w:szCs w:val="21"/>
        </w:rPr>
      </w:pPr>
      <w:r w:rsidRPr="001C69B1">
        <w:rPr>
          <w:rStyle w:val="ac"/>
          <w:rFonts w:ascii="Times New Roman" w:hAnsi="Times New Roman" w:cs="Times New Roman"/>
          <w:color w:val="000000" w:themeColor="text1"/>
          <w:vertAlign w:val="baseline"/>
        </w:rPr>
        <w:footnoteRef/>
      </w:r>
      <w:r w:rsidRPr="001C69B1">
        <w:rPr>
          <w:rFonts w:ascii="Times New Roman" w:hAnsi="Times New Roman" w:cs="Times New Roman"/>
          <w:color w:val="000000" w:themeColor="text1"/>
        </w:rPr>
        <w:t xml:space="preserve"> </w:t>
      </w:r>
      <w:r w:rsidRPr="001C69B1">
        <w:rPr>
          <w:rFonts w:ascii="Times New Roman" w:hAnsi="Times New Roman" w:cs="Times New Roman"/>
          <w:color w:val="000000" w:themeColor="text1"/>
        </w:rPr>
        <w:t>《山东省人民政府关于推进省以下财政事权和支出责任划分改革的意见》（鲁政发〔</w:t>
      </w:r>
      <w:r w:rsidRPr="001C69B1">
        <w:rPr>
          <w:rFonts w:ascii="Times New Roman" w:hAnsi="Times New Roman" w:cs="Times New Roman"/>
          <w:color w:val="000000" w:themeColor="text1"/>
        </w:rPr>
        <w:t>2017</w:t>
      </w:r>
      <w:r w:rsidRPr="001C69B1">
        <w:rPr>
          <w:rFonts w:ascii="Times New Roman" w:hAnsi="Times New Roman" w:cs="Times New Roman"/>
          <w:color w:val="000000" w:themeColor="text1"/>
        </w:rPr>
        <w:t>〕</w:t>
      </w:r>
      <w:r w:rsidRPr="001C69B1">
        <w:rPr>
          <w:rFonts w:ascii="Times New Roman" w:hAnsi="Times New Roman" w:cs="Times New Roman"/>
          <w:color w:val="000000" w:themeColor="text1"/>
        </w:rPr>
        <w:t>3</w:t>
      </w:r>
      <w:r w:rsidRPr="001C69B1">
        <w:rPr>
          <w:rFonts w:ascii="Times New Roman" w:hAnsi="Times New Roman" w:cs="Times New Roman"/>
          <w:color w:val="000000" w:themeColor="text1"/>
        </w:rPr>
        <w:t>号）</w:t>
      </w:r>
      <w:r w:rsidRPr="001C69B1">
        <w:rPr>
          <w:rFonts w:ascii="Times New Roman" w:hAnsi="Times New Roman" w:cs="Times New Roman" w:hint="eastAsia"/>
          <w:color w:val="000000" w:themeColor="text1"/>
        </w:rPr>
        <w:t>；</w:t>
      </w:r>
      <w:r w:rsidRPr="001C69B1">
        <w:rPr>
          <w:rFonts w:ascii="Times New Roman" w:hAnsi="Times New Roman" w:cs="Times New Roman"/>
          <w:color w:val="000000" w:themeColor="text1"/>
        </w:rPr>
        <w:t>《吉林省人民政府关于印发吉林省推进省以下财政事权和支出责任划分改革方案的通知》（吉政发〔</w:t>
      </w:r>
      <w:r w:rsidRPr="001C69B1">
        <w:rPr>
          <w:rFonts w:ascii="Times New Roman" w:hAnsi="Times New Roman" w:cs="Times New Roman"/>
          <w:color w:val="000000" w:themeColor="text1"/>
        </w:rPr>
        <w:t>2017</w:t>
      </w:r>
      <w:r w:rsidRPr="001C69B1">
        <w:rPr>
          <w:rFonts w:ascii="Times New Roman" w:hAnsi="Times New Roman" w:cs="Times New Roman"/>
          <w:color w:val="000000" w:themeColor="text1"/>
        </w:rPr>
        <w:t>〕</w:t>
      </w:r>
      <w:r w:rsidRPr="001C69B1">
        <w:rPr>
          <w:rFonts w:ascii="Times New Roman" w:hAnsi="Times New Roman" w:cs="Times New Roman"/>
          <w:color w:val="000000" w:themeColor="text1"/>
        </w:rPr>
        <w:t>10</w:t>
      </w:r>
      <w:r w:rsidRPr="001C69B1">
        <w:rPr>
          <w:rFonts w:ascii="Times New Roman" w:hAnsi="Times New Roman" w:cs="Times New Roman"/>
          <w:color w:val="000000" w:themeColor="text1"/>
        </w:rPr>
        <w:t>号）等。</w:t>
      </w:r>
    </w:p>
  </w:footnote>
  <w:footnote w:id="5">
    <w:p w14:paraId="10D34406" w14:textId="77777777" w:rsidR="006130E6" w:rsidRPr="005153E5" w:rsidRDefault="006130E6" w:rsidP="00DD119A">
      <w:pPr>
        <w:pStyle w:val="aa"/>
        <w:ind w:firstLineChars="200" w:firstLine="360"/>
        <w:jc w:val="both"/>
        <w:rPr>
          <w:rFonts w:ascii="Times New Roman" w:hAnsi="Times New Roman" w:cs="Times New Roman"/>
        </w:rPr>
      </w:pPr>
      <w:r w:rsidRPr="005153E5">
        <w:rPr>
          <w:rStyle w:val="ac"/>
          <w:rFonts w:ascii="Times New Roman" w:hAnsi="Times New Roman" w:cs="Times New Roman"/>
          <w:vertAlign w:val="baseline"/>
        </w:rPr>
        <w:footnoteRef/>
      </w:r>
      <w:r w:rsidRPr="005153E5">
        <w:rPr>
          <w:rFonts w:ascii="Times New Roman" w:hAnsi="Times New Roman" w:cs="Times New Roman"/>
        </w:rPr>
        <w:t xml:space="preserve"> </w:t>
      </w:r>
      <w:r w:rsidRPr="005153E5">
        <w:rPr>
          <w:rFonts w:ascii="Times New Roman" w:hAnsi="Times New Roman" w:cs="Times New Roman"/>
        </w:rPr>
        <w:t>为防止多重共线问题，本文在夏普利值分解、</w:t>
      </w:r>
      <w:r w:rsidRPr="005153E5">
        <w:rPr>
          <w:rFonts w:ascii="Times New Roman" w:hAnsi="Times New Roman" w:cs="Times New Roman"/>
        </w:rPr>
        <w:t>OLS</w:t>
      </w:r>
      <w:r w:rsidRPr="005153E5">
        <w:rPr>
          <w:rFonts w:ascii="Times New Roman" w:hAnsi="Times New Roman" w:cs="Times New Roman"/>
        </w:rPr>
        <w:t>基准回归、交互项回归</w:t>
      </w:r>
      <w:r>
        <w:rPr>
          <w:rFonts w:ascii="Times New Roman" w:hAnsi="Times New Roman" w:cs="Times New Roman"/>
        </w:rPr>
        <w:t>中</w:t>
      </w:r>
      <w:r w:rsidRPr="005153E5">
        <w:rPr>
          <w:rFonts w:ascii="Times New Roman" w:hAnsi="Times New Roman" w:cs="Times New Roman"/>
        </w:rPr>
        <w:t>仅使用核心控制变量对城市特征进行控制。倾向得分匹配则同时包括核心控制变量和特征匹配变量，目的是最大限度的保证匹配到</w:t>
      </w:r>
      <w:r w:rsidRPr="002B2F17">
        <w:rPr>
          <w:rFonts w:ascii="Times New Roman" w:hAnsi="Times New Roman" w:cs="Times New Roman"/>
        </w:rPr>
        <w:t>的</w:t>
      </w:r>
      <w:r w:rsidRPr="0075508C">
        <w:rPr>
          <w:rFonts w:ascii="Times New Roman" w:hAnsi="Times New Roman" w:cs="Times New Roman" w:hint="eastAsia"/>
        </w:rPr>
        <w:t>“</w:t>
      </w:r>
      <w:r w:rsidRPr="002B2F17">
        <w:rPr>
          <w:rFonts w:ascii="Times New Roman" w:hAnsi="Times New Roman" w:cs="Times New Roman"/>
        </w:rPr>
        <w:t>城市对</w:t>
      </w:r>
      <w:r w:rsidRPr="0075508C">
        <w:rPr>
          <w:rFonts w:ascii="Times New Roman" w:hAnsi="Times New Roman" w:cs="Times New Roman" w:hint="eastAsia"/>
        </w:rPr>
        <w:t>”</w:t>
      </w:r>
      <w:r w:rsidRPr="002B2F17">
        <w:rPr>
          <w:rFonts w:ascii="Times New Roman" w:hAnsi="Times New Roman" w:cs="Times New Roman"/>
        </w:rPr>
        <w:t>具有类</w:t>
      </w:r>
      <w:r w:rsidRPr="005153E5">
        <w:rPr>
          <w:rFonts w:ascii="Times New Roman" w:hAnsi="Times New Roman" w:cs="Times New Roman"/>
        </w:rPr>
        <w:t>似的特征。</w:t>
      </w:r>
    </w:p>
  </w:footnote>
  <w:footnote w:id="6">
    <w:p w14:paraId="13E543C5" w14:textId="77777777" w:rsidR="006130E6" w:rsidRPr="006255F9" w:rsidRDefault="006130E6" w:rsidP="006255F9">
      <w:pPr>
        <w:pStyle w:val="aa"/>
        <w:ind w:firstLineChars="200" w:firstLine="360"/>
        <w:rPr>
          <w:rFonts w:ascii="Times New Roman" w:hAnsi="Times New Roman" w:cs="Times New Roman"/>
        </w:rPr>
      </w:pPr>
      <w:r w:rsidRPr="006255F9">
        <w:rPr>
          <w:rStyle w:val="ac"/>
          <w:rFonts w:ascii="Times New Roman" w:hAnsi="Times New Roman" w:cs="Times New Roman"/>
          <w:vertAlign w:val="baseline"/>
        </w:rPr>
        <w:footnoteRef/>
      </w:r>
      <w:r w:rsidRPr="006255F9">
        <w:rPr>
          <w:rFonts w:ascii="Times New Roman" w:hAnsi="Times New Roman" w:cs="Times New Roman"/>
        </w:rPr>
        <w:t xml:space="preserve"> </w:t>
      </w:r>
      <w:r w:rsidRPr="006255F9">
        <w:rPr>
          <w:rFonts w:ascii="Times New Roman" w:hAnsi="Times New Roman" w:cs="Times New Roman"/>
        </w:rPr>
        <w:t>《关于进一步深化预算管理制度改革的实施意见》，湘政发〔</w:t>
      </w:r>
      <w:r w:rsidRPr="006255F9">
        <w:rPr>
          <w:rFonts w:ascii="Times New Roman" w:hAnsi="Times New Roman" w:cs="Times New Roman"/>
        </w:rPr>
        <w:t>2021</w:t>
      </w:r>
      <w:r w:rsidRPr="006255F9">
        <w:rPr>
          <w:rFonts w:ascii="Times New Roman" w:hAnsi="Times New Roman" w:cs="Times New Roman"/>
        </w:rPr>
        <w:t>〕</w:t>
      </w:r>
      <w:r w:rsidRPr="006255F9">
        <w:rPr>
          <w:rFonts w:ascii="Times New Roman" w:hAnsi="Times New Roman" w:cs="Times New Roman"/>
        </w:rPr>
        <w:t>14</w:t>
      </w:r>
      <w:r w:rsidRPr="006255F9">
        <w:rPr>
          <w:rFonts w:ascii="Times New Roman" w:hAnsi="Times New Roman" w:cs="Times New Roman"/>
        </w:rPr>
        <w:t>号</w:t>
      </w:r>
      <w:r w:rsidRPr="006255F9">
        <w:rPr>
          <w:rFonts w:ascii="Times New Roman" w:hAnsi="Times New Roman" w:cs="Times New Roman" w:hint="eastAsia"/>
        </w:rPr>
        <w:t>。</w:t>
      </w:r>
    </w:p>
  </w:footnote>
  <w:footnote w:id="7">
    <w:p w14:paraId="5D6588C6" w14:textId="77777777" w:rsidR="006130E6" w:rsidRPr="00A716E2" w:rsidRDefault="006130E6" w:rsidP="006255F9">
      <w:pPr>
        <w:pStyle w:val="aa"/>
        <w:ind w:firstLineChars="200" w:firstLine="360"/>
        <w:rPr>
          <w:rFonts w:ascii="Times New Roman" w:hAnsi="Times New Roman" w:cs="Times New Roman"/>
          <w:sz w:val="21"/>
          <w:szCs w:val="21"/>
        </w:rPr>
      </w:pPr>
      <w:r w:rsidRPr="006255F9">
        <w:rPr>
          <w:rStyle w:val="ac"/>
          <w:rFonts w:ascii="Times New Roman" w:hAnsi="Times New Roman" w:cs="Times New Roman"/>
          <w:vertAlign w:val="baseline"/>
        </w:rPr>
        <w:footnoteRef/>
      </w:r>
      <w:r w:rsidRPr="006255F9">
        <w:rPr>
          <w:rFonts w:ascii="Times New Roman" w:hAnsi="Times New Roman" w:cs="Times New Roman"/>
        </w:rPr>
        <w:t xml:space="preserve"> </w:t>
      </w:r>
      <w:r w:rsidRPr="006255F9">
        <w:rPr>
          <w:rFonts w:ascii="Times New Roman" w:hAnsi="Times New Roman" w:cs="Times New Roman"/>
        </w:rPr>
        <w:t>《关于进一步深化预算管理制度改革的实施意见》，鄂政发〔</w:t>
      </w:r>
      <w:r w:rsidRPr="006255F9">
        <w:rPr>
          <w:rFonts w:ascii="Times New Roman" w:hAnsi="Times New Roman" w:cs="Times New Roman"/>
        </w:rPr>
        <w:t>2022</w:t>
      </w:r>
      <w:r w:rsidRPr="006255F9">
        <w:rPr>
          <w:rFonts w:ascii="Times New Roman" w:hAnsi="Times New Roman" w:cs="Times New Roman"/>
        </w:rPr>
        <w:t>〕</w:t>
      </w:r>
      <w:r w:rsidRPr="006255F9">
        <w:rPr>
          <w:rFonts w:ascii="Times New Roman" w:hAnsi="Times New Roman" w:cs="Times New Roman"/>
        </w:rPr>
        <w:t>8</w:t>
      </w:r>
      <w:r w:rsidRPr="006255F9">
        <w:rPr>
          <w:rFonts w:ascii="Times New Roman" w:hAnsi="Times New Roman" w:cs="Times New Roman"/>
        </w:rPr>
        <w:t>号</w:t>
      </w:r>
      <w:r w:rsidRPr="006255F9">
        <w:rPr>
          <w:rFonts w:ascii="Times New Roman" w:hAnsi="Times New Roman" w:cs="Times New Roman" w:hint="eastAsia"/>
        </w:rPr>
        <w:t>。</w:t>
      </w:r>
    </w:p>
  </w:footnote>
  <w:footnote w:id="8">
    <w:p w14:paraId="1B3CF437" w14:textId="77777777" w:rsidR="006130E6" w:rsidRPr="006255F9" w:rsidRDefault="006130E6" w:rsidP="006255F9">
      <w:pPr>
        <w:pStyle w:val="aa"/>
        <w:ind w:firstLineChars="200" w:firstLine="360"/>
      </w:pPr>
      <w:r w:rsidRPr="006255F9">
        <w:rPr>
          <w:rStyle w:val="ac"/>
          <w:rFonts w:ascii="Times New Roman" w:hAnsi="Times New Roman" w:cs="Times New Roman"/>
          <w:vertAlign w:val="baseline"/>
        </w:rPr>
        <w:footnoteRef/>
      </w:r>
      <w:r w:rsidRPr="006255F9">
        <w:rPr>
          <w:rFonts w:ascii="Times New Roman" w:hAnsi="Times New Roman" w:cs="Times New Roman"/>
        </w:rPr>
        <w:t xml:space="preserve"> </w:t>
      </w:r>
      <w:r w:rsidRPr="006255F9">
        <w:rPr>
          <w:rFonts w:ascii="Times New Roman" w:hAnsi="Times New Roman" w:cs="Times New Roman"/>
        </w:rPr>
        <w:t>因控制组为不毗邻组</w:t>
      </w:r>
      <w:r w:rsidRPr="00DD119A">
        <w:rPr>
          <w:rFonts w:hint="eastAsia"/>
          <w:bCs/>
          <w:color w:val="000000" w:themeColor="text1"/>
        </w:rPr>
        <w:t>“</w:t>
      </w:r>
      <w:r w:rsidRPr="00DD119A">
        <w:rPr>
          <w:rFonts w:ascii="Times New Roman" w:hAnsi="Times New Roman" w:cs="Times New Roman"/>
        </w:rPr>
        <w:t>城市对</w:t>
      </w:r>
      <w:r w:rsidRPr="00DD119A">
        <w:rPr>
          <w:rFonts w:hint="eastAsia"/>
          <w:bCs/>
          <w:color w:val="000000" w:themeColor="text1"/>
        </w:rPr>
        <w:t>”</w:t>
      </w:r>
      <w:r w:rsidRPr="00DD119A">
        <w:rPr>
          <w:rFonts w:ascii="Times New Roman" w:hAnsi="Times New Roman" w:cs="Times New Roman"/>
        </w:rPr>
        <w:t>，且匹配</w:t>
      </w:r>
      <w:r w:rsidRPr="006255F9">
        <w:rPr>
          <w:rFonts w:ascii="Times New Roman" w:hAnsi="Times New Roman" w:cs="Times New Roman"/>
        </w:rPr>
        <w:t>目的为验证毗邻的作用，因此城市间地理距离变量未纳入匹配条件，主要通过城市的经济、财政、环境、民生状况等核心特征指标进行配对。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EE6"/>
    <w:multiLevelType w:val="hybridMultilevel"/>
    <w:tmpl w:val="C1FA0F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E1908FD"/>
    <w:multiLevelType w:val="hybridMultilevel"/>
    <w:tmpl w:val="1B12FEE0"/>
    <w:lvl w:ilvl="0" w:tplc="C2FCF4A6">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15:restartNumberingAfterBreak="0">
    <w:nsid w:val="14147FC7"/>
    <w:multiLevelType w:val="hybridMultilevel"/>
    <w:tmpl w:val="ED603FFE"/>
    <w:lvl w:ilvl="0" w:tplc="D8A499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4B1847"/>
    <w:multiLevelType w:val="hybridMultilevel"/>
    <w:tmpl w:val="61A203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AF55AEF"/>
    <w:multiLevelType w:val="hybridMultilevel"/>
    <w:tmpl w:val="F75AF332"/>
    <w:lvl w:ilvl="0" w:tplc="039267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DE078D"/>
    <w:multiLevelType w:val="hybridMultilevel"/>
    <w:tmpl w:val="30160C9E"/>
    <w:lvl w:ilvl="0" w:tplc="213AF7F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595384"/>
    <w:multiLevelType w:val="hybridMultilevel"/>
    <w:tmpl w:val="4732BA6A"/>
    <w:lvl w:ilvl="0" w:tplc="0206221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485FA9"/>
    <w:multiLevelType w:val="hybridMultilevel"/>
    <w:tmpl w:val="5630FB76"/>
    <w:lvl w:ilvl="0" w:tplc="5C72F3C4">
      <w:start w:val="1"/>
      <w:numFmt w:val="japaneseCounting"/>
      <w:lvlText w:val="%1、"/>
      <w:lvlJc w:val="left"/>
      <w:pPr>
        <w:ind w:left="560" w:hanging="5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0381C30"/>
    <w:multiLevelType w:val="hybridMultilevel"/>
    <w:tmpl w:val="F252CD1E"/>
    <w:lvl w:ilvl="0" w:tplc="3CCA7E0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5315224"/>
    <w:multiLevelType w:val="hybridMultilevel"/>
    <w:tmpl w:val="69E86E4C"/>
    <w:lvl w:ilvl="0" w:tplc="DE34EF5C">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A62C33"/>
    <w:multiLevelType w:val="hybridMultilevel"/>
    <w:tmpl w:val="FE7EADFA"/>
    <w:lvl w:ilvl="0" w:tplc="41C0E216">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54A03AD8"/>
    <w:multiLevelType w:val="hybridMultilevel"/>
    <w:tmpl w:val="75F47E1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557A7401"/>
    <w:multiLevelType w:val="hybridMultilevel"/>
    <w:tmpl w:val="332EE34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60075EC"/>
    <w:multiLevelType w:val="hybridMultilevel"/>
    <w:tmpl w:val="39E806D8"/>
    <w:lvl w:ilvl="0" w:tplc="CFDEF4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1857DBD"/>
    <w:multiLevelType w:val="hybridMultilevel"/>
    <w:tmpl w:val="42E82F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1BA7597"/>
    <w:multiLevelType w:val="hybridMultilevel"/>
    <w:tmpl w:val="CDACEB7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65CE4C4F"/>
    <w:multiLevelType w:val="hybridMultilevel"/>
    <w:tmpl w:val="8B42F1C4"/>
    <w:lvl w:ilvl="0" w:tplc="838C03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CF070DA"/>
    <w:multiLevelType w:val="hybridMultilevel"/>
    <w:tmpl w:val="3C6ED5E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703328B3"/>
    <w:multiLevelType w:val="hybridMultilevel"/>
    <w:tmpl w:val="AB7AF202"/>
    <w:lvl w:ilvl="0" w:tplc="CC7666B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8F469D4"/>
    <w:multiLevelType w:val="hybridMultilevel"/>
    <w:tmpl w:val="6778D5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B444136"/>
    <w:multiLevelType w:val="hybridMultilevel"/>
    <w:tmpl w:val="0C3C97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903567709">
    <w:abstractNumId w:val="4"/>
  </w:num>
  <w:num w:numId="2" w16cid:durableId="1440374394">
    <w:abstractNumId w:val="16"/>
  </w:num>
  <w:num w:numId="3" w16cid:durableId="2139058757">
    <w:abstractNumId w:val="2"/>
  </w:num>
  <w:num w:numId="4" w16cid:durableId="951133961">
    <w:abstractNumId w:val="13"/>
  </w:num>
  <w:num w:numId="5" w16cid:durableId="1644775720">
    <w:abstractNumId w:val="7"/>
  </w:num>
  <w:num w:numId="6" w16cid:durableId="1187988107">
    <w:abstractNumId w:val="9"/>
  </w:num>
  <w:num w:numId="7" w16cid:durableId="1327131744">
    <w:abstractNumId w:val="10"/>
  </w:num>
  <w:num w:numId="8" w16cid:durableId="829753250">
    <w:abstractNumId w:val="17"/>
  </w:num>
  <w:num w:numId="9" w16cid:durableId="829174622">
    <w:abstractNumId w:val="0"/>
  </w:num>
  <w:num w:numId="10" w16cid:durableId="1882673150">
    <w:abstractNumId w:val="8"/>
  </w:num>
  <w:num w:numId="11" w16cid:durableId="1885561058">
    <w:abstractNumId w:val="14"/>
  </w:num>
  <w:num w:numId="12" w16cid:durableId="1342898375">
    <w:abstractNumId w:val="3"/>
  </w:num>
  <w:num w:numId="13" w16cid:durableId="2124185459">
    <w:abstractNumId w:val="11"/>
  </w:num>
  <w:num w:numId="14" w16cid:durableId="2009939138">
    <w:abstractNumId w:val="12"/>
  </w:num>
  <w:num w:numId="15" w16cid:durableId="1082675872">
    <w:abstractNumId w:val="15"/>
  </w:num>
  <w:num w:numId="16" w16cid:durableId="340930709">
    <w:abstractNumId w:val="20"/>
  </w:num>
  <w:num w:numId="17" w16cid:durableId="2108501484">
    <w:abstractNumId w:val="19"/>
  </w:num>
  <w:num w:numId="18" w16cid:durableId="1640063930">
    <w:abstractNumId w:val="5"/>
  </w:num>
  <w:num w:numId="19" w16cid:durableId="1959138907">
    <w:abstractNumId w:val="18"/>
  </w:num>
  <w:num w:numId="20" w16cid:durableId="113644372">
    <w:abstractNumId w:val="1"/>
  </w:num>
  <w:num w:numId="21" w16cid:durableId="1366177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characterSpacingControl w:val="doNotCompress"/>
  <w:hdrShapeDefaults>
    <o:shapedefaults v:ext="edit" spidmax="2050"/>
  </w:hdrShapeDefaults>
  <w:footnotePr>
    <w:numFmt w:val="decimalEnclosedCircleChinese"/>
    <w:numRestart w:val="eachPage"/>
    <w:footnote w:id="-1"/>
    <w:footnote w:id="0"/>
  </w:footnotePr>
  <w:endnotePr>
    <w:numFmt w:val="decimalEnclosedCircleChinese"/>
    <w:endnote w:id="-1"/>
    <w:endnote w:id="0"/>
  </w:endnotePr>
  <w:compat>
    <w:useFELayout/>
    <w:compatSetting w:name="compatibilityMode" w:uri="http://schemas.microsoft.com/office/word" w:val="12"/>
    <w:compatSetting w:name="useWord2013TrackBottomHyphenation" w:uri="http://schemas.microsoft.com/office/word" w:val="1"/>
  </w:compat>
  <w:rsids>
    <w:rsidRoot w:val="00685B10"/>
    <w:rsid w:val="00007171"/>
    <w:rsid w:val="000147BB"/>
    <w:rsid w:val="00015A8C"/>
    <w:rsid w:val="00017D30"/>
    <w:rsid w:val="0002295F"/>
    <w:rsid w:val="00024E74"/>
    <w:rsid w:val="00025AEE"/>
    <w:rsid w:val="00034894"/>
    <w:rsid w:val="00035E18"/>
    <w:rsid w:val="00037AFD"/>
    <w:rsid w:val="000426A2"/>
    <w:rsid w:val="00053EF6"/>
    <w:rsid w:val="00057161"/>
    <w:rsid w:val="000622A6"/>
    <w:rsid w:val="00070F37"/>
    <w:rsid w:val="0008104B"/>
    <w:rsid w:val="00081BE1"/>
    <w:rsid w:val="000824EE"/>
    <w:rsid w:val="00083FAF"/>
    <w:rsid w:val="0008540B"/>
    <w:rsid w:val="00085741"/>
    <w:rsid w:val="00087348"/>
    <w:rsid w:val="000909E1"/>
    <w:rsid w:val="00091655"/>
    <w:rsid w:val="000932EE"/>
    <w:rsid w:val="0009338F"/>
    <w:rsid w:val="00096CCF"/>
    <w:rsid w:val="000A3ACF"/>
    <w:rsid w:val="000A7843"/>
    <w:rsid w:val="000B148B"/>
    <w:rsid w:val="000B1892"/>
    <w:rsid w:val="000B2DC5"/>
    <w:rsid w:val="000B2E6C"/>
    <w:rsid w:val="000B7D3F"/>
    <w:rsid w:val="000C1A75"/>
    <w:rsid w:val="000C32F1"/>
    <w:rsid w:val="000D56AC"/>
    <w:rsid w:val="000D5A78"/>
    <w:rsid w:val="000D769F"/>
    <w:rsid w:val="000F49D8"/>
    <w:rsid w:val="00104B57"/>
    <w:rsid w:val="00105CBD"/>
    <w:rsid w:val="00116863"/>
    <w:rsid w:val="00116D00"/>
    <w:rsid w:val="001216A5"/>
    <w:rsid w:val="0012187A"/>
    <w:rsid w:val="0012718F"/>
    <w:rsid w:val="00127A4A"/>
    <w:rsid w:val="00132E01"/>
    <w:rsid w:val="0013494B"/>
    <w:rsid w:val="0014640C"/>
    <w:rsid w:val="001465EE"/>
    <w:rsid w:val="00154738"/>
    <w:rsid w:val="001607DA"/>
    <w:rsid w:val="00170F31"/>
    <w:rsid w:val="001722A4"/>
    <w:rsid w:val="00187D2F"/>
    <w:rsid w:val="00190899"/>
    <w:rsid w:val="00194D3C"/>
    <w:rsid w:val="00197BBB"/>
    <w:rsid w:val="001A2979"/>
    <w:rsid w:val="001A30B7"/>
    <w:rsid w:val="001A3851"/>
    <w:rsid w:val="001A3A7C"/>
    <w:rsid w:val="001A3E87"/>
    <w:rsid w:val="001A5758"/>
    <w:rsid w:val="001B1B42"/>
    <w:rsid w:val="001B227D"/>
    <w:rsid w:val="001B3FD6"/>
    <w:rsid w:val="001C2152"/>
    <w:rsid w:val="001C5384"/>
    <w:rsid w:val="001C59C7"/>
    <w:rsid w:val="001C69B1"/>
    <w:rsid w:val="001C7654"/>
    <w:rsid w:val="001D083A"/>
    <w:rsid w:val="001D3FE0"/>
    <w:rsid w:val="001D48D7"/>
    <w:rsid w:val="001D5308"/>
    <w:rsid w:val="001E0098"/>
    <w:rsid w:val="001F14A5"/>
    <w:rsid w:val="001F3D69"/>
    <w:rsid w:val="001F784F"/>
    <w:rsid w:val="00200068"/>
    <w:rsid w:val="00201402"/>
    <w:rsid w:val="00203C2E"/>
    <w:rsid w:val="002112C6"/>
    <w:rsid w:val="00217D2A"/>
    <w:rsid w:val="00221D1C"/>
    <w:rsid w:val="00221F1C"/>
    <w:rsid w:val="002252A5"/>
    <w:rsid w:val="00226306"/>
    <w:rsid w:val="00237178"/>
    <w:rsid w:val="00237F2C"/>
    <w:rsid w:val="002441AE"/>
    <w:rsid w:val="00246032"/>
    <w:rsid w:val="00255768"/>
    <w:rsid w:val="002676A8"/>
    <w:rsid w:val="002704CD"/>
    <w:rsid w:val="00273759"/>
    <w:rsid w:val="00274CC7"/>
    <w:rsid w:val="00280EFF"/>
    <w:rsid w:val="00286DDE"/>
    <w:rsid w:val="00290BE2"/>
    <w:rsid w:val="0029295C"/>
    <w:rsid w:val="002931A0"/>
    <w:rsid w:val="00293C29"/>
    <w:rsid w:val="002952D7"/>
    <w:rsid w:val="00295BA8"/>
    <w:rsid w:val="00296C56"/>
    <w:rsid w:val="00297C78"/>
    <w:rsid w:val="002A248E"/>
    <w:rsid w:val="002A44BD"/>
    <w:rsid w:val="002B07C5"/>
    <w:rsid w:val="002B2F17"/>
    <w:rsid w:val="002B6464"/>
    <w:rsid w:val="002B6F02"/>
    <w:rsid w:val="002B7CBA"/>
    <w:rsid w:val="002C31B8"/>
    <w:rsid w:val="002C47DE"/>
    <w:rsid w:val="002D0761"/>
    <w:rsid w:val="002D2561"/>
    <w:rsid w:val="002D5E9C"/>
    <w:rsid w:val="002D70E8"/>
    <w:rsid w:val="002E1E7B"/>
    <w:rsid w:val="002F1F83"/>
    <w:rsid w:val="00301815"/>
    <w:rsid w:val="00302CDB"/>
    <w:rsid w:val="00324195"/>
    <w:rsid w:val="00331151"/>
    <w:rsid w:val="00331A48"/>
    <w:rsid w:val="0033299B"/>
    <w:rsid w:val="0034342A"/>
    <w:rsid w:val="003444A3"/>
    <w:rsid w:val="00344B90"/>
    <w:rsid w:val="00345F61"/>
    <w:rsid w:val="00346D17"/>
    <w:rsid w:val="003502BD"/>
    <w:rsid w:val="00350A00"/>
    <w:rsid w:val="00351ECE"/>
    <w:rsid w:val="0035284B"/>
    <w:rsid w:val="0035621E"/>
    <w:rsid w:val="00356DEC"/>
    <w:rsid w:val="00366F9A"/>
    <w:rsid w:val="00375C97"/>
    <w:rsid w:val="00380F04"/>
    <w:rsid w:val="00385952"/>
    <w:rsid w:val="00387E46"/>
    <w:rsid w:val="003A11E2"/>
    <w:rsid w:val="003B026B"/>
    <w:rsid w:val="003B1AC6"/>
    <w:rsid w:val="003C6754"/>
    <w:rsid w:val="003D1043"/>
    <w:rsid w:val="003D1685"/>
    <w:rsid w:val="003D3ED8"/>
    <w:rsid w:val="003E1C81"/>
    <w:rsid w:val="003E4303"/>
    <w:rsid w:val="003E79E7"/>
    <w:rsid w:val="003F2671"/>
    <w:rsid w:val="003F6D80"/>
    <w:rsid w:val="003F73D6"/>
    <w:rsid w:val="00401DE8"/>
    <w:rsid w:val="00402754"/>
    <w:rsid w:val="00406C29"/>
    <w:rsid w:val="004076B9"/>
    <w:rsid w:val="00414177"/>
    <w:rsid w:val="00415922"/>
    <w:rsid w:val="004171D8"/>
    <w:rsid w:val="00420558"/>
    <w:rsid w:val="0042269D"/>
    <w:rsid w:val="00424BD2"/>
    <w:rsid w:val="004319CF"/>
    <w:rsid w:val="004329A9"/>
    <w:rsid w:val="00433C54"/>
    <w:rsid w:val="0043493B"/>
    <w:rsid w:val="00434B55"/>
    <w:rsid w:val="00435EA3"/>
    <w:rsid w:val="004425A2"/>
    <w:rsid w:val="00445110"/>
    <w:rsid w:val="004460D9"/>
    <w:rsid w:val="00446DB4"/>
    <w:rsid w:val="004521F7"/>
    <w:rsid w:val="0045382A"/>
    <w:rsid w:val="00453E23"/>
    <w:rsid w:val="00454D7C"/>
    <w:rsid w:val="0045750E"/>
    <w:rsid w:val="00473457"/>
    <w:rsid w:val="004745F0"/>
    <w:rsid w:val="00475204"/>
    <w:rsid w:val="00475235"/>
    <w:rsid w:val="0047690D"/>
    <w:rsid w:val="0048005F"/>
    <w:rsid w:val="00483DA6"/>
    <w:rsid w:val="00484E03"/>
    <w:rsid w:val="00486C2A"/>
    <w:rsid w:val="00493E2F"/>
    <w:rsid w:val="00496867"/>
    <w:rsid w:val="00497703"/>
    <w:rsid w:val="004A0581"/>
    <w:rsid w:val="004A3800"/>
    <w:rsid w:val="004A3913"/>
    <w:rsid w:val="004A4AD1"/>
    <w:rsid w:val="004B1702"/>
    <w:rsid w:val="004B4817"/>
    <w:rsid w:val="004B7FEA"/>
    <w:rsid w:val="004D0E5F"/>
    <w:rsid w:val="004D2F0C"/>
    <w:rsid w:val="004E0BF4"/>
    <w:rsid w:val="004E46D7"/>
    <w:rsid w:val="004E75D4"/>
    <w:rsid w:val="004F1B3D"/>
    <w:rsid w:val="004F32F9"/>
    <w:rsid w:val="00503B14"/>
    <w:rsid w:val="00513CCB"/>
    <w:rsid w:val="005153E5"/>
    <w:rsid w:val="00515954"/>
    <w:rsid w:val="0051722C"/>
    <w:rsid w:val="0051725D"/>
    <w:rsid w:val="00520C6A"/>
    <w:rsid w:val="00524CB9"/>
    <w:rsid w:val="00524E8F"/>
    <w:rsid w:val="0052625D"/>
    <w:rsid w:val="005269C6"/>
    <w:rsid w:val="0052761C"/>
    <w:rsid w:val="005279A8"/>
    <w:rsid w:val="00534B4A"/>
    <w:rsid w:val="00535625"/>
    <w:rsid w:val="00536E76"/>
    <w:rsid w:val="00544DC4"/>
    <w:rsid w:val="00547D07"/>
    <w:rsid w:val="00553C49"/>
    <w:rsid w:val="00554809"/>
    <w:rsid w:val="00560C5B"/>
    <w:rsid w:val="00563D3F"/>
    <w:rsid w:val="00564F3D"/>
    <w:rsid w:val="0056578C"/>
    <w:rsid w:val="00574183"/>
    <w:rsid w:val="00575DF2"/>
    <w:rsid w:val="00581637"/>
    <w:rsid w:val="00581833"/>
    <w:rsid w:val="005A71BE"/>
    <w:rsid w:val="005B6D5D"/>
    <w:rsid w:val="005D4EEC"/>
    <w:rsid w:val="005D6D1D"/>
    <w:rsid w:val="005E0FDA"/>
    <w:rsid w:val="005E5380"/>
    <w:rsid w:val="006004F1"/>
    <w:rsid w:val="00605D70"/>
    <w:rsid w:val="00607BF3"/>
    <w:rsid w:val="00607FAE"/>
    <w:rsid w:val="00612880"/>
    <w:rsid w:val="006130E6"/>
    <w:rsid w:val="00616363"/>
    <w:rsid w:val="00616534"/>
    <w:rsid w:val="0061754E"/>
    <w:rsid w:val="00620628"/>
    <w:rsid w:val="00621F4F"/>
    <w:rsid w:val="006255F9"/>
    <w:rsid w:val="00632F84"/>
    <w:rsid w:val="006370D9"/>
    <w:rsid w:val="006371A8"/>
    <w:rsid w:val="006431FF"/>
    <w:rsid w:val="006541ED"/>
    <w:rsid w:val="00654C03"/>
    <w:rsid w:val="00654FBD"/>
    <w:rsid w:val="00663950"/>
    <w:rsid w:val="00663D09"/>
    <w:rsid w:val="0066647A"/>
    <w:rsid w:val="00670E85"/>
    <w:rsid w:val="00672862"/>
    <w:rsid w:val="00685B10"/>
    <w:rsid w:val="0069592A"/>
    <w:rsid w:val="006A06FE"/>
    <w:rsid w:val="006A2A4A"/>
    <w:rsid w:val="006B059A"/>
    <w:rsid w:val="006B08DD"/>
    <w:rsid w:val="006B2D6B"/>
    <w:rsid w:val="006B5DA8"/>
    <w:rsid w:val="006B7AB3"/>
    <w:rsid w:val="006C2FF5"/>
    <w:rsid w:val="006D11FA"/>
    <w:rsid w:val="006D2B3E"/>
    <w:rsid w:val="006D601D"/>
    <w:rsid w:val="006D6159"/>
    <w:rsid w:val="006E1C9B"/>
    <w:rsid w:val="006E396E"/>
    <w:rsid w:val="006E4395"/>
    <w:rsid w:val="006E4720"/>
    <w:rsid w:val="006E48AA"/>
    <w:rsid w:val="006F445D"/>
    <w:rsid w:val="006F786C"/>
    <w:rsid w:val="007001E1"/>
    <w:rsid w:val="00700CF0"/>
    <w:rsid w:val="00707806"/>
    <w:rsid w:val="00707D71"/>
    <w:rsid w:val="00707FBF"/>
    <w:rsid w:val="00713C0E"/>
    <w:rsid w:val="007217A3"/>
    <w:rsid w:val="00721A1B"/>
    <w:rsid w:val="00722A52"/>
    <w:rsid w:val="007245C5"/>
    <w:rsid w:val="0072467B"/>
    <w:rsid w:val="00731410"/>
    <w:rsid w:val="00734F20"/>
    <w:rsid w:val="007350A2"/>
    <w:rsid w:val="00735479"/>
    <w:rsid w:val="00741550"/>
    <w:rsid w:val="00741E5D"/>
    <w:rsid w:val="00742504"/>
    <w:rsid w:val="00744C35"/>
    <w:rsid w:val="00750F6F"/>
    <w:rsid w:val="007529E0"/>
    <w:rsid w:val="0075508C"/>
    <w:rsid w:val="00755F23"/>
    <w:rsid w:val="007638EF"/>
    <w:rsid w:val="00767101"/>
    <w:rsid w:val="0076757E"/>
    <w:rsid w:val="007723BD"/>
    <w:rsid w:val="00776231"/>
    <w:rsid w:val="00782749"/>
    <w:rsid w:val="00784D5D"/>
    <w:rsid w:val="00786278"/>
    <w:rsid w:val="00794519"/>
    <w:rsid w:val="007A534D"/>
    <w:rsid w:val="007A7CC6"/>
    <w:rsid w:val="007B13EC"/>
    <w:rsid w:val="007B1A32"/>
    <w:rsid w:val="007C2990"/>
    <w:rsid w:val="007C342C"/>
    <w:rsid w:val="007C46EE"/>
    <w:rsid w:val="007C684E"/>
    <w:rsid w:val="007C7091"/>
    <w:rsid w:val="007D1D1A"/>
    <w:rsid w:val="007D3033"/>
    <w:rsid w:val="007D3E29"/>
    <w:rsid w:val="007D42EB"/>
    <w:rsid w:val="007E197E"/>
    <w:rsid w:val="007E25E8"/>
    <w:rsid w:val="007E3540"/>
    <w:rsid w:val="007E6C7D"/>
    <w:rsid w:val="007F2855"/>
    <w:rsid w:val="007F6C52"/>
    <w:rsid w:val="0080001A"/>
    <w:rsid w:val="008043F0"/>
    <w:rsid w:val="00804A42"/>
    <w:rsid w:val="00804DFC"/>
    <w:rsid w:val="00804F66"/>
    <w:rsid w:val="008065CB"/>
    <w:rsid w:val="008110D9"/>
    <w:rsid w:val="00812442"/>
    <w:rsid w:val="008132A8"/>
    <w:rsid w:val="00816D4F"/>
    <w:rsid w:val="00821184"/>
    <w:rsid w:val="008249C1"/>
    <w:rsid w:val="008325B9"/>
    <w:rsid w:val="00840452"/>
    <w:rsid w:val="0084111B"/>
    <w:rsid w:val="00843DB7"/>
    <w:rsid w:val="00847163"/>
    <w:rsid w:val="0085355B"/>
    <w:rsid w:val="0085721B"/>
    <w:rsid w:val="008576B7"/>
    <w:rsid w:val="00857977"/>
    <w:rsid w:val="00865FF8"/>
    <w:rsid w:val="008660F3"/>
    <w:rsid w:val="00870C4D"/>
    <w:rsid w:val="00871CF1"/>
    <w:rsid w:val="008805F7"/>
    <w:rsid w:val="00881C17"/>
    <w:rsid w:val="00882E26"/>
    <w:rsid w:val="008830D4"/>
    <w:rsid w:val="008A2F88"/>
    <w:rsid w:val="008A6856"/>
    <w:rsid w:val="008B2A87"/>
    <w:rsid w:val="008B4722"/>
    <w:rsid w:val="008B4F66"/>
    <w:rsid w:val="008B784E"/>
    <w:rsid w:val="008C1209"/>
    <w:rsid w:val="008C35DB"/>
    <w:rsid w:val="008D6AFB"/>
    <w:rsid w:val="008E03DB"/>
    <w:rsid w:val="008E10E7"/>
    <w:rsid w:val="008F11C6"/>
    <w:rsid w:val="008F1AB5"/>
    <w:rsid w:val="008F6410"/>
    <w:rsid w:val="00901677"/>
    <w:rsid w:val="00902819"/>
    <w:rsid w:val="00902B12"/>
    <w:rsid w:val="00914D28"/>
    <w:rsid w:val="00915138"/>
    <w:rsid w:val="00917D28"/>
    <w:rsid w:val="00936A6E"/>
    <w:rsid w:val="00940131"/>
    <w:rsid w:val="009421C7"/>
    <w:rsid w:val="00944ED0"/>
    <w:rsid w:val="0095293C"/>
    <w:rsid w:val="00952DC2"/>
    <w:rsid w:val="00955B85"/>
    <w:rsid w:val="00955B9A"/>
    <w:rsid w:val="0095708C"/>
    <w:rsid w:val="009628C8"/>
    <w:rsid w:val="009635C1"/>
    <w:rsid w:val="009657C4"/>
    <w:rsid w:val="00967558"/>
    <w:rsid w:val="00975A4A"/>
    <w:rsid w:val="00982793"/>
    <w:rsid w:val="00982873"/>
    <w:rsid w:val="00983811"/>
    <w:rsid w:val="00986F66"/>
    <w:rsid w:val="009A1F21"/>
    <w:rsid w:val="009A5A48"/>
    <w:rsid w:val="009A617D"/>
    <w:rsid w:val="009A7E73"/>
    <w:rsid w:val="009A7FD2"/>
    <w:rsid w:val="009B4900"/>
    <w:rsid w:val="009B6067"/>
    <w:rsid w:val="009B7CEE"/>
    <w:rsid w:val="009C769A"/>
    <w:rsid w:val="009C7C4C"/>
    <w:rsid w:val="009D025B"/>
    <w:rsid w:val="009D510B"/>
    <w:rsid w:val="009D5C32"/>
    <w:rsid w:val="009D7165"/>
    <w:rsid w:val="009E2348"/>
    <w:rsid w:val="009E6F89"/>
    <w:rsid w:val="009F076B"/>
    <w:rsid w:val="009F43B3"/>
    <w:rsid w:val="009F4834"/>
    <w:rsid w:val="009F544A"/>
    <w:rsid w:val="009F56FA"/>
    <w:rsid w:val="00A10B28"/>
    <w:rsid w:val="00A2326A"/>
    <w:rsid w:val="00A23710"/>
    <w:rsid w:val="00A26B4C"/>
    <w:rsid w:val="00A31563"/>
    <w:rsid w:val="00A32413"/>
    <w:rsid w:val="00A3298D"/>
    <w:rsid w:val="00A37F21"/>
    <w:rsid w:val="00A5504F"/>
    <w:rsid w:val="00A55CEE"/>
    <w:rsid w:val="00A574C7"/>
    <w:rsid w:val="00A631CE"/>
    <w:rsid w:val="00A63FC9"/>
    <w:rsid w:val="00A716E2"/>
    <w:rsid w:val="00A73455"/>
    <w:rsid w:val="00A76604"/>
    <w:rsid w:val="00A77490"/>
    <w:rsid w:val="00A82958"/>
    <w:rsid w:val="00A90FAF"/>
    <w:rsid w:val="00A916C7"/>
    <w:rsid w:val="00A92605"/>
    <w:rsid w:val="00A9454F"/>
    <w:rsid w:val="00A95027"/>
    <w:rsid w:val="00A96CED"/>
    <w:rsid w:val="00A97A99"/>
    <w:rsid w:val="00A97F52"/>
    <w:rsid w:val="00AA1E01"/>
    <w:rsid w:val="00AB0CD1"/>
    <w:rsid w:val="00AB0D03"/>
    <w:rsid w:val="00AB2412"/>
    <w:rsid w:val="00AB273B"/>
    <w:rsid w:val="00AB7CE4"/>
    <w:rsid w:val="00AC10C8"/>
    <w:rsid w:val="00AC46F8"/>
    <w:rsid w:val="00AC62B6"/>
    <w:rsid w:val="00AD444C"/>
    <w:rsid w:val="00AD7B64"/>
    <w:rsid w:val="00AD7C21"/>
    <w:rsid w:val="00AE3FD0"/>
    <w:rsid w:val="00AE4702"/>
    <w:rsid w:val="00AF0900"/>
    <w:rsid w:val="00AF0D71"/>
    <w:rsid w:val="00AF4CEA"/>
    <w:rsid w:val="00B006ED"/>
    <w:rsid w:val="00B019E4"/>
    <w:rsid w:val="00B135E1"/>
    <w:rsid w:val="00B15B64"/>
    <w:rsid w:val="00B26D64"/>
    <w:rsid w:val="00B33B63"/>
    <w:rsid w:val="00B33E67"/>
    <w:rsid w:val="00B34B54"/>
    <w:rsid w:val="00B40E1B"/>
    <w:rsid w:val="00B46396"/>
    <w:rsid w:val="00B4689A"/>
    <w:rsid w:val="00B47DF1"/>
    <w:rsid w:val="00B47FDE"/>
    <w:rsid w:val="00B505D6"/>
    <w:rsid w:val="00B57F6E"/>
    <w:rsid w:val="00B61282"/>
    <w:rsid w:val="00B61620"/>
    <w:rsid w:val="00B636FD"/>
    <w:rsid w:val="00B65DF9"/>
    <w:rsid w:val="00B710AC"/>
    <w:rsid w:val="00B7176D"/>
    <w:rsid w:val="00B75D35"/>
    <w:rsid w:val="00B812C6"/>
    <w:rsid w:val="00B81829"/>
    <w:rsid w:val="00B8333B"/>
    <w:rsid w:val="00B85F44"/>
    <w:rsid w:val="00B877FE"/>
    <w:rsid w:val="00B90553"/>
    <w:rsid w:val="00B95113"/>
    <w:rsid w:val="00BA0876"/>
    <w:rsid w:val="00BA40FB"/>
    <w:rsid w:val="00BA54BB"/>
    <w:rsid w:val="00BA597D"/>
    <w:rsid w:val="00BA777E"/>
    <w:rsid w:val="00BA7849"/>
    <w:rsid w:val="00BB05E2"/>
    <w:rsid w:val="00BB563F"/>
    <w:rsid w:val="00BC2BC4"/>
    <w:rsid w:val="00BC4F77"/>
    <w:rsid w:val="00BC6DEB"/>
    <w:rsid w:val="00BD02B7"/>
    <w:rsid w:val="00BD3FE5"/>
    <w:rsid w:val="00BE173D"/>
    <w:rsid w:val="00BE5A28"/>
    <w:rsid w:val="00BF1070"/>
    <w:rsid w:val="00BF28E2"/>
    <w:rsid w:val="00BF35AB"/>
    <w:rsid w:val="00BF45E2"/>
    <w:rsid w:val="00C03298"/>
    <w:rsid w:val="00C041CD"/>
    <w:rsid w:val="00C05CC3"/>
    <w:rsid w:val="00C1397F"/>
    <w:rsid w:val="00C20B93"/>
    <w:rsid w:val="00C217F9"/>
    <w:rsid w:val="00C21A1F"/>
    <w:rsid w:val="00C221A3"/>
    <w:rsid w:val="00C228E5"/>
    <w:rsid w:val="00C25890"/>
    <w:rsid w:val="00C31739"/>
    <w:rsid w:val="00C34FAC"/>
    <w:rsid w:val="00C3615C"/>
    <w:rsid w:val="00C37B03"/>
    <w:rsid w:val="00C4481B"/>
    <w:rsid w:val="00C453A4"/>
    <w:rsid w:val="00C509E3"/>
    <w:rsid w:val="00C524CF"/>
    <w:rsid w:val="00C5287D"/>
    <w:rsid w:val="00C547E6"/>
    <w:rsid w:val="00C65C8D"/>
    <w:rsid w:val="00C71982"/>
    <w:rsid w:val="00C756C8"/>
    <w:rsid w:val="00C75E29"/>
    <w:rsid w:val="00C77A83"/>
    <w:rsid w:val="00C80594"/>
    <w:rsid w:val="00C83B34"/>
    <w:rsid w:val="00C933F6"/>
    <w:rsid w:val="00C96CCB"/>
    <w:rsid w:val="00C97999"/>
    <w:rsid w:val="00CA1950"/>
    <w:rsid w:val="00CA48E5"/>
    <w:rsid w:val="00CA4E52"/>
    <w:rsid w:val="00CA6128"/>
    <w:rsid w:val="00CA77AA"/>
    <w:rsid w:val="00CB0932"/>
    <w:rsid w:val="00CB1804"/>
    <w:rsid w:val="00CB4743"/>
    <w:rsid w:val="00CB64DE"/>
    <w:rsid w:val="00CB7A5A"/>
    <w:rsid w:val="00CC144A"/>
    <w:rsid w:val="00CC30B3"/>
    <w:rsid w:val="00CC7756"/>
    <w:rsid w:val="00CD16AD"/>
    <w:rsid w:val="00CD4456"/>
    <w:rsid w:val="00CE035B"/>
    <w:rsid w:val="00CE7F94"/>
    <w:rsid w:val="00CF2242"/>
    <w:rsid w:val="00CF5237"/>
    <w:rsid w:val="00CF571C"/>
    <w:rsid w:val="00CF5C3C"/>
    <w:rsid w:val="00CF7B12"/>
    <w:rsid w:val="00D05EF7"/>
    <w:rsid w:val="00D06563"/>
    <w:rsid w:val="00D15D22"/>
    <w:rsid w:val="00D2469D"/>
    <w:rsid w:val="00D25BB1"/>
    <w:rsid w:val="00D25F8D"/>
    <w:rsid w:val="00D261BC"/>
    <w:rsid w:val="00D27263"/>
    <w:rsid w:val="00D31D73"/>
    <w:rsid w:val="00D31EB2"/>
    <w:rsid w:val="00D43514"/>
    <w:rsid w:val="00D4411E"/>
    <w:rsid w:val="00D506C7"/>
    <w:rsid w:val="00D507CC"/>
    <w:rsid w:val="00D5373E"/>
    <w:rsid w:val="00D5543D"/>
    <w:rsid w:val="00D602DB"/>
    <w:rsid w:val="00D64121"/>
    <w:rsid w:val="00D66C0F"/>
    <w:rsid w:val="00D705C0"/>
    <w:rsid w:val="00D805B3"/>
    <w:rsid w:val="00D9254E"/>
    <w:rsid w:val="00D9569D"/>
    <w:rsid w:val="00D97239"/>
    <w:rsid w:val="00D97BF0"/>
    <w:rsid w:val="00DA3210"/>
    <w:rsid w:val="00DB2091"/>
    <w:rsid w:val="00DB39DD"/>
    <w:rsid w:val="00DC132B"/>
    <w:rsid w:val="00DC3C12"/>
    <w:rsid w:val="00DC4F3D"/>
    <w:rsid w:val="00DC50EE"/>
    <w:rsid w:val="00DD119A"/>
    <w:rsid w:val="00DD429E"/>
    <w:rsid w:val="00DE4B4F"/>
    <w:rsid w:val="00DE7829"/>
    <w:rsid w:val="00DF3D96"/>
    <w:rsid w:val="00E01BFA"/>
    <w:rsid w:val="00E05B43"/>
    <w:rsid w:val="00E10EE7"/>
    <w:rsid w:val="00E2019E"/>
    <w:rsid w:val="00E22234"/>
    <w:rsid w:val="00E2558E"/>
    <w:rsid w:val="00E30538"/>
    <w:rsid w:val="00E32B96"/>
    <w:rsid w:val="00E40A9B"/>
    <w:rsid w:val="00E46631"/>
    <w:rsid w:val="00E50F90"/>
    <w:rsid w:val="00E56134"/>
    <w:rsid w:val="00E63356"/>
    <w:rsid w:val="00E643ED"/>
    <w:rsid w:val="00E6656F"/>
    <w:rsid w:val="00E72178"/>
    <w:rsid w:val="00E72953"/>
    <w:rsid w:val="00E8525E"/>
    <w:rsid w:val="00E85BCF"/>
    <w:rsid w:val="00E91816"/>
    <w:rsid w:val="00E91DF1"/>
    <w:rsid w:val="00E9532D"/>
    <w:rsid w:val="00EA0295"/>
    <w:rsid w:val="00EA3921"/>
    <w:rsid w:val="00EA6300"/>
    <w:rsid w:val="00EB1F01"/>
    <w:rsid w:val="00EB52F6"/>
    <w:rsid w:val="00EB546C"/>
    <w:rsid w:val="00EC115C"/>
    <w:rsid w:val="00EC6B93"/>
    <w:rsid w:val="00EC73DA"/>
    <w:rsid w:val="00EC758D"/>
    <w:rsid w:val="00ED043F"/>
    <w:rsid w:val="00ED6154"/>
    <w:rsid w:val="00EE049A"/>
    <w:rsid w:val="00EE122F"/>
    <w:rsid w:val="00EE15D4"/>
    <w:rsid w:val="00EE62F8"/>
    <w:rsid w:val="00EF26CD"/>
    <w:rsid w:val="00EF28F6"/>
    <w:rsid w:val="00EF62CA"/>
    <w:rsid w:val="00EF7412"/>
    <w:rsid w:val="00F00B91"/>
    <w:rsid w:val="00F01A87"/>
    <w:rsid w:val="00F0508A"/>
    <w:rsid w:val="00F06629"/>
    <w:rsid w:val="00F070A9"/>
    <w:rsid w:val="00F07592"/>
    <w:rsid w:val="00F1252D"/>
    <w:rsid w:val="00F1608F"/>
    <w:rsid w:val="00F215A4"/>
    <w:rsid w:val="00F223CC"/>
    <w:rsid w:val="00F24452"/>
    <w:rsid w:val="00F261E2"/>
    <w:rsid w:val="00F27165"/>
    <w:rsid w:val="00F36F51"/>
    <w:rsid w:val="00F40321"/>
    <w:rsid w:val="00F430B3"/>
    <w:rsid w:val="00F503B0"/>
    <w:rsid w:val="00F52327"/>
    <w:rsid w:val="00F53F6B"/>
    <w:rsid w:val="00F5645C"/>
    <w:rsid w:val="00F57EC3"/>
    <w:rsid w:val="00F62582"/>
    <w:rsid w:val="00F63F96"/>
    <w:rsid w:val="00F6595C"/>
    <w:rsid w:val="00F6774B"/>
    <w:rsid w:val="00F70871"/>
    <w:rsid w:val="00F71C92"/>
    <w:rsid w:val="00F72043"/>
    <w:rsid w:val="00F7709F"/>
    <w:rsid w:val="00F91112"/>
    <w:rsid w:val="00F969EC"/>
    <w:rsid w:val="00F96ADF"/>
    <w:rsid w:val="00F96E0C"/>
    <w:rsid w:val="00FA224E"/>
    <w:rsid w:val="00FA2D15"/>
    <w:rsid w:val="00FA4A3A"/>
    <w:rsid w:val="00FA60E7"/>
    <w:rsid w:val="00FA68E4"/>
    <w:rsid w:val="00FA696C"/>
    <w:rsid w:val="00FA72E3"/>
    <w:rsid w:val="00FA7FA9"/>
    <w:rsid w:val="00FB2461"/>
    <w:rsid w:val="00FB253F"/>
    <w:rsid w:val="00FB44C0"/>
    <w:rsid w:val="00FB47D4"/>
    <w:rsid w:val="00FB53AA"/>
    <w:rsid w:val="00FC47C4"/>
    <w:rsid w:val="00FD7889"/>
    <w:rsid w:val="00FD7C7F"/>
    <w:rsid w:val="00FE1EC1"/>
    <w:rsid w:val="00FF4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1B9E3"/>
  <w15:docId w15:val="{CFCB004C-9307-4EAE-A1E8-207E1BCC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7348"/>
    <w:rPr>
      <w:rFonts w:ascii="宋体" w:eastAsia="宋体" w:hAnsi="宋体" w:cs="宋体"/>
      <w:kern w:val="0"/>
      <w:sz w:val="24"/>
    </w:rPr>
  </w:style>
  <w:style w:type="paragraph" w:styleId="1">
    <w:name w:val="heading 1"/>
    <w:basedOn w:val="a"/>
    <w:next w:val="a"/>
    <w:link w:val="10"/>
    <w:qFormat/>
    <w:rsid w:val="005A71BE"/>
    <w:pPr>
      <w:keepNext/>
      <w:keepLines/>
      <w:widowControl w:val="0"/>
      <w:spacing w:line="480" w:lineRule="auto"/>
      <w:jc w:val="center"/>
      <w:outlineLvl w:val="0"/>
    </w:pPr>
    <w:rPr>
      <w:rFonts w:asciiTheme="minorHAnsi" w:eastAsia="黑体" w:hAnsiTheme="minorHAnsi" w:cstheme="minorBidi"/>
      <w:kern w:val="4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44BD"/>
    <w:pPr>
      <w:ind w:firstLineChars="200" w:firstLine="420"/>
    </w:pPr>
  </w:style>
  <w:style w:type="character" w:customStyle="1" w:styleId="10">
    <w:name w:val="标题 1 字符"/>
    <w:basedOn w:val="a0"/>
    <w:link w:val="1"/>
    <w:rsid w:val="005A71BE"/>
    <w:rPr>
      <w:rFonts w:eastAsia="黑体"/>
      <w:kern w:val="44"/>
      <w:sz w:val="28"/>
    </w:rPr>
  </w:style>
  <w:style w:type="paragraph" w:styleId="a4">
    <w:name w:val="Revision"/>
    <w:hidden/>
    <w:uiPriority w:val="99"/>
    <w:semiHidden/>
    <w:rsid w:val="00FB44C0"/>
    <w:rPr>
      <w:rFonts w:ascii="宋体" w:eastAsia="宋体" w:hAnsi="宋体" w:cs="宋体"/>
      <w:kern w:val="0"/>
      <w:sz w:val="24"/>
    </w:rPr>
  </w:style>
  <w:style w:type="character" w:styleId="a5">
    <w:name w:val="annotation reference"/>
    <w:basedOn w:val="a0"/>
    <w:uiPriority w:val="99"/>
    <w:semiHidden/>
    <w:unhideWhenUsed/>
    <w:rsid w:val="00FB44C0"/>
    <w:rPr>
      <w:sz w:val="21"/>
      <w:szCs w:val="21"/>
    </w:rPr>
  </w:style>
  <w:style w:type="paragraph" w:styleId="a6">
    <w:name w:val="annotation text"/>
    <w:basedOn w:val="a"/>
    <w:link w:val="a7"/>
    <w:uiPriority w:val="99"/>
    <w:semiHidden/>
    <w:unhideWhenUsed/>
    <w:rsid w:val="00FB44C0"/>
  </w:style>
  <w:style w:type="character" w:customStyle="1" w:styleId="a7">
    <w:name w:val="批注文字 字符"/>
    <w:basedOn w:val="a0"/>
    <w:link w:val="a6"/>
    <w:uiPriority w:val="99"/>
    <w:semiHidden/>
    <w:rsid w:val="00FB44C0"/>
    <w:rPr>
      <w:rFonts w:ascii="宋体" w:eastAsia="宋体" w:hAnsi="宋体" w:cs="宋体"/>
      <w:kern w:val="0"/>
      <w:sz w:val="24"/>
    </w:rPr>
  </w:style>
  <w:style w:type="paragraph" w:styleId="a8">
    <w:name w:val="annotation subject"/>
    <w:basedOn w:val="a6"/>
    <w:next w:val="a6"/>
    <w:link w:val="a9"/>
    <w:uiPriority w:val="99"/>
    <w:semiHidden/>
    <w:unhideWhenUsed/>
    <w:rsid w:val="00FB44C0"/>
    <w:rPr>
      <w:b/>
      <w:bCs/>
    </w:rPr>
  </w:style>
  <w:style w:type="character" w:customStyle="1" w:styleId="a9">
    <w:name w:val="批注主题 字符"/>
    <w:basedOn w:val="a7"/>
    <w:link w:val="a8"/>
    <w:uiPriority w:val="99"/>
    <w:semiHidden/>
    <w:rsid w:val="00FB44C0"/>
    <w:rPr>
      <w:rFonts w:ascii="宋体" w:eastAsia="宋体" w:hAnsi="宋体" w:cs="宋体"/>
      <w:b/>
      <w:bCs/>
      <w:kern w:val="0"/>
      <w:sz w:val="24"/>
    </w:rPr>
  </w:style>
  <w:style w:type="paragraph" w:styleId="aa">
    <w:name w:val="footnote text"/>
    <w:basedOn w:val="a"/>
    <w:link w:val="ab"/>
    <w:uiPriority w:val="99"/>
    <w:unhideWhenUsed/>
    <w:qFormat/>
    <w:rsid w:val="00553C49"/>
    <w:pPr>
      <w:snapToGrid w:val="0"/>
    </w:pPr>
    <w:rPr>
      <w:sz w:val="18"/>
      <w:szCs w:val="18"/>
    </w:rPr>
  </w:style>
  <w:style w:type="character" w:customStyle="1" w:styleId="ab">
    <w:name w:val="脚注文本 字符"/>
    <w:basedOn w:val="a0"/>
    <w:link w:val="aa"/>
    <w:uiPriority w:val="99"/>
    <w:qFormat/>
    <w:rsid w:val="00553C49"/>
    <w:rPr>
      <w:rFonts w:ascii="宋体" w:eastAsia="宋体" w:hAnsi="宋体" w:cs="宋体"/>
      <w:kern w:val="0"/>
      <w:sz w:val="18"/>
      <w:szCs w:val="18"/>
    </w:rPr>
  </w:style>
  <w:style w:type="character" w:styleId="ac">
    <w:name w:val="footnote reference"/>
    <w:basedOn w:val="a0"/>
    <w:uiPriority w:val="99"/>
    <w:unhideWhenUsed/>
    <w:qFormat/>
    <w:rsid w:val="00553C49"/>
    <w:rPr>
      <w:vertAlign w:val="superscript"/>
    </w:rPr>
  </w:style>
  <w:style w:type="paragraph" w:styleId="ad">
    <w:name w:val="Balloon Text"/>
    <w:basedOn w:val="a"/>
    <w:link w:val="ae"/>
    <w:uiPriority w:val="99"/>
    <w:semiHidden/>
    <w:unhideWhenUsed/>
    <w:rsid w:val="00116863"/>
    <w:rPr>
      <w:sz w:val="18"/>
      <w:szCs w:val="18"/>
    </w:rPr>
  </w:style>
  <w:style w:type="character" w:customStyle="1" w:styleId="ae">
    <w:name w:val="批注框文本 字符"/>
    <w:basedOn w:val="a0"/>
    <w:link w:val="ad"/>
    <w:uiPriority w:val="99"/>
    <w:semiHidden/>
    <w:rsid w:val="00116863"/>
    <w:rPr>
      <w:rFonts w:ascii="宋体" w:eastAsia="宋体" w:hAnsi="宋体" w:cs="宋体"/>
      <w:kern w:val="0"/>
      <w:sz w:val="18"/>
      <w:szCs w:val="18"/>
    </w:rPr>
  </w:style>
  <w:style w:type="paragraph" w:styleId="af">
    <w:name w:val="endnote text"/>
    <w:basedOn w:val="a"/>
    <w:link w:val="af0"/>
    <w:uiPriority w:val="99"/>
    <w:semiHidden/>
    <w:unhideWhenUsed/>
    <w:rsid w:val="00025AEE"/>
    <w:pPr>
      <w:snapToGrid w:val="0"/>
    </w:pPr>
  </w:style>
  <w:style w:type="character" w:customStyle="1" w:styleId="af0">
    <w:name w:val="尾注文本 字符"/>
    <w:basedOn w:val="a0"/>
    <w:link w:val="af"/>
    <w:uiPriority w:val="99"/>
    <w:semiHidden/>
    <w:rsid w:val="00025AEE"/>
    <w:rPr>
      <w:rFonts w:ascii="宋体" w:eastAsia="宋体" w:hAnsi="宋体" w:cs="宋体"/>
      <w:kern w:val="0"/>
      <w:sz w:val="24"/>
    </w:rPr>
  </w:style>
  <w:style w:type="character" w:styleId="af1">
    <w:name w:val="endnote reference"/>
    <w:basedOn w:val="a0"/>
    <w:uiPriority w:val="99"/>
    <w:semiHidden/>
    <w:unhideWhenUsed/>
    <w:rsid w:val="00025AEE"/>
    <w:rPr>
      <w:vertAlign w:val="superscript"/>
    </w:rPr>
  </w:style>
  <w:style w:type="paragraph" w:styleId="af2">
    <w:name w:val="footer"/>
    <w:basedOn w:val="a"/>
    <w:link w:val="af3"/>
    <w:uiPriority w:val="99"/>
    <w:unhideWhenUsed/>
    <w:rsid w:val="00E46631"/>
    <w:pPr>
      <w:tabs>
        <w:tab w:val="center" w:pos="4153"/>
        <w:tab w:val="right" w:pos="8306"/>
      </w:tabs>
      <w:snapToGrid w:val="0"/>
    </w:pPr>
    <w:rPr>
      <w:sz w:val="18"/>
      <w:szCs w:val="18"/>
    </w:rPr>
  </w:style>
  <w:style w:type="character" w:customStyle="1" w:styleId="af3">
    <w:name w:val="页脚 字符"/>
    <w:basedOn w:val="a0"/>
    <w:link w:val="af2"/>
    <w:uiPriority w:val="99"/>
    <w:rsid w:val="00E46631"/>
    <w:rPr>
      <w:rFonts w:ascii="宋体" w:eastAsia="宋体" w:hAnsi="宋体" w:cs="宋体"/>
      <w:kern w:val="0"/>
      <w:sz w:val="18"/>
      <w:szCs w:val="18"/>
    </w:rPr>
  </w:style>
  <w:style w:type="character" w:styleId="af4">
    <w:name w:val="page number"/>
    <w:basedOn w:val="a0"/>
    <w:uiPriority w:val="99"/>
    <w:semiHidden/>
    <w:unhideWhenUsed/>
    <w:rsid w:val="00E46631"/>
  </w:style>
  <w:style w:type="paragraph" w:styleId="af5">
    <w:name w:val="header"/>
    <w:basedOn w:val="a"/>
    <w:link w:val="af6"/>
    <w:uiPriority w:val="99"/>
    <w:unhideWhenUsed/>
    <w:rsid w:val="00E46631"/>
    <w:pPr>
      <w:pBdr>
        <w:bottom w:val="single" w:sz="6" w:space="1" w:color="auto"/>
      </w:pBdr>
      <w:tabs>
        <w:tab w:val="center" w:pos="4153"/>
        <w:tab w:val="right" w:pos="8306"/>
      </w:tabs>
      <w:snapToGrid w:val="0"/>
      <w:jc w:val="center"/>
    </w:pPr>
    <w:rPr>
      <w:sz w:val="18"/>
      <w:szCs w:val="18"/>
    </w:rPr>
  </w:style>
  <w:style w:type="character" w:customStyle="1" w:styleId="af6">
    <w:name w:val="页眉 字符"/>
    <w:basedOn w:val="a0"/>
    <w:link w:val="af5"/>
    <w:uiPriority w:val="99"/>
    <w:rsid w:val="00E46631"/>
    <w:rPr>
      <w:rFonts w:ascii="宋体" w:eastAsia="宋体" w:hAnsi="宋体" w:cs="宋体"/>
      <w:kern w:val="0"/>
      <w:sz w:val="18"/>
      <w:szCs w:val="18"/>
    </w:rPr>
  </w:style>
  <w:style w:type="character" w:styleId="af7">
    <w:name w:val="Hyperlink"/>
    <w:basedOn w:val="a0"/>
    <w:uiPriority w:val="99"/>
    <w:unhideWhenUsed/>
    <w:rsid w:val="00453E23"/>
    <w:rPr>
      <w:color w:val="0563C1" w:themeColor="hyperlink"/>
      <w:u w:val="single"/>
    </w:rPr>
  </w:style>
  <w:style w:type="character" w:customStyle="1" w:styleId="11">
    <w:name w:val="未处理的提及1"/>
    <w:basedOn w:val="a0"/>
    <w:uiPriority w:val="99"/>
    <w:semiHidden/>
    <w:unhideWhenUsed/>
    <w:rsid w:val="00453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7438">
      <w:bodyDiv w:val="1"/>
      <w:marLeft w:val="0"/>
      <w:marRight w:val="0"/>
      <w:marTop w:val="0"/>
      <w:marBottom w:val="0"/>
      <w:divBdr>
        <w:top w:val="none" w:sz="0" w:space="0" w:color="auto"/>
        <w:left w:val="none" w:sz="0" w:space="0" w:color="auto"/>
        <w:bottom w:val="none" w:sz="0" w:space="0" w:color="auto"/>
        <w:right w:val="none" w:sz="0" w:space="0" w:color="auto"/>
      </w:divBdr>
    </w:div>
    <w:div w:id="109249582">
      <w:bodyDiv w:val="1"/>
      <w:marLeft w:val="0"/>
      <w:marRight w:val="0"/>
      <w:marTop w:val="0"/>
      <w:marBottom w:val="0"/>
      <w:divBdr>
        <w:top w:val="none" w:sz="0" w:space="0" w:color="auto"/>
        <w:left w:val="none" w:sz="0" w:space="0" w:color="auto"/>
        <w:bottom w:val="none" w:sz="0" w:space="0" w:color="auto"/>
        <w:right w:val="none" w:sz="0" w:space="0" w:color="auto"/>
      </w:divBdr>
    </w:div>
    <w:div w:id="305011246">
      <w:bodyDiv w:val="1"/>
      <w:marLeft w:val="0"/>
      <w:marRight w:val="0"/>
      <w:marTop w:val="0"/>
      <w:marBottom w:val="0"/>
      <w:divBdr>
        <w:top w:val="none" w:sz="0" w:space="0" w:color="auto"/>
        <w:left w:val="none" w:sz="0" w:space="0" w:color="auto"/>
        <w:bottom w:val="none" w:sz="0" w:space="0" w:color="auto"/>
        <w:right w:val="none" w:sz="0" w:space="0" w:color="auto"/>
      </w:divBdr>
    </w:div>
    <w:div w:id="321200712">
      <w:bodyDiv w:val="1"/>
      <w:marLeft w:val="0"/>
      <w:marRight w:val="0"/>
      <w:marTop w:val="0"/>
      <w:marBottom w:val="0"/>
      <w:divBdr>
        <w:top w:val="none" w:sz="0" w:space="0" w:color="auto"/>
        <w:left w:val="none" w:sz="0" w:space="0" w:color="auto"/>
        <w:bottom w:val="none" w:sz="0" w:space="0" w:color="auto"/>
        <w:right w:val="none" w:sz="0" w:space="0" w:color="auto"/>
      </w:divBdr>
    </w:div>
    <w:div w:id="407459028">
      <w:bodyDiv w:val="1"/>
      <w:marLeft w:val="0"/>
      <w:marRight w:val="0"/>
      <w:marTop w:val="0"/>
      <w:marBottom w:val="0"/>
      <w:divBdr>
        <w:top w:val="none" w:sz="0" w:space="0" w:color="auto"/>
        <w:left w:val="none" w:sz="0" w:space="0" w:color="auto"/>
        <w:bottom w:val="none" w:sz="0" w:space="0" w:color="auto"/>
        <w:right w:val="none" w:sz="0" w:space="0" w:color="auto"/>
      </w:divBdr>
    </w:div>
    <w:div w:id="623656123">
      <w:bodyDiv w:val="1"/>
      <w:marLeft w:val="0"/>
      <w:marRight w:val="0"/>
      <w:marTop w:val="0"/>
      <w:marBottom w:val="0"/>
      <w:divBdr>
        <w:top w:val="none" w:sz="0" w:space="0" w:color="auto"/>
        <w:left w:val="none" w:sz="0" w:space="0" w:color="auto"/>
        <w:bottom w:val="none" w:sz="0" w:space="0" w:color="auto"/>
        <w:right w:val="none" w:sz="0" w:space="0" w:color="auto"/>
      </w:divBdr>
    </w:div>
    <w:div w:id="681778661">
      <w:bodyDiv w:val="1"/>
      <w:marLeft w:val="0"/>
      <w:marRight w:val="0"/>
      <w:marTop w:val="0"/>
      <w:marBottom w:val="0"/>
      <w:divBdr>
        <w:top w:val="none" w:sz="0" w:space="0" w:color="auto"/>
        <w:left w:val="none" w:sz="0" w:space="0" w:color="auto"/>
        <w:bottom w:val="none" w:sz="0" w:space="0" w:color="auto"/>
        <w:right w:val="none" w:sz="0" w:space="0" w:color="auto"/>
      </w:divBdr>
    </w:div>
    <w:div w:id="759761799">
      <w:bodyDiv w:val="1"/>
      <w:marLeft w:val="0"/>
      <w:marRight w:val="0"/>
      <w:marTop w:val="0"/>
      <w:marBottom w:val="0"/>
      <w:divBdr>
        <w:top w:val="none" w:sz="0" w:space="0" w:color="auto"/>
        <w:left w:val="none" w:sz="0" w:space="0" w:color="auto"/>
        <w:bottom w:val="none" w:sz="0" w:space="0" w:color="auto"/>
        <w:right w:val="none" w:sz="0" w:space="0" w:color="auto"/>
      </w:divBdr>
    </w:div>
    <w:div w:id="1082603051">
      <w:bodyDiv w:val="1"/>
      <w:marLeft w:val="0"/>
      <w:marRight w:val="0"/>
      <w:marTop w:val="0"/>
      <w:marBottom w:val="0"/>
      <w:divBdr>
        <w:top w:val="none" w:sz="0" w:space="0" w:color="auto"/>
        <w:left w:val="none" w:sz="0" w:space="0" w:color="auto"/>
        <w:bottom w:val="none" w:sz="0" w:space="0" w:color="auto"/>
        <w:right w:val="none" w:sz="0" w:space="0" w:color="auto"/>
      </w:divBdr>
    </w:div>
    <w:div w:id="1205291813">
      <w:bodyDiv w:val="1"/>
      <w:marLeft w:val="0"/>
      <w:marRight w:val="0"/>
      <w:marTop w:val="0"/>
      <w:marBottom w:val="0"/>
      <w:divBdr>
        <w:top w:val="none" w:sz="0" w:space="0" w:color="auto"/>
        <w:left w:val="none" w:sz="0" w:space="0" w:color="auto"/>
        <w:bottom w:val="none" w:sz="0" w:space="0" w:color="auto"/>
        <w:right w:val="none" w:sz="0" w:space="0" w:color="auto"/>
      </w:divBdr>
    </w:div>
    <w:div w:id="1581525969">
      <w:bodyDiv w:val="1"/>
      <w:marLeft w:val="0"/>
      <w:marRight w:val="0"/>
      <w:marTop w:val="0"/>
      <w:marBottom w:val="0"/>
      <w:divBdr>
        <w:top w:val="none" w:sz="0" w:space="0" w:color="auto"/>
        <w:left w:val="none" w:sz="0" w:space="0" w:color="auto"/>
        <w:bottom w:val="none" w:sz="0" w:space="0" w:color="auto"/>
        <w:right w:val="none" w:sz="0" w:space="0" w:color="auto"/>
      </w:divBdr>
    </w:div>
    <w:div w:id="1618874354">
      <w:bodyDiv w:val="1"/>
      <w:marLeft w:val="0"/>
      <w:marRight w:val="0"/>
      <w:marTop w:val="0"/>
      <w:marBottom w:val="0"/>
      <w:divBdr>
        <w:top w:val="none" w:sz="0" w:space="0" w:color="auto"/>
        <w:left w:val="none" w:sz="0" w:space="0" w:color="auto"/>
        <w:bottom w:val="none" w:sz="0" w:space="0" w:color="auto"/>
        <w:right w:val="none" w:sz="0" w:space="0" w:color="auto"/>
      </w:divBdr>
    </w:div>
    <w:div w:id="1743021580">
      <w:bodyDiv w:val="1"/>
      <w:marLeft w:val="0"/>
      <w:marRight w:val="0"/>
      <w:marTop w:val="0"/>
      <w:marBottom w:val="0"/>
      <w:divBdr>
        <w:top w:val="none" w:sz="0" w:space="0" w:color="auto"/>
        <w:left w:val="none" w:sz="0" w:space="0" w:color="auto"/>
        <w:bottom w:val="none" w:sz="0" w:space="0" w:color="auto"/>
        <w:right w:val="none" w:sz="0" w:space="0" w:color="auto"/>
      </w:divBdr>
    </w:div>
    <w:div w:id="1992518779">
      <w:bodyDiv w:val="1"/>
      <w:marLeft w:val="0"/>
      <w:marRight w:val="0"/>
      <w:marTop w:val="0"/>
      <w:marBottom w:val="0"/>
      <w:divBdr>
        <w:top w:val="none" w:sz="0" w:space="0" w:color="auto"/>
        <w:left w:val="none" w:sz="0" w:space="0" w:color="auto"/>
        <w:bottom w:val="none" w:sz="0" w:space="0" w:color="auto"/>
        <w:right w:val="none" w:sz="0" w:space="0" w:color="auto"/>
      </w:divBdr>
    </w:div>
    <w:div w:id="209303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332E8-70E4-4185-A8F0-43A74C84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4201</Words>
  <Characters>23952</Characters>
  <Application>Microsoft Office Word</Application>
  <DocSecurity>0</DocSecurity>
  <Lines>199</Lines>
  <Paragraphs>56</Paragraphs>
  <ScaleCrop>false</ScaleCrop>
  <Company/>
  <LinksUpToDate>false</LinksUpToDate>
  <CharactersWithSpaces>28097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He Wei</cp:lastModifiedBy>
  <cp:revision>23</cp:revision>
  <dcterms:created xsi:type="dcterms:W3CDTF">2022-09-16T13:31:00Z</dcterms:created>
  <dcterms:modified xsi:type="dcterms:W3CDTF">2022-09-28T01:36:00Z</dcterms:modified>
</cp:coreProperties>
</file>