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2386" w14:textId="77777777" w:rsidR="00D45CD8" w:rsidRPr="007F7EE4" w:rsidRDefault="00AC3F08">
      <w:pPr>
        <w:pStyle w:val="ChineseTitle"/>
        <w:spacing w:beforeLines="0" w:before="0" w:afterLines="0" w:after="0"/>
        <w:rPr>
          <w:rFonts w:hAnsi="黑体"/>
          <w:bCs w:val="0"/>
          <w:sz w:val="44"/>
          <w:szCs w:val="44"/>
        </w:rPr>
      </w:pPr>
      <w:r w:rsidRPr="007F7EE4">
        <w:rPr>
          <w:rFonts w:hAnsi="黑体" w:hint="eastAsia"/>
          <w:bCs w:val="0"/>
          <w:sz w:val="44"/>
          <w:szCs w:val="44"/>
        </w:rPr>
        <w:t>企业社会责任具有绿色创新效应吗？</w:t>
      </w:r>
      <w:r w:rsidRPr="007F7EE4">
        <w:rPr>
          <w:rStyle w:val="af4"/>
          <w:rFonts w:hAnsi="黑体"/>
          <w:bCs w:val="0"/>
          <w:sz w:val="44"/>
          <w:szCs w:val="44"/>
        </w:rPr>
        <w:footnoteReference w:customMarkFollows="1" w:id="1"/>
        <w:sym w:font="Symbol" w:char="F020"/>
      </w:r>
    </w:p>
    <w:p w14:paraId="0A71E54A" w14:textId="0700528C" w:rsidR="007F7EE4" w:rsidRPr="00817360" w:rsidRDefault="007F7EE4" w:rsidP="007F7EE4">
      <w:pPr>
        <w:ind w:firstLine="562"/>
        <w:jc w:val="center"/>
        <w:rPr>
          <w:rFonts w:ascii="黑体" w:eastAsia="黑体" w:hAnsi="ˎ̥,verdana" w:cs="Arial"/>
          <w:b/>
          <w:sz w:val="28"/>
          <w:szCs w:val="28"/>
        </w:rPr>
      </w:pPr>
      <w:r w:rsidRPr="00817360">
        <w:rPr>
          <w:rFonts w:ascii="黑体" w:eastAsia="黑体" w:hAnsi="ˎ̥,verdana" w:cs="Arial" w:hint="eastAsia"/>
          <w:b/>
          <w:sz w:val="28"/>
          <w:szCs w:val="28"/>
        </w:rPr>
        <w:t>肖红军 阳镇 凌鸿程</w:t>
      </w:r>
    </w:p>
    <w:p w14:paraId="62B9A811" w14:textId="4ADFE570" w:rsidR="00D45CD8" w:rsidRPr="007F7EE4" w:rsidRDefault="00AC3F08" w:rsidP="00D97A12">
      <w:pPr>
        <w:ind w:firstLine="422"/>
        <w:rPr>
          <w:szCs w:val="21"/>
        </w:rPr>
      </w:pPr>
      <w:r w:rsidRPr="007F7EE4">
        <w:rPr>
          <w:rFonts w:ascii="黑体" w:eastAsia="黑体" w:hAnsi="ˎ̥,verdana" w:cs="Arial" w:hint="eastAsia"/>
          <w:b/>
          <w:szCs w:val="21"/>
        </w:rPr>
        <w:t>摘要：</w:t>
      </w:r>
      <w:r w:rsidRPr="007F7EE4">
        <w:rPr>
          <w:rFonts w:ascii="宋体" w:hAnsi="宋体" w:hint="eastAsia"/>
          <w:szCs w:val="21"/>
        </w:rPr>
        <w:t>绿色发展是新发展阶段的重要发展理念，企业绿色技术创新是在企业层面实现高质量发展的重要战略导向，也是微观层面实现企业与社会环境共生融合发展的重要实现方式。既有研究主要聚焦外部绿色规制环境对企业绿色技术创新的传导机理，立足微观企业可持续导向与合法性压力双轮驱动企业绿色技术创新缺乏微观证据。本文以2010-2019年中国A股上市公司为实证研究样本，实证分析了企业社会责任对绿色技术创新的影响及其内在机理，并考察了媒体关注作为外部治理环境中的规制与规范合法性压力在企业社会责任与企业绿色技术创新之间的调节效应。研究结果表明：（1）企业社会责任对企业绿色技术创新产生显著的促进效应，区分企业绿色专利申请与绿色专利授权促进效应依然存在，考虑内生性后本文研究结论依然成立。（2）媒体关注在企业社会责任与企业绿色技术创新之间产生显著的正向调节效应，不管是政策导向型媒体关注还是市场导向型媒体关注，基于制度合法性压力下企业社会责任的绿色技术创新的驱动效应都显著成立，且政策导向型媒体关注的调节效应更强。（3）进一步机制检验结果表明，企业社会责任主要通过强化企业环保投资促进企业绿色技术创新绩效。（4）异质性分析结果表明，企业社会责任在强高管激励、强制性社会责任披露环境、大规模企业以及市场化制度环境更强的样本中更为明显。本文的研究为新发展阶段下系统推进企业绿色发展提供新的研究视角，为明晰企业社会责任的创新价值效应提供新的经验启示。</w:t>
      </w:r>
    </w:p>
    <w:p w14:paraId="07716C98" w14:textId="77777777" w:rsidR="00D45CD8" w:rsidRPr="007F7EE4" w:rsidRDefault="00AC3F08" w:rsidP="00D97A12">
      <w:pPr>
        <w:ind w:firstLine="422"/>
        <w:rPr>
          <w:rFonts w:ascii="ˎ̥,verdana" w:hAnsi="ˎ̥,verdana" w:cs="Arial"/>
          <w:szCs w:val="21"/>
        </w:rPr>
      </w:pPr>
      <w:r w:rsidRPr="007F7EE4">
        <w:rPr>
          <w:rFonts w:ascii="黑体" w:eastAsia="黑体" w:hAnsi="ˎ̥,verdana" w:cs="Arial" w:hint="eastAsia"/>
          <w:b/>
          <w:szCs w:val="21"/>
        </w:rPr>
        <w:t>关键词：</w:t>
      </w:r>
      <w:r w:rsidRPr="007F7EE4">
        <w:rPr>
          <w:rFonts w:hint="eastAsia"/>
          <w:szCs w:val="21"/>
        </w:rPr>
        <w:t>企业社会责任；绿色技术创新；媒体关注；合法性；环保投资</w:t>
      </w:r>
    </w:p>
    <w:p w14:paraId="255FC396" w14:textId="77777777" w:rsidR="00D45CD8" w:rsidRPr="007F7EE4" w:rsidRDefault="00AC3F08" w:rsidP="00D97A12">
      <w:pPr>
        <w:ind w:firstLine="422"/>
        <w:rPr>
          <w:rFonts w:ascii="黑体" w:eastAsia="黑体"/>
          <w:b/>
          <w:szCs w:val="21"/>
        </w:rPr>
      </w:pPr>
      <w:r w:rsidRPr="007F7EE4">
        <w:rPr>
          <w:rFonts w:ascii="黑体" w:eastAsia="黑体" w:hint="eastAsia"/>
          <w:b/>
          <w:szCs w:val="21"/>
        </w:rPr>
        <w:t>中图分类号：</w:t>
      </w:r>
      <w:r w:rsidRPr="007F7EE4">
        <w:rPr>
          <w:szCs w:val="21"/>
        </w:rPr>
        <w:t xml:space="preserve">F270; F273.1;    </w:t>
      </w:r>
      <w:r w:rsidRPr="007F7EE4">
        <w:rPr>
          <w:rFonts w:ascii="黑体" w:eastAsia="黑体" w:hint="eastAsia"/>
          <w:b/>
          <w:szCs w:val="21"/>
        </w:rPr>
        <w:t>文献标识码: A</w:t>
      </w:r>
    </w:p>
    <w:p w14:paraId="65DF0617" w14:textId="77777777" w:rsidR="00D45CD8" w:rsidRPr="007F7EE4" w:rsidRDefault="00D45CD8">
      <w:pPr>
        <w:ind w:firstLine="360"/>
        <w:rPr>
          <w:sz w:val="18"/>
          <w:szCs w:val="18"/>
        </w:rPr>
      </w:pPr>
    </w:p>
    <w:p w14:paraId="37F98DD4" w14:textId="77777777" w:rsidR="00D45CD8" w:rsidRPr="007F7EE4" w:rsidRDefault="00AC3F08">
      <w:pPr>
        <w:pStyle w:val="1"/>
        <w:jc w:val="center"/>
        <w:rPr>
          <w:b/>
        </w:rPr>
      </w:pPr>
      <w:r w:rsidRPr="007F7EE4">
        <w:rPr>
          <w:rFonts w:hint="eastAsia"/>
          <w:b/>
        </w:rPr>
        <w:t>一、引言</w:t>
      </w:r>
    </w:p>
    <w:p w14:paraId="7BC2BFF3" w14:textId="77777777" w:rsidR="00532945" w:rsidRPr="007F7EE4" w:rsidRDefault="00532945">
      <w:pPr>
        <w:ind w:firstLine="420"/>
      </w:pPr>
      <w:r w:rsidRPr="007F7EE4">
        <w:rPr>
          <w:rFonts w:hint="eastAsia"/>
        </w:rPr>
        <w:t>步入新发展阶段，五大发展理念是指引宏观经济结构转型、产业转型升级与微观企业创新可持续发展的重要指导理念，且高质量发展是新发展阶段下的主导战略抉择。不管是五大发展理念中的绿色发展要求还是高质量发展对微观企业绿色创新与转型升级的战略要求，企业系统制定绿色创新战略与实施绿色技术创新显得举足轻重。党的十九大报告进一步提出要构建市场导向的绿色技术创新体系，企业绿色技术创新作为构建绿色技术体系的重要组成部分，国家发展改革委员会联合科技部进一步具体发布了《关于构建市场导向的绿色技术创新体系的指导意见》（下文简称《指导意见》），指导意见要求发挥企业为主体开展绿色技术创新体系建设，包括企业的绿色技术研发、技术创新成果转化、以及技术产业化的绿色示范基地等产业化建设，实现从企业研发设计最终走向产业化的全创新链的绿色化。实质上，企业绿色技术创新作为企创新发展与绿色发展的结合点，但其不同于一般性技术创新活动，具有明显的正外部性以及“成本—收益”的不确定性。因此，立足新发展阶段，如何驱动企业响应绿色发展理念与“双碳”战略，制定绿色技术创新战略并开展绿色技术创新活动进而实现企业高质量发展成为学界与业界值得关注的重大研究议题。</w:t>
      </w:r>
    </w:p>
    <w:p w14:paraId="794AC77B" w14:textId="77777777" w:rsidR="00532945" w:rsidRPr="007F7EE4" w:rsidRDefault="00532945" w:rsidP="00532945">
      <w:pPr>
        <w:ind w:firstLine="420"/>
      </w:pPr>
      <w:r w:rsidRPr="007F7EE4">
        <w:rPr>
          <w:rFonts w:hint="eastAsia"/>
        </w:rPr>
        <w:t>既有研究充分注意到了企业绿色技术创新的重要性与价值性，围绕企业绿色技术创新的驱动因素研究聚焦两类研究，第一类研究集中于研究环境规制、环境政策与政府环境督察等外部规制与规范制度主体对企业绿色技术创新的影响</w:t>
      </w:r>
      <w:r w:rsidRPr="007F7EE4">
        <w:rPr>
          <w:vertAlign w:val="superscript"/>
        </w:rPr>
        <w:t>[4-5]</w:t>
      </w:r>
      <w:r w:rsidRPr="007F7EE4">
        <w:rPr>
          <w:rFonts w:hint="eastAsia"/>
        </w:rPr>
        <w:t>（</w:t>
      </w:r>
      <w:r w:rsidRPr="007F7EE4">
        <w:rPr>
          <w:rFonts w:hint="eastAsia"/>
        </w:rPr>
        <w:t>Wang et al.</w:t>
      </w:r>
      <w:r w:rsidRPr="007F7EE4">
        <w:rPr>
          <w:rFonts w:hint="eastAsia"/>
        </w:rPr>
        <w:t>，</w:t>
      </w:r>
      <w:r w:rsidRPr="007F7EE4">
        <w:rPr>
          <w:rFonts w:hint="eastAsia"/>
        </w:rPr>
        <w:t>2017</w:t>
      </w:r>
      <w:r w:rsidRPr="007F7EE4">
        <w:rPr>
          <w:rFonts w:hint="eastAsia"/>
        </w:rPr>
        <w:t>；</w:t>
      </w:r>
      <w:r w:rsidRPr="007F7EE4">
        <w:rPr>
          <w:rFonts w:hint="eastAsia"/>
        </w:rPr>
        <w:t>Wang et al.</w:t>
      </w:r>
      <w:r w:rsidRPr="007F7EE4">
        <w:rPr>
          <w:rFonts w:hint="eastAsia"/>
        </w:rPr>
        <w:t>，</w:t>
      </w:r>
      <w:r w:rsidRPr="007F7EE4">
        <w:rPr>
          <w:rFonts w:hint="eastAsia"/>
        </w:rPr>
        <w:t>2019</w:t>
      </w:r>
      <w:r w:rsidRPr="007F7EE4">
        <w:rPr>
          <w:rFonts w:hint="eastAsia"/>
        </w:rPr>
        <w:t>），其理论内核在于立足新制度主义理论或制度经济学理论，认为环境规制中的激励性</w:t>
      </w:r>
      <w:r w:rsidRPr="007F7EE4">
        <w:rPr>
          <w:rFonts w:hint="eastAsia"/>
        </w:rPr>
        <w:lastRenderedPageBreak/>
        <w:t>政策与惩戒型政策对企业绿色技术创新具有异质性影响，总体上外部环境规制强度、环保督察强度以及环境导向的产业政策与科技政策等对企业绿色技术创新产生驱动效应</w:t>
      </w:r>
      <w:r w:rsidRPr="007F7EE4">
        <w:rPr>
          <w:vertAlign w:val="superscript"/>
        </w:rPr>
        <w:t>[7-10]</w:t>
      </w:r>
      <w:r w:rsidRPr="007F7EE4">
        <w:rPr>
          <w:rFonts w:hint="eastAsia"/>
        </w:rPr>
        <w:t>（李依，</w:t>
      </w:r>
      <w:r w:rsidRPr="007F7EE4">
        <w:rPr>
          <w:rFonts w:hint="eastAsia"/>
        </w:rPr>
        <w:t>2021</w:t>
      </w:r>
      <w:r w:rsidRPr="007F7EE4">
        <w:rPr>
          <w:rFonts w:hint="eastAsia"/>
        </w:rPr>
        <w:t>；李广培，</w:t>
      </w:r>
      <w:r w:rsidRPr="007F7EE4">
        <w:rPr>
          <w:rFonts w:hint="eastAsia"/>
        </w:rPr>
        <w:t>2018</w:t>
      </w:r>
      <w:r w:rsidRPr="007F7EE4">
        <w:rPr>
          <w:rFonts w:hint="eastAsia"/>
        </w:rPr>
        <w:t>；郭进，</w:t>
      </w:r>
      <w:r w:rsidRPr="007F7EE4">
        <w:rPr>
          <w:rFonts w:hint="eastAsia"/>
        </w:rPr>
        <w:t>2019</w:t>
      </w:r>
      <w:r w:rsidRPr="007F7EE4">
        <w:rPr>
          <w:rFonts w:hint="eastAsia"/>
        </w:rPr>
        <w:t>；余伟等，</w:t>
      </w:r>
      <w:r w:rsidRPr="007F7EE4">
        <w:rPr>
          <w:rFonts w:hint="eastAsia"/>
        </w:rPr>
        <w:t>2016</w:t>
      </w:r>
      <w:r w:rsidRPr="007F7EE4">
        <w:rPr>
          <w:rFonts w:hint="eastAsia"/>
        </w:rPr>
        <w:t>；徐佳，崔静波，</w:t>
      </w:r>
      <w:r w:rsidRPr="007F7EE4">
        <w:rPr>
          <w:rFonts w:hint="eastAsia"/>
        </w:rPr>
        <w:t>2020</w:t>
      </w:r>
      <w:r w:rsidRPr="007F7EE4">
        <w:rPr>
          <w:rFonts w:hint="eastAsia"/>
        </w:rPr>
        <w:t>）。且从新制度主义理论视角，企业绿色技术创新被认为存在同群效应，即基于模仿同构的“随波逐流”效应</w:t>
      </w:r>
      <w:r w:rsidRPr="007F7EE4">
        <w:rPr>
          <w:vertAlign w:val="superscript"/>
        </w:rPr>
        <w:t>[12]</w:t>
      </w:r>
      <w:r w:rsidRPr="007F7EE4">
        <w:rPr>
          <w:rFonts w:hint="eastAsia"/>
        </w:rPr>
        <w:t>（王旭，褚旭，</w:t>
      </w:r>
      <w:r w:rsidRPr="007F7EE4">
        <w:rPr>
          <w:rFonts w:hint="eastAsia"/>
        </w:rPr>
        <w:t>2021</w:t>
      </w:r>
      <w:r w:rsidRPr="007F7EE4">
        <w:rPr>
          <w:rFonts w:hint="eastAsia"/>
        </w:rPr>
        <w:t>）；第二类研究主要是从利益相关方视角，认为企业作为社会属性的生产单元，其日常的生产运营行为对利益相关方产生不可忽视的影响，利益相关方对企业具有外部价值诉求的信息效应与引导效应，主要聚焦外部媒体关注等社会性利益相关方对企业绿色技术创新的影响</w:t>
      </w:r>
      <w:r w:rsidRPr="007F7EE4">
        <w:rPr>
          <w:vertAlign w:val="superscript"/>
        </w:rPr>
        <w:t>[12-13]</w:t>
      </w:r>
      <w:r w:rsidRPr="007F7EE4">
        <w:rPr>
          <w:rFonts w:hint="eastAsia"/>
        </w:rPr>
        <w:t>（王云等，</w:t>
      </w:r>
      <w:r w:rsidRPr="007F7EE4">
        <w:rPr>
          <w:rFonts w:hint="eastAsia"/>
        </w:rPr>
        <w:t>2017</w:t>
      </w:r>
      <w:r w:rsidRPr="007F7EE4">
        <w:rPr>
          <w:rFonts w:hint="eastAsia"/>
        </w:rPr>
        <w:t>；王锋正等，</w:t>
      </w:r>
      <w:r w:rsidRPr="007F7EE4">
        <w:rPr>
          <w:rFonts w:hint="eastAsia"/>
        </w:rPr>
        <w:t>2018</w:t>
      </w:r>
      <w:r w:rsidRPr="007F7EE4">
        <w:rPr>
          <w:rFonts w:hint="eastAsia"/>
        </w:rPr>
        <w:t>）。既有对企业绿色技术创新驱动因素的研究依然存在缺口，一方面，既有的研究主要聚焦外部规制主体如政府等对企业绿色技术创新导向的“合法性”传导效应，或者外部媒体关注对企业绿色技术创新的舆论引导效应，总体上属于外部牵引式驱动企业绿色技术创新的驱动机理研究。实质上，在承认企业绿色技术创新作为企业获取市场竞争力或者市场绩效的理论前提下</w:t>
      </w:r>
      <w:r w:rsidRPr="007F7EE4">
        <w:rPr>
          <w:rFonts w:hint="eastAsia"/>
          <w:vertAlign w:val="superscript"/>
        </w:rPr>
        <w:t>[16-17]</w:t>
      </w:r>
      <w:r w:rsidRPr="007F7EE4">
        <w:rPr>
          <w:rFonts w:hint="eastAsia"/>
        </w:rPr>
        <w:t>，从企业战略决策的视角来看，战略导向是企业创新战略决策的逻辑起点，相应地，企业绿色技术创新也从属于企业创新战略决策，如何立足企业内部的企业家精神、企业战略导向、战略决策者特质以及战略决策过程等探究企业绿色技术创新战略成为亟待研究的议题。另一方面，即使是从内部视角驱动的企业创新战略决策，依然需要立足外部环境尤其是外部合法性等探究外部利益相关方在企业绿色技术创新战略决策过程中的可能调节效应，进而搭建“内部可持续战略导向驱动—外部合法性催化”的企业绿色技术创新驱动因素的融合性研究</w:t>
      </w:r>
      <w:r w:rsidRPr="007F7EE4">
        <w:rPr>
          <w:rFonts w:hint="eastAsia"/>
          <w:vertAlign w:val="superscript"/>
        </w:rPr>
        <w:t>[18]</w:t>
      </w:r>
      <w:r w:rsidRPr="007F7EE4">
        <w:rPr>
          <w:rFonts w:hint="eastAsia"/>
        </w:rPr>
        <w:t>（肖小虹等，</w:t>
      </w:r>
      <w:r w:rsidRPr="007F7EE4">
        <w:rPr>
          <w:rFonts w:hint="eastAsia"/>
        </w:rPr>
        <w:t>2021</w:t>
      </w:r>
      <w:r w:rsidRPr="007F7EE4">
        <w:rPr>
          <w:rFonts w:hint="eastAsia"/>
        </w:rPr>
        <w:t>）。最后，从既有探究企业绿色技术创新的研究样本来看，研究相对集中于特定行业的小样本，且绿色技术创新绩效缺乏一个系统的测度以及内在微观机理检验，研究测量集中于小样本的问卷构念开发性研究。</w:t>
      </w:r>
    </w:p>
    <w:p w14:paraId="44D3C3C7" w14:textId="77777777" w:rsidR="00532945" w:rsidRPr="007F7EE4" w:rsidRDefault="00532945" w:rsidP="00532945">
      <w:pPr>
        <w:ind w:firstLine="420"/>
      </w:pPr>
      <w:r w:rsidRPr="007F7EE4">
        <w:rPr>
          <w:rFonts w:hint="eastAsia"/>
        </w:rPr>
        <w:t>基于上述研究缺口，本文一方面基于企业绿色技术创新的大样本数据为实证样本基础，以</w:t>
      </w:r>
      <w:r w:rsidRPr="007F7EE4">
        <w:rPr>
          <w:rFonts w:hint="eastAsia"/>
        </w:rPr>
        <w:t>2010-2019</w:t>
      </w:r>
      <w:r w:rsidRPr="007F7EE4">
        <w:rPr>
          <w:rFonts w:hint="eastAsia"/>
        </w:rPr>
        <w:t>年中国沪深</w:t>
      </w:r>
      <w:r w:rsidRPr="007F7EE4">
        <w:rPr>
          <w:rFonts w:hint="eastAsia"/>
        </w:rPr>
        <w:t>A</w:t>
      </w:r>
      <w:r w:rsidRPr="007F7EE4">
        <w:rPr>
          <w:rFonts w:hint="eastAsia"/>
        </w:rPr>
        <w:t>股上市公司为研究样本，构建绿色技术创新的大样本微观数据库，弥补传统研究聚焦特定行业或者特定企业研究样本数据造成估计结果的有偏性，全面考察企业社会责任以及企业社会责任各个维度对企业绿色技术创新绩效的具体影响以及内在机理；其次，从媒体关注的合法性视角以及外部空气质量环境的压力视角考察政策导向型媒体关注与市场导向型媒体关注在企业社会责任与企业绿色技术创新之间的调节效应，进一步丰富传统基于外部制度合法性压力视角下的驱动效应研究。本文的边际贡献在于：一方面，在理论层面，从技术创新的视角丰富了企业社会责任的价值效应研究，为探究企业绿色技术创新的驱动机理搭建了“可持续战略导向—绿色技术创新战略—绿色技术创新绩效”的传导框架，弥合了传统研究过度聚焦外部环境规制与环境政策对微观企业绿色行为的影响研究不足，并扩展了传统研究中企业社会责任与创新绩效以及经济效应的研究；另一方面，从绿色技术创新的视角进一步丰富了企业社会责任的可持续技术创新导向的价值效应与内在机理。与此同时，考察了不同类型媒体关注异质性合法性的调节效应，有助于在理论层面重新审视基于企业内部可持续导向驱动的企业绿色技术创新绩效的内在机理。在经验研究层面，基于大样本数据全面考察了企业社会责任对企业绿色技术创新绩效的影响，丰富了企业绿色技术创新绩效的测度以及避免了因样本过窄造成的估计结果有偏。最后，在实践层面，本文研究结果有助于从企业层面为实现在生态文明以及创新驱动发展战略下实现企业绿色发展与创新发展的内在融合提供经验启示，有助于企业重新审视在新发展阶段与新发展理念下系统从传统要素驱动转型基于绿色可持续导向的绿色技术创新绩效驱动企业高质量发展，并为政府制定合理的绿色技术创新政策体系提供微观经验。</w:t>
      </w:r>
    </w:p>
    <w:p w14:paraId="0B0A7A25" w14:textId="77777777" w:rsidR="00D45CD8" w:rsidRPr="007F7EE4" w:rsidRDefault="00AC3F08">
      <w:pPr>
        <w:pStyle w:val="1"/>
        <w:jc w:val="center"/>
        <w:rPr>
          <w:b/>
        </w:rPr>
      </w:pPr>
      <w:r w:rsidRPr="007F7EE4">
        <w:rPr>
          <w:rFonts w:hint="eastAsia"/>
          <w:b/>
        </w:rPr>
        <w:lastRenderedPageBreak/>
        <w:t>二、文献回顾与研究假说</w:t>
      </w:r>
    </w:p>
    <w:p w14:paraId="2BFC908B" w14:textId="77777777" w:rsidR="00D45CD8" w:rsidRPr="007F7EE4" w:rsidRDefault="00AC3F08">
      <w:pPr>
        <w:pStyle w:val="2"/>
      </w:pPr>
      <w:r w:rsidRPr="007F7EE4">
        <w:rPr>
          <w:rFonts w:hint="eastAsia"/>
        </w:rPr>
        <w:t>（一）企业社会责任与企业绿色技术创新</w:t>
      </w:r>
    </w:p>
    <w:p w14:paraId="1341F9B1" w14:textId="77777777" w:rsidR="00311491" w:rsidRPr="007F7EE4" w:rsidRDefault="00AC3F08">
      <w:pPr>
        <w:ind w:firstLine="420"/>
      </w:pPr>
      <w:r w:rsidRPr="007F7EE4">
        <w:rPr>
          <w:rFonts w:hint="eastAsia"/>
        </w:rPr>
        <w:t>企业社会责任概念最早可追溯到</w:t>
      </w:r>
      <w:r w:rsidR="00DE0192" w:rsidRPr="007F7EE4">
        <w:rPr>
          <w:rFonts w:hint="eastAsia"/>
        </w:rPr>
        <w:t>欧利文·</w:t>
      </w:r>
      <w:r w:rsidRPr="007F7EE4">
        <w:rPr>
          <w:rFonts w:hint="eastAsia"/>
        </w:rPr>
        <w:t>谢尔顿</w:t>
      </w:r>
      <w:r w:rsidR="00DE0192" w:rsidRPr="007F7EE4">
        <w:rPr>
          <w:rFonts w:hint="eastAsia"/>
        </w:rPr>
        <w:t>（</w:t>
      </w:r>
      <w:r w:rsidR="00DE0192" w:rsidRPr="007F7EE4">
        <w:t>Oliver</w:t>
      </w:r>
      <w:r w:rsidR="00DE0192" w:rsidRPr="007F7EE4">
        <w:rPr>
          <w:rFonts w:hint="eastAsia"/>
        </w:rPr>
        <w:t xml:space="preserve"> </w:t>
      </w:r>
      <w:r w:rsidR="00DE0192" w:rsidRPr="007F7EE4">
        <w:t>Sheldon</w:t>
      </w:r>
      <w:r w:rsidR="00DE0192" w:rsidRPr="007F7EE4">
        <w:rPr>
          <w:rFonts w:hint="eastAsia"/>
        </w:rPr>
        <w:t>）</w:t>
      </w:r>
      <w:r w:rsidRPr="007F7EE4">
        <w:rPr>
          <w:rFonts w:hint="eastAsia"/>
        </w:rPr>
        <w:t>提出的企业社会责任思想，</w:t>
      </w:r>
      <w:r w:rsidR="00DE0192" w:rsidRPr="007F7EE4">
        <w:rPr>
          <w:rFonts w:hint="eastAsia"/>
        </w:rPr>
        <w:t>在百年历史演化过程中</w:t>
      </w:r>
      <w:r w:rsidRPr="007F7EE4">
        <w:rPr>
          <w:rFonts w:hint="eastAsia"/>
        </w:rPr>
        <w:t>逐步从要履行社会责任走向更好地履行企业社会责任阶段。从概念内涵上，企业社会责任不仅仅是企业的一种可持续</w:t>
      </w:r>
      <w:r w:rsidR="00DE0192" w:rsidRPr="007F7EE4">
        <w:rPr>
          <w:rFonts w:hint="eastAsia"/>
        </w:rPr>
        <w:t>发展</w:t>
      </w:r>
      <w:r w:rsidRPr="007F7EE4">
        <w:rPr>
          <w:rFonts w:hint="eastAsia"/>
        </w:rPr>
        <w:t>思想，更是内嵌于企业运营管理、公司治理以及企业战略的</w:t>
      </w:r>
      <w:r w:rsidR="00DE0192" w:rsidRPr="007F7EE4">
        <w:rPr>
          <w:rFonts w:hint="eastAsia"/>
        </w:rPr>
        <w:t>管理</w:t>
      </w:r>
      <w:r w:rsidRPr="007F7EE4">
        <w:rPr>
          <w:rFonts w:hint="eastAsia"/>
        </w:rPr>
        <w:t>实践，是企业在特定制度环境与特定制度安排下一种可持续导向与可持续实践，为企业在运营管理过程中所面对的企业股东、供应商、消费者、政府、社区与环境等利益相关方承担多重社会责任，推动企业为多元利益相关方创造涵盖经济、社会与环境的综合价值与共享价值</w:t>
      </w:r>
      <w:r w:rsidRPr="007F7EE4">
        <w:rPr>
          <w:rFonts w:hint="eastAsia"/>
          <w:vertAlign w:val="superscript"/>
        </w:rPr>
        <w:t>[19-20]</w:t>
      </w:r>
      <w:r w:rsidRPr="007F7EE4">
        <w:rPr>
          <w:rFonts w:hint="eastAsia"/>
        </w:rPr>
        <w:t>（李伟阳，肖红军，</w:t>
      </w:r>
      <w:r w:rsidRPr="007F7EE4">
        <w:rPr>
          <w:rFonts w:hint="eastAsia"/>
        </w:rPr>
        <w:t>2010</w:t>
      </w:r>
      <w:r w:rsidRPr="007F7EE4">
        <w:rPr>
          <w:rFonts w:hint="eastAsia"/>
        </w:rPr>
        <w:t>；肖红军，阳镇，</w:t>
      </w:r>
      <w:r w:rsidRPr="007F7EE4">
        <w:rPr>
          <w:rFonts w:hint="eastAsia"/>
        </w:rPr>
        <w:t>2018</w:t>
      </w:r>
      <w:r w:rsidRPr="007F7EE4">
        <w:rPr>
          <w:rFonts w:hint="eastAsia"/>
        </w:rPr>
        <w:t>）。</w:t>
      </w:r>
      <w:r w:rsidR="00311491" w:rsidRPr="007F7EE4">
        <w:rPr>
          <w:rFonts w:hint="eastAsia"/>
        </w:rPr>
        <w:t>企业社会责任能够促进企业绿色技术创新的原因在于三个方面。第一，从创新战略决策视角，企业绿色技术创新不同于一般的技术创新，技术创新的战略目标、技术创新过程、技术创新内容更加强调企业与社会环境的共生发展，强调通过技术变革实现企业能耗降低、污染排放降低，避免企业在开展生产制造以及服务过程中产生系列负面环境问题</w:t>
      </w:r>
      <w:r w:rsidR="00311491" w:rsidRPr="007F7EE4">
        <w:rPr>
          <w:vertAlign w:val="superscript"/>
        </w:rPr>
        <w:t>[1-2]</w:t>
      </w:r>
      <w:r w:rsidR="00311491" w:rsidRPr="007F7EE4">
        <w:rPr>
          <w:rFonts w:hint="eastAsia"/>
        </w:rPr>
        <w:t>（</w:t>
      </w:r>
      <w:r w:rsidR="00311491" w:rsidRPr="007F7EE4">
        <w:rPr>
          <w:rFonts w:hint="eastAsia"/>
        </w:rPr>
        <w:t>Lin et al.</w:t>
      </w:r>
      <w:r w:rsidR="00311491" w:rsidRPr="007F7EE4">
        <w:rPr>
          <w:rFonts w:hint="eastAsia"/>
        </w:rPr>
        <w:t>，</w:t>
      </w:r>
      <w:r w:rsidR="00311491" w:rsidRPr="007F7EE4">
        <w:rPr>
          <w:rFonts w:hint="eastAsia"/>
        </w:rPr>
        <w:t>2014</w:t>
      </w:r>
      <w:r w:rsidR="00311491" w:rsidRPr="007F7EE4">
        <w:rPr>
          <w:rFonts w:hint="eastAsia"/>
        </w:rPr>
        <w:t>；李婉红，</w:t>
      </w:r>
      <w:r w:rsidR="00311491" w:rsidRPr="007F7EE4">
        <w:rPr>
          <w:rFonts w:hint="eastAsia"/>
        </w:rPr>
        <w:t>2017</w:t>
      </w:r>
      <w:r w:rsidR="00311491" w:rsidRPr="007F7EE4">
        <w:rPr>
          <w:rFonts w:hint="eastAsia"/>
        </w:rPr>
        <w:t>；李旭，</w:t>
      </w:r>
      <w:r w:rsidR="00311491" w:rsidRPr="007F7EE4">
        <w:rPr>
          <w:rFonts w:hint="eastAsia"/>
        </w:rPr>
        <w:t>2015</w:t>
      </w:r>
      <w:r w:rsidR="00311491" w:rsidRPr="007F7EE4">
        <w:rPr>
          <w:rFonts w:hint="eastAsia"/>
        </w:rPr>
        <w:t>），更包括在正向层面企业立足绿色发展理念开发绿色技术、绿色产品以及绿色工艺流程等，实现环境价值创造。因此，从战略决策的视角来看，企业社会责任有助于帮助企业更好地反思自身战略与环境之间的内在关系，好地开展面向企业可持续实践减少对社会环境负面效应的管理实践。尤其是战略性企业社会责任理论认为企业社会责任只有融入到企业的战略竞争框架，与企业的创新体系与运营管理体系实现内在相容，方能产生对企业的可持续竞争优势</w:t>
      </w:r>
      <w:r w:rsidR="00311491" w:rsidRPr="007F7EE4">
        <w:rPr>
          <w:rFonts w:hint="eastAsia"/>
          <w:vertAlign w:val="superscript"/>
        </w:rPr>
        <w:t>[21-22]</w:t>
      </w:r>
      <w:r w:rsidR="00311491" w:rsidRPr="007F7EE4">
        <w:rPr>
          <w:rFonts w:hint="eastAsia"/>
        </w:rPr>
        <w:t>（</w:t>
      </w:r>
      <w:r w:rsidR="00311491" w:rsidRPr="007F7EE4">
        <w:rPr>
          <w:rFonts w:hint="eastAsia"/>
        </w:rPr>
        <w:t>Porter</w:t>
      </w:r>
      <w:r w:rsidR="00311491" w:rsidRPr="007F7EE4">
        <w:rPr>
          <w:rFonts w:hint="eastAsia"/>
        </w:rPr>
        <w:t>，</w:t>
      </w:r>
      <w:r w:rsidR="00311491" w:rsidRPr="007F7EE4">
        <w:rPr>
          <w:rFonts w:hint="eastAsia"/>
        </w:rPr>
        <w:t>2006</w:t>
      </w:r>
      <w:r w:rsidR="00311491" w:rsidRPr="007F7EE4">
        <w:rPr>
          <w:rFonts w:hint="eastAsia"/>
        </w:rPr>
        <w:t>，</w:t>
      </w:r>
      <w:r w:rsidR="00311491" w:rsidRPr="007F7EE4">
        <w:rPr>
          <w:rFonts w:hint="eastAsia"/>
        </w:rPr>
        <w:t>2011</w:t>
      </w:r>
      <w:r w:rsidR="00311491" w:rsidRPr="007F7EE4">
        <w:rPr>
          <w:rFonts w:hint="eastAsia"/>
        </w:rPr>
        <w:t>）。因此，从企业社会责任有助于企业树立与落实基于绿色环保的创新战略，推动企业在开展创新的过程中基于绿色可持续的思维尽可能地降低技术创新过程以及技术创新产品商业化过程中的负面环境影响，包括减少环境污染、降低能耗以及节能减排等多重战略目标的内在相容，进而从战略导向层面驱动企业传统创新体系向绿色技术创新体系转型，驱动企业开展更多的绿色技术创新活动。</w:t>
      </w:r>
    </w:p>
    <w:p w14:paraId="6514C2EE" w14:textId="77777777" w:rsidR="00311491" w:rsidRPr="007F7EE4" w:rsidRDefault="00311491">
      <w:pPr>
        <w:ind w:firstLine="420"/>
      </w:pPr>
      <w:r w:rsidRPr="007F7EE4">
        <w:rPr>
          <w:rFonts w:hint="eastAsia"/>
        </w:rPr>
        <w:t>第二，从创新知识基础来看，企业开展绿色技术创新需要丰富多样的绿色知识，包括绿色工艺、绿色产品、绿色技术与绿色设备等方面的知识基础。利益相关方理论企业与内外部利益相关方之间存在广泛的互动与互惠关系，这种互动与互惠包括知识交互与创意交互，比如用户驱动的创新便是消费者、社会公众参与创新研发设计等过程的直接体现，直接能够为企业开展知识搜索、知识整合与知识创新提供基础</w:t>
      </w:r>
      <w:r w:rsidRPr="007F7EE4">
        <w:rPr>
          <w:rFonts w:hint="eastAsia"/>
          <w:vertAlign w:val="superscript"/>
        </w:rPr>
        <w:t>[23]</w:t>
      </w:r>
      <w:r w:rsidRPr="007F7EE4">
        <w:rPr>
          <w:rFonts w:hint="eastAsia"/>
        </w:rPr>
        <w:t>（</w:t>
      </w:r>
      <w:r w:rsidRPr="007F7EE4">
        <w:rPr>
          <w:rFonts w:hint="eastAsia"/>
        </w:rPr>
        <w:t>Freeman</w:t>
      </w:r>
      <w:r w:rsidRPr="007F7EE4">
        <w:rPr>
          <w:rFonts w:hint="eastAsia"/>
        </w:rPr>
        <w:t>，</w:t>
      </w:r>
      <w:r w:rsidRPr="007F7EE4">
        <w:rPr>
          <w:rFonts w:hint="eastAsia"/>
        </w:rPr>
        <w:t>2006</w:t>
      </w:r>
      <w:r w:rsidRPr="007F7EE4">
        <w:rPr>
          <w:rFonts w:hint="eastAsia"/>
        </w:rPr>
        <w:t>）。企业社会责任促进绿色知识积累主要体现在企业通过履行社会责任项目，能与企业内外部相关利益主体建立深度、广泛的知识合作网络，更好地捕获与企业开展社会责任相关的绿色知识，提升企业与外部相关的知识主体开展知识吸收、知识互动、知识整合与知识创新活动，充实企业的绿色知识存量，企业社会责任强化有助于企业更好地吸纳与整合更多具有异质性的绿色知识主体，构筑绿色技术创新的知识网络，进而为提升企业绿色技术创新提供知识基础。同时，企业社会责任项目中的环保项目为企业开展绿色技术创新提供了先验知识和干中学的机会，进一步拓展企业绿色技术创新知识存量。</w:t>
      </w:r>
    </w:p>
    <w:p w14:paraId="6887172D" w14:textId="77777777" w:rsidR="00311491" w:rsidRPr="007F7EE4" w:rsidRDefault="00311491">
      <w:pPr>
        <w:ind w:firstLine="420"/>
      </w:pPr>
      <w:r w:rsidRPr="007F7EE4">
        <w:rPr>
          <w:rFonts w:hint="eastAsia"/>
        </w:rPr>
        <w:t>第三，从资源配置的视角来看，与一般性创新活动相比，绿色技术创新其本身就是一项具有正面外部性以及周期性与风险性的市场活动，需要通过持续的创新资源供给包括经济资源与社会资源供给，以实现绿色产品设计与研发、绿色工艺改造以及绿色产品与服务的商业化与产业化的创新链的顺畅运行。企业社会责任战略导向越强，其开展面向绿色技术创新资源配置的动力与</w:t>
      </w:r>
      <w:r w:rsidR="0093349A" w:rsidRPr="007F7EE4">
        <w:rPr>
          <w:rFonts w:hint="eastAsia"/>
        </w:rPr>
        <w:t>资源基础更强，具体来看，</w:t>
      </w:r>
      <w:r w:rsidRPr="007F7EE4">
        <w:rPr>
          <w:rFonts w:hint="eastAsia"/>
        </w:rPr>
        <w:t>企业社会责任包括企业对利益相关方承担的经济、社会与环境责任，一方面，企业社会责任中的环境型社会责任的实施，本身就需要企业增加绿色技术创新方面的研发投资尤其是面向环保领域的投资（包括环保类产品投资、创新投资等），以更好地吸引具有环境意识与环保倾向的投资者、消费者以及政府等利益相关方的关</w:t>
      </w:r>
      <w:r w:rsidRPr="007F7EE4">
        <w:rPr>
          <w:rFonts w:hint="eastAsia"/>
        </w:rPr>
        <w:lastRenderedPageBreak/>
        <w:t>注，获取这类利益相关方的融资支持与社会网络支持，进而强化企业社会责任中的环境责任议题的实施，最终从环保投资的资源投入视角提升企业绿色技术创新绩效。另一方面，</w:t>
      </w:r>
      <w:r w:rsidR="0093349A" w:rsidRPr="007F7EE4">
        <w:rPr>
          <w:rFonts w:hint="eastAsia"/>
        </w:rPr>
        <w:t>从</w:t>
      </w:r>
      <w:r w:rsidRPr="007F7EE4">
        <w:rPr>
          <w:rFonts w:hint="eastAsia"/>
        </w:rPr>
        <w:t>创新投资</w:t>
      </w:r>
      <w:r w:rsidR="0093349A" w:rsidRPr="007F7EE4">
        <w:rPr>
          <w:rFonts w:hint="eastAsia"/>
        </w:rPr>
        <w:t>需要的</w:t>
      </w:r>
      <w:r w:rsidRPr="007F7EE4">
        <w:rPr>
          <w:rFonts w:hint="eastAsia"/>
        </w:rPr>
        <w:t>资源基础的视角，企业社会责任的实施强度更高，意味着企业愿意为社会环境议题领域的责任议题投入更多的资源支撑，且企业绿色技术创新作为具有一定周期与市场风险的创新活动，意味着企业在社会责任战略导向与社会环境议题实施过程中投入更多的资源基础，更好地为企业绿色技术创新提供物质与非物质资源支持，进而基于资源投入的视角强化企业环保投资最终提升企业绿色技术创新绩效。</w:t>
      </w:r>
      <w:r w:rsidR="0093349A" w:rsidRPr="007F7EE4">
        <w:rPr>
          <w:rFonts w:hint="eastAsia"/>
        </w:rPr>
        <w:t>且企业社会责任表现更好的企业其利益相关方的支持程度更高，一定程度能够为企业开展绿色技术创新提供相应的资源支持与市场支持，进而降低企业开展面向绿色技术创新活动资源配置的风险，进而提高企业绿色技术创新绩效。基于此，本文提出如下研究假设：</w:t>
      </w:r>
    </w:p>
    <w:p w14:paraId="2190F6B6" w14:textId="77777777" w:rsidR="0093349A" w:rsidRPr="007F7EE4" w:rsidRDefault="0093349A" w:rsidP="0093349A">
      <w:pPr>
        <w:ind w:firstLine="420"/>
      </w:pPr>
      <w:r w:rsidRPr="007F7EE4">
        <w:rPr>
          <w:rFonts w:hint="eastAsia"/>
        </w:rPr>
        <w:t>研究假设</w:t>
      </w:r>
      <w:r w:rsidRPr="007F7EE4">
        <w:rPr>
          <w:rFonts w:hint="eastAsia"/>
        </w:rPr>
        <w:t>H1</w:t>
      </w:r>
      <w:r w:rsidRPr="007F7EE4">
        <w:rPr>
          <w:rFonts w:hint="eastAsia"/>
        </w:rPr>
        <w:t>：给定其它条件，企业社会责任对企业绿色技术创新产生正向影响，且主要通过资源配置机制（绿色环保投资）促进企业绿色技术创新。</w:t>
      </w:r>
    </w:p>
    <w:p w14:paraId="51556408" w14:textId="77777777" w:rsidR="0093349A" w:rsidRPr="007F7EE4" w:rsidRDefault="0093349A">
      <w:pPr>
        <w:ind w:firstLine="420"/>
      </w:pPr>
    </w:p>
    <w:p w14:paraId="53EB5E6C" w14:textId="77777777" w:rsidR="0093349A" w:rsidRPr="007F7EE4" w:rsidRDefault="0093349A">
      <w:pPr>
        <w:ind w:firstLine="420"/>
      </w:pPr>
    </w:p>
    <w:p w14:paraId="07923512" w14:textId="77777777" w:rsidR="00D45CD8" w:rsidRPr="007F7EE4" w:rsidRDefault="00AC3F08">
      <w:pPr>
        <w:pStyle w:val="2"/>
      </w:pPr>
      <w:r w:rsidRPr="007F7EE4">
        <w:rPr>
          <w:rStyle w:val="20"/>
          <w:rFonts w:hint="eastAsia"/>
          <w:b/>
          <w:bCs/>
        </w:rPr>
        <w:t>（二）</w:t>
      </w:r>
      <w:r w:rsidRPr="007F7EE4">
        <w:rPr>
          <w:rFonts w:hint="eastAsia"/>
        </w:rPr>
        <w:t>企业社会责任、媒体关注与企业绿色技术创新</w:t>
      </w:r>
    </w:p>
    <w:p w14:paraId="0F0AB33B" w14:textId="77777777" w:rsidR="00D45CD8" w:rsidRPr="007F7EE4" w:rsidRDefault="00AC3F08">
      <w:pPr>
        <w:ind w:firstLine="420"/>
      </w:pPr>
      <w:r w:rsidRPr="007F7EE4">
        <w:rPr>
          <w:rFonts w:hint="eastAsia"/>
        </w:rPr>
        <w:t>制度经济学为解释经济与社会主体的系列行为提供了基础性的研究框架，即在特定的场域范围内，不管是行为人还是组织行为都限定在特定的制度框架之下，</w:t>
      </w:r>
      <w:r w:rsidR="00163351" w:rsidRPr="007F7EE4">
        <w:rPr>
          <w:rFonts w:hint="eastAsia"/>
        </w:rPr>
        <w:t>受到</w:t>
      </w:r>
      <w:r w:rsidRPr="007F7EE4">
        <w:rPr>
          <w:rFonts w:hint="eastAsia"/>
        </w:rPr>
        <w:t>组织场域内正式制度与非正式制度的影响。组织制度主义理论沿袭了制度的分析框架，但其更强调制度的合法性功能即通过规制、规范与认知三重合法性压力有效调适企业的行为，组织在运行过程中必然要通过实施相应的组织战略响应趋同于外部的制度环境，包括正式制度下的规制与规范压力以及非正式制度环境的认知压力等。媒体关注是社会媒体或者官方媒体对企业的日常行为进行报道，报道的形式包括网络报道、纸质媒介报道以及电视等媒体报道，报道内容主要聚焦企业的运营管理行为、企业管理过程中的重大社会舆论事件以及企业绩效等，既包括企业正面积极行为如对社会的贡献，也包括企业负面的行为如企业社会责任缺失等事件等。且从我国媒体报道的主要媒体产权类型来看，一般分为政府类官方媒体以及非官方类的市场媒体，前者主要是政府公共产权下的国有事业单位运营的媒体类型，后者主要是市场机构、社会组织等运营的媒体机构。从这个意义上，媒体关注一方面是企业的外部利益相关方，能够通过外部舆论与监督机制参与公司治理，另一方面也是一种社会规范机制，其作为制度环境影响组织战略与组织行为的三大合法性机制</w:t>
      </w:r>
      <w:r w:rsidRPr="007F7EE4">
        <w:rPr>
          <w:vertAlign w:val="superscript"/>
        </w:rPr>
        <w:footnoteReference w:id="2"/>
      </w:r>
      <w:r w:rsidRPr="007F7EE4">
        <w:rPr>
          <w:rFonts w:hint="eastAsia"/>
        </w:rPr>
        <w:t>中的规范与认知合法性机制进而驱动企业开展相应的战略响应与组织行为调整</w:t>
      </w:r>
      <w:r w:rsidRPr="007F7EE4">
        <w:rPr>
          <w:rFonts w:hint="eastAsia"/>
          <w:vertAlign w:val="superscript"/>
        </w:rPr>
        <w:t>[27-28]</w:t>
      </w:r>
      <w:r w:rsidRPr="007F7EE4">
        <w:rPr>
          <w:rFonts w:hint="eastAsia"/>
        </w:rPr>
        <w:t>（</w:t>
      </w:r>
      <w:r w:rsidRPr="007F7EE4">
        <w:rPr>
          <w:rFonts w:hint="eastAsia"/>
        </w:rPr>
        <w:t>DiMaggio and Powell</w:t>
      </w:r>
      <w:r w:rsidRPr="007F7EE4">
        <w:rPr>
          <w:rFonts w:hint="eastAsia"/>
        </w:rPr>
        <w:t>，</w:t>
      </w:r>
      <w:r w:rsidRPr="007F7EE4">
        <w:rPr>
          <w:rFonts w:hint="eastAsia"/>
        </w:rPr>
        <w:t>1983</w:t>
      </w:r>
      <w:r w:rsidRPr="007F7EE4">
        <w:rPr>
          <w:rFonts w:hint="eastAsia"/>
        </w:rPr>
        <w:t>；</w:t>
      </w:r>
      <w:r w:rsidRPr="007F7EE4">
        <w:rPr>
          <w:rFonts w:hint="eastAsia"/>
        </w:rPr>
        <w:t>Scott</w:t>
      </w:r>
      <w:r w:rsidRPr="007F7EE4">
        <w:rPr>
          <w:rFonts w:hint="eastAsia"/>
        </w:rPr>
        <w:t>，</w:t>
      </w:r>
      <w:r w:rsidRPr="007F7EE4">
        <w:rPr>
          <w:rFonts w:hint="eastAsia"/>
        </w:rPr>
        <w:t>2001</w:t>
      </w:r>
      <w:r w:rsidRPr="007F7EE4">
        <w:rPr>
          <w:rFonts w:hint="eastAsia"/>
        </w:rPr>
        <w:t>）。</w:t>
      </w:r>
    </w:p>
    <w:p w14:paraId="288AA10C" w14:textId="77777777" w:rsidR="00D45CD8" w:rsidRPr="007F7EE4" w:rsidRDefault="00AC3F08">
      <w:pPr>
        <w:ind w:firstLine="420"/>
      </w:pPr>
      <w:r w:rsidRPr="007F7EE4">
        <w:rPr>
          <w:rFonts w:hint="eastAsia"/>
        </w:rPr>
        <w:t>根据制度合法性理论，在一个由社会构建的规范、价值、信念和定义的体系中，合法性是社会公众、社会媒体对企业的社会评价。媒体关注提高了企业的曝光程度，吸引了更多以及更多异质性类型的利益相关方对企业社会环境的关注</w:t>
      </w:r>
      <w:r w:rsidRPr="007F7EE4">
        <w:rPr>
          <w:rFonts w:hint="eastAsia"/>
          <w:vertAlign w:val="superscript"/>
        </w:rPr>
        <w:t>[29-30]</w:t>
      </w:r>
      <w:r w:rsidRPr="007F7EE4">
        <w:rPr>
          <w:rFonts w:hint="eastAsia"/>
        </w:rPr>
        <w:t>（</w:t>
      </w:r>
      <w:r w:rsidRPr="007F7EE4">
        <w:t>Stelios</w:t>
      </w:r>
      <w:r w:rsidRPr="007F7EE4">
        <w:rPr>
          <w:rFonts w:hint="eastAsia"/>
        </w:rPr>
        <w:t>，</w:t>
      </w:r>
      <w:r w:rsidRPr="007F7EE4">
        <w:rPr>
          <w:rFonts w:hint="eastAsia"/>
        </w:rPr>
        <w:t>2012</w:t>
      </w:r>
      <w:r w:rsidRPr="007F7EE4">
        <w:rPr>
          <w:rFonts w:hint="eastAsia"/>
        </w:rPr>
        <w:t>；赵莉，张玲，</w:t>
      </w:r>
      <w:r w:rsidRPr="007F7EE4">
        <w:rPr>
          <w:rFonts w:hint="eastAsia"/>
        </w:rPr>
        <w:t>2020</w:t>
      </w:r>
      <w:r w:rsidRPr="007F7EE4">
        <w:rPr>
          <w:rFonts w:hint="eastAsia"/>
        </w:rPr>
        <w:t>），尤其是政策导向型媒体的关注实质上蕴含了一种规制合法性压力，能够驱动企业的利益相关者强化可持续发展导向与环保意识。在绿色意识与环保意识放越来越强的情况下，利益相关方也能够通过政府、媒体、环保协会、工会、消协等多种渠道，采用影响行业内规制的制定与执行、社会伦理道德的规范、社会舆论认知引导与社会公众的监督等多种方式，增强其企业产品与服务的绿色程度的评估以及传统生产与制造体系的改造，引导企业以负责任的战略理念以及负责任的创新理念将社会责任融入到企业的绿色技术创新体系之中，进而更好地承担对利益相关方的环境责任，最大程度地降低企业对社会环境的潜在负面影响，以责任型绿色工艺技术赋能环境以及以绿色产品与服务供给并最大程度地产生正的环境外部性，积极承担企业对利益相关方的环境责任。基于此，本文认为，媒体关注作为一种外部合</w:t>
      </w:r>
      <w:r w:rsidRPr="007F7EE4">
        <w:rPr>
          <w:rFonts w:hint="eastAsia"/>
        </w:rPr>
        <w:lastRenderedPageBreak/>
        <w:t>法性压力能够强化企业利益相关方的绿色环保导向以及企业绿色战略响应，</w:t>
      </w:r>
      <w:r w:rsidR="00163351" w:rsidRPr="007F7EE4">
        <w:rPr>
          <w:rFonts w:hint="eastAsia"/>
        </w:rPr>
        <w:t>不管是官方媒体还是市场类媒体，其本质上都能通过制度合法性机制实现绿色规制或者绿色制度环境的要求对企业绿色技术创新导向与绿色技术创新行为产生纠偏或者激励，尤其是正向性的媒体关注能够强化企业开展绿色技术创新的动力与热情，更好地基于媒体的治理效应与合法性传导效应</w:t>
      </w:r>
      <w:r w:rsidRPr="007F7EE4">
        <w:rPr>
          <w:rFonts w:hint="eastAsia"/>
        </w:rPr>
        <w:t>强化企业社会责任与企业绿色技术创新绩效之间的正向关系。</w:t>
      </w:r>
      <w:r w:rsidR="00163351" w:rsidRPr="007F7EE4">
        <w:rPr>
          <w:rFonts w:hint="eastAsia"/>
        </w:rPr>
        <w:t>因此，本文认为，两类不同导向的媒体关注有助于强化企业社会责任与企业绿色技术创新绩效的正向关系。基于此，本文提出研究假设</w:t>
      </w:r>
      <w:r w:rsidR="00163351" w:rsidRPr="007F7EE4">
        <w:rPr>
          <w:rFonts w:hint="eastAsia"/>
        </w:rPr>
        <w:t>H2</w:t>
      </w:r>
      <w:r w:rsidR="00163351" w:rsidRPr="007F7EE4">
        <w:rPr>
          <w:rFonts w:hint="eastAsia"/>
        </w:rPr>
        <w:t>。</w:t>
      </w:r>
    </w:p>
    <w:p w14:paraId="69510F31" w14:textId="77777777" w:rsidR="00D45CD8" w:rsidRPr="007F7EE4" w:rsidRDefault="00D45CD8">
      <w:pPr>
        <w:ind w:firstLine="420"/>
      </w:pPr>
    </w:p>
    <w:p w14:paraId="65C0AFBA" w14:textId="77777777" w:rsidR="00D45CD8" w:rsidRPr="007F7EE4" w:rsidRDefault="00AC3F08">
      <w:pPr>
        <w:ind w:firstLine="420"/>
      </w:pPr>
      <w:r w:rsidRPr="007F7EE4">
        <w:rPr>
          <w:rFonts w:hint="eastAsia"/>
        </w:rPr>
        <w:t>研究假设</w:t>
      </w:r>
      <w:r w:rsidRPr="007F7EE4">
        <w:rPr>
          <w:rFonts w:hint="eastAsia"/>
        </w:rPr>
        <w:t>H2</w:t>
      </w:r>
      <w:r w:rsidRPr="007F7EE4">
        <w:rPr>
          <w:rFonts w:hint="eastAsia"/>
        </w:rPr>
        <w:t>：给定其它条件，媒体关注在企业社会责任与企业绿色技术创新产生正向调节效应</w:t>
      </w:r>
      <w:r w:rsidR="00163351" w:rsidRPr="007F7EE4">
        <w:rPr>
          <w:rFonts w:hint="eastAsia"/>
        </w:rPr>
        <w:t>，且区分媒体类型，政策导向型媒体关注与市场导向型媒体关注分别在企业社会责任与企业绿色技术创新产生正向调节作用。</w:t>
      </w:r>
    </w:p>
    <w:p w14:paraId="2C22661C" w14:textId="77777777" w:rsidR="00D45CD8" w:rsidRPr="007F7EE4" w:rsidRDefault="00AC3F08">
      <w:pPr>
        <w:pStyle w:val="1"/>
        <w:jc w:val="center"/>
        <w:rPr>
          <w:b/>
        </w:rPr>
      </w:pPr>
      <w:r w:rsidRPr="007F7EE4">
        <w:rPr>
          <w:rFonts w:hint="eastAsia"/>
          <w:b/>
        </w:rPr>
        <w:t>三、研究设计</w:t>
      </w:r>
    </w:p>
    <w:p w14:paraId="3EB41D75" w14:textId="77777777" w:rsidR="00D45CD8" w:rsidRPr="007F7EE4" w:rsidRDefault="00AC3F08">
      <w:pPr>
        <w:pStyle w:val="2"/>
        <w:rPr>
          <w:b w:val="0"/>
        </w:rPr>
      </w:pPr>
      <w:r w:rsidRPr="007F7EE4">
        <w:rPr>
          <w:rFonts w:hint="eastAsia"/>
        </w:rPr>
        <w:t>（一）样本数据</w:t>
      </w:r>
    </w:p>
    <w:p w14:paraId="1EDAF0D1" w14:textId="77777777" w:rsidR="00D45CD8" w:rsidRPr="007F7EE4" w:rsidRDefault="00AC3F08">
      <w:pPr>
        <w:ind w:firstLine="420"/>
      </w:pPr>
      <w:r w:rsidRPr="007F7EE4">
        <w:rPr>
          <w:rFonts w:hint="eastAsia"/>
        </w:rPr>
        <w:t>本文的研究样本为我国</w:t>
      </w:r>
      <w:r w:rsidRPr="007F7EE4">
        <w:rPr>
          <w:rFonts w:hint="eastAsia"/>
        </w:rPr>
        <w:t>A</w:t>
      </w:r>
      <w:r w:rsidRPr="007F7EE4">
        <w:rPr>
          <w:rFonts w:hint="eastAsia"/>
        </w:rPr>
        <w:t>股</w:t>
      </w:r>
      <w:r w:rsidRPr="007F7EE4">
        <w:rPr>
          <w:rFonts w:hint="eastAsia"/>
        </w:rPr>
        <w:t>2</w:t>
      </w:r>
      <w:r w:rsidRPr="007F7EE4">
        <w:t>010</w:t>
      </w:r>
      <w:r w:rsidRPr="007F7EE4">
        <w:rPr>
          <w:rFonts w:hint="eastAsia"/>
        </w:rPr>
        <w:t>-</w:t>
      </w:r>
      <w:r w:rsidRPr="007F7EE4">
        <w:t>2019</w:t>
      </w:r>
      <w:r w:rsidRPr="007F7EE4">
        <w:rPr>
          <w:rFonts w:hint="eastAsia"/>
        </w:rPr>
        <w:t>年的上市公司。本文的主要解释变量为企业社会责任，来源于和讯网手工收集整理。主要的被解释变量为企业绿色技术创新，基于国家知识产权局检索数据库与</w:t>
      </w:r>
      <w:r w:rsidRPr="007F7EE4">
        <w:rPr>
          <w:rFonts w:hint="eastAsia"/>
        </w:rPr>
        <w:t>CNRDS</w:t>
      </w:r>
      <w:r w:rsidRPr="007F7EE4">
        <w:rPr>
          <w:rFonts w:hint="eastAsia"/>
        </w:rPr>
        <w:t>数据库匹配对比最终形成绿色专利数据库。企业微观财务数据及公司治理数据来源于</w:t>
      </w:r>
      <w:r w:rsidRPr="007F7EE4">
        <w:rPr>
          <w:rFonts w:hint="eastAsia"/>
        </w:rPr>
        <w:t>CSMAR</w:t>
      </w:r>
      <w:r w:rsidRPr="007F7EE4">
        <w:rPr>
          <w:rFonts w:hint="eastAsia"/>
        </w:rPr>
        <w:t>数据库和</w:t>
      </w:r>
      <w:r w:rsidRPr="007F7EE4">
        <w:rPr>
          <w:rFonts w:hint="eastAsia"/>
        </w:rPr>
        <w:t>WIND</w:t>
      </w:r>
      <w:r w:rsidRPr="007F7EE4">
        <w:rPr>
          <w:rFonts w:hint="eastAsia"/>
        </w:rPr>
        <w:t>数据库，所属行业根据中国证监会《上市公司行业分类指引（</w:t>
      </w:r>
      <w:r w:rsidRPr="007F7EE4">
        <w:rPr>
          <w:rFonts w:hint="eastAsia"/>
        </w:rPr>
        <w:t>20</w:t>
      </w:r>
      <w:r w:rsidRPr="007F7EE4">
        <w:t>01</w:t>
      </w:r>
      <w:r w:rsidRPr="007F7EE4">
        <w:rPr>
          <w:rFonts w:hint="eastAsia"/>
        </w:rPr>
        <w:t>年修订）》规定的行业代码和行业门类代码确定，所属省份城市根据</w:t>
      </w:r>
      <w:r w:rsidRPr="007F7EE4">
        <w:rPr>
          <w:rFonts w:hint="eastAsia"/>
        </w:rPr>
        <w:t>Wind</w:t>
      </w:r>
      <w:r w:rsidRPr="007F7EE4">
        <w:rPr>
          <w:rFonts w:hint="eastAsia"/>
        </w:rPr>
        <w:t>数据库提供的上市公司注册地所属省份城市确定。借鉴已有研究的做法，按如下标准对初始样本进行筛选：（</w:t>
      </w:r>
      <w:r w:rsidRPr="007F7EE4">
        <w:rPr>
          <w:rFonts w:hint="eastAsia"/>
        </w:rPr>
        <w:t>1</w:t>
      </w:r>
      <w:r w:rsidRPr="007F7EE4">
        <w:rPr>
          <w:rFonts w:hint="eastAsia"/>
        </w:rPr>
        <w:t>）剔除金融、保险行业样本；（</w:t>
      </w:r>
      <w:r w:rsidRPr="007F7EE4">
        <w:rPr>
          <w:rFonts w:hint="eastAsia"/>
        </w:rPr>
        <w:t>2</w:t>
      </w:r>
      <w:r w:rsidRPr="007F7EE4">
        <w:rPr>
          <w:rFonts w:hint="eastAsia"/>
        </w:rPr>
        <w:t>）剔除曾被</w:t>
      </w:r>
      <w:r w:rsidRPr="007F7EE4">
        <w:rPr>
          <w:rFonts w:hint="eastAsia"/>
        </w:rPr>
        <w:t>ST</w:t>
      </w:r>
      <w:r w:rsidRPr="007F7EE4">
        <w:rPr>
          <w:rFonts w:hint="eastAsia"/>
        </w:rPr>
        <w:t>或</w:t>
      </w:r>
      <w:r w:rsidRPr="007F7EE4">
        <w:rPr>
          <w:rFonts w:hint="eastAsia"/>
        </w:rPr>
        <w:t>PT</w:t>
      </w:r>
      <w:r w:rsidRPr="007F7EE4">
        <w:rPr>
          <w:rFonts w:hint="eastAsia"/>
        </w:rPr>
        <w:t>的样本；（</w:t>
      </w:r>
      <w:r w:rsidRPr="007F7EE4">
        <w:t>3</w:t>
      </w:r>
      <w:r w:rsidRPr="007F7EE4">
        <w:rPr>
          <w:rFonts w:hint="eastAsia"/>
        </w:rPr>
        <w:t>）剔除资不抵债的样本；（</w:t>
      </w:r>
      <w:r w:rsidRPr="007F7EE4">
        <w:t>4</w:t>
      </w:r>
      <w:r w:rsidRPr="007F7EE4">
        <w:rPr>
          <w:rFonts w:hint="eastAsia"/>
        </w:rPr>
        <w:t>）剔除相关变量缺失的样本。经过上述标准筛选后，最终得到</w:t>
      </w:r>
      <w:r w:rsidRPr="007F7EE4">
        <w:t>3,3</w:t>
      </w:r>
      <w:r w:rsidRPr="007F7EE4">
        <w:rPr>
          <w:rFonts w:hint="eastAsia"/>
        </w:rPr>
        <w:t>77</w:t>
      </w:r>
      <w:r w:rsidRPr="007F7EE4">
        <w:rPr>
          <w:rFonts w:hint="eastAsia"/>
        </w:rPr>
        <w:t>家上市公司，共计</w:t>
      </w:r>
      <w:r w:rsidRPr="007F7EE4">
        <w:rPr>
          <w:rFonts w:hint="eastAsia"/>
        </w:rPr>
        <w:t>22417</w:t>
      </w:r>
      <w:r w:rsidRPr="007F7EE4">
        <w:rPr>
          <w:rFonts w:hint="eastAsia"/>
        </w:rPr>
        <w:t>个样本观察值的非平衡面板数据。为了排除极端值的影响，本文对连续变量均进行了上下</w:t>
      </w:r>
      <w:r w:rsidRPr="007F7EE4">
        <w:rPr>
          <w:rFonts w:hint="eastAsia"/>
        </w:rPr>
        <w:t>1%</w:t>
      </w:r>
      <w:r w:rsidRPr="007F7EE4">
        <w:rPr>
          <w:rFonts w:hint="eastAsia"/>
        </w:rPr>
        <w:t>的</w:t>
      </w:r>
      <w:proofErr w:type="spellStart"/>
      <w:r w:rsidRPr="007F7EE4">
        <w:rPr>
          <w:rFonts w:hint="eastAsia"/>
        </w:rPr>
        <w:t>Winsorize</w:t>
      </w:r>
      <w:proofErr w:type="spellEnd"/>
      <w:r w:rsidRPr="007F7EE4">
        <w:rPr>
          <w:rFonts w:hint="eastAsia"/>
        </w:rPr>
        <w:t>缩尾处理。</w:t>
      </w:r>
    </w:p>
    <w:p w14:paraId="50553733" w14:textId="77777777" w:rsidR="00D45CD8" w:rsidRPr="007F7EE4" w:rsidRDefault="00AC3F08">
      <w:pPr>
        <w:pStyle w:val="2"/>
        <w:rPr>
          <w:b w:val="0"/>
        </w:rPr>
      </w:pPr>
      <w:r w:rsidRPr="007F7EE4">
        <w:rPr>
          <w:rFonts w:hint="eastAsia"/>
        </w:rPr>
        <w:t>（二）变量选择</w:t>
      </w:r>
    </w:p>
    <w:p w14:paraId="70337EFC" w14:textId="77777777" w:rsidR="00D45CD8" w:rsidRPr="007F7EE4" w:rsidRDefault="00AC3F08">
      <w:pPr>
        <w:pStyle w:val="3"/>
      </w:pPr>
      <w:r w:rsidRPr="007F7EE4">
        <w:rPr>
          <w:rFonts w:hint="eastAsia"/>
        </w:rPr>
        <w:t>1.被解释变量</w:t>
      </w:r>
    </w:p>
    <w:p w14:paraId="029B7320" w14:textId="77777777" w:rsidR="00D45CD8" w:rsidRPr="007F7EE4" w:rsidRDefault="00AC3F08">
      <w:pPr>
        <w:ind w:firstLine="422"/>
      </w:pPr>
      <w:r w:rsidRPr="007F7EE4">
        <w:rPr>
          <w:rFonts w:hint="eastAsia"/>
          <w:b/>
        </w:rPr>
        <w:t>企业绿色技术创新（</w:t>
      </w:r>
      <w:proofErr w:type="spellStart"/>
      <w:r w:rsidRPr="007F7EE4">
        <w:rPr>
          <w:rFonts w:hint="eastAsia"/>
          <w:b/>
        </w:rPr>
        <w:t>LnGreen</w:t>
      </w:r>
      <w:proofErr w:type="spellEnd"/>
      <w:r w:rsidRPr="007F7EE4">
        <w:rPr>
          <w:rFonts w:hint="eastAsia"/>
          <w:b/>
        </w:rPr>
        <w:t>）。</w:t>
      </w:r>
      <w:r w:rsidRPr="007F7EE4">
        <w:rPr>
          <w:rFonts w:hint="eastAsia"/>
        </w:rPr>
        <w:t>企业绿色技术创新绩效主要目前主要是从创新投入与创新产出视角予以衡量，其中投入视角主要是企业用于绿色技术创新的相关资源投入；产出视角主要是企业通过绿色技术创新实现的绿色专利与绿色新产品等。考虑到上市企业难以观测其绿色产品以及绿色服务等变量，本文主要以绿色专利考察上市公司的绿色技术创新绩效。从绿色专利的视角来看，世界知识产权组织（</w:t>
      </w:r>
      <w:r w:rsidRPr="007F7EE4">
        <w:rPr>
          <w:rFonts w:hint="eastAsia"/>
        </w:rPr>
        <w:t>WIPO</w:t>
      </w:r>
      <w:r w:rsidRPr="007F7EE4">
        <w:rPr>
          <w:rFonts w:hint="eastAsia"/>
        </w:rPr>
        <w:t>）于</w:t>
      </w:r>
      <w:r w:rsidRPr="007F7EE4">
        <w:rPr>
          <w:rFonts w:hint="eastAsia"/>
        </w:rPr>
        <w:t>2010</w:t>
      </w:r>
      <w:r w:rsidRPr="007F7EE4">
        <w:rPr>
          <w:rFonts w:hint="eastAsia"/>
        </w:rPr>
        <w:t>年推出“国际专利分类绿色清单”，它是一个检索环境友好型技术相关专利信息的在线工具。该检索条目依据《联合国气候变化框架公约》（</w:t>
      </w:r>
      <w:r w:rsidRPr="007F7EE4">
        <w:rPr>
          <w:rFonts w:hint="eastAsia"/>
        </w:rPr>
        <w:t>UNFCCC</w:t>
      </w:r>
      <w:r w:rsidRPr="007F7EE4">
        <w:rPr>
          <w:rFonts w:hint="eastAsia"/>
        </w:rPr>
        <w:t>）将绿色专利分为了七类，即交通运输类、废弃物管理类、能源节约类、替代能源生产类、行政监管与设计类、农林类和核电类。借鉴齐绍洲等（</w:t>
      </w:r>
      <w:r w:rsidRPr="007F7EE4">
        <w:rPr>
          <w:rFonts w:hint="eastAsia"/>
        </w:rPr>
        <w:t>2018</w:t>
      </w:r>
      <w:r w:rsidRPr="007F7EE4">
        <w:rPr>
          <w:rFonts w:hint="eastAsia"/>
        </w:rPr>
        <w:t>）</w:t>
      </w:r>
      <w:r w:rsidRPr="007F7EE4">
        <w:t xml:space="preserve"> </w:t>
      </w:r>
      <w:r w:rsidRPr="007F7EE4">
        <w:rPr>
          <w:rFonts w:hint="eastAsia"/>
        </w:rPr>
        <w:t>的研究</w:t>
      </w:r>
      <w:r w:rsidRPr="007F7EE4">
        <w:rPr>
          <w:rFonts w:hint="eastAsia"/>
          <w:vertAlign w:val="superscript"/>
        </w:rPr>
        <w:t>[31]</w:t>
      </w:r>
      <w:r w:rsidRPr="007F7EE4">
        <w:rPr>
          <w:rFonts w:hint="eastAsia"/>
        </w:rPr>
        <w:t>，采用世界知识产权组织</w:t>
      </w:r>
      <w:r w:rsidRPr="007F7EE4">
        <w:rPr>
          <w:rFonts w:hint="eastAsia"/>
        </w:rPr>
        <w:t xml:space="preserve">( WIPO) </w:t>
      </w:r>
      <w:r w:rsidRPr="007F7EE4">
        <w:rPr>
          <w:rFonts w:hint="eastAsia"/>
        </w:rPr>
        <w:t>制定的“国际专利分类绿色清单”所列示的绿色专利编码，识别并核算企业每年的绿色专利数量。主要包括绿色专利申请数量与绿色专利授权数量，比对数据库主要基于国家知识产权局数据库检索以及</w:t>
      </w:r>
      <w:r w:rsidRPr="007F7EE4">
        <w:rPr>
          <w:rFonts w:hint="eastAsia"/>
        </w:rPr>
        <w:t>CNRDS</w:t>
      </w:r>
      <w:r w:rsidRPr="007F7EE4">
        <w:rPr>
          <w:rFonts w:hint="eastAsia"/>
        </w:rPr>
        <w:t>数据库比对，最终形成可信度较高的上市公司绿色技术创新专利数据库。以绿色专利申请总量与绿色专利授权总量的对数化作为企业绿色技术创新的测度。在稳健性检验中，本文进一步基于绿色发明专利申请与授权总量占总绿色专利的总量以及绿色专利占总专利的比重衡量企业绿色技术创新绩效。</w:t>
      </w:r>
    </w:p>
    <w:p w14:paraId="209C438E" w14:textId="77777777" w:rsidR="00D45CD8" w:rsidRPr="007F7EE4" w:rsidRDefault="00AC3F08">
      <w:pPr>
        <w:pStyle w:val="3"/>
      </w:pPr>
      <w:r w:rsidRPr="007F7EE4">
        <w:rPr>
          <w:rFonts w:hint="eastAsia"/>
        </w:rPr>
        <w:t>2.解释变量</w:t>
      </w:r>
    </w:p>
    <w:p w14:paraId="25D86985" w14:textId="77777777" w:rsidR="00D45CD8" w:rsidRPr="007F7EE4" w:rsidRDefault="00AC3F08">
      <w:pPr>
        <w:ind w:firstLine="422"/>
      </w:pPr>
      <w:r w:rsidRPr="007F7EE4">
        <w:rPr>
          <w:rFonts w:hint="eastAsia"/>
          <w:b/>
        </w:rPr>
        <w:t>企业社会责任（</w:t>
      </w:r>
      <w:proofErr w:type="spellStart"/>
      <w:r w:rsidRPr="007F7EE4">
        <w:rPr>
          <w:rFonts w:hint="eastAsia"/>
          <w:b/>
        </w:rPr>
        <w:t>LnCSR</w:t>
      </w:r>
      <w:proofErr w:type="spellEnd"/>
      <w:r w:rsidRPr="007F7EE4">
        <w:rPr>
          <w:rFonts w:hint="eastAsia"/>
          <w:b/>
        </w:rPr>
        <w:t>）。</w:t>
      </w:r>
      <w:r w:rsidRPr="007F7EE4">
        <w:t>在企业社会责任绩效的衡量中，一般存在三种度量企业社会责任绩效的方式，第一种方式是基于利益相关方综合绩效表现衡量企业社会责任绩效</w:t>
      </w:r>
      <w:r w:rsidRPr="007F7EE4">
        <w:rPr>
          <w:rFonts w:hint="eastAsia"/>
          <w:vertAlign w:val="superscript"/>
        </w:rPr>
        <w:t>[32-33]</w:t>
      </w:r>
      <w:r w:rsidRPr="007F7EE4">
        <w:lastRenderedPageBreak/>
        <w:t>（肖红军，李井林，</w:t>
      </w:r>
      <w:r w:rsidRPr="007F7EE4">
        <w:t>2018</w:t>
      </w:r>
      <w:r w:rsidRPr="007F7EE4">
        <w:t>；李井林，阳镇，</w:t>
      </w:r>
      <w:r w:rsidRPr="007F7EE4">
        <w:t>2019</w:t>
      </w:r>
      <w:r w:rsidRPr="007F7EE4">
        <w:t>）。或第二种方式是基于第三方企业社会责任评级数据库予以衡量</w:t>
      </w:r>
      <w:r w:rsidRPr="007F7EE4">
        <w:rPr>
          <w:rFonts w:hint="eastAsia"/>
          <w:vertAlign w:val="superscript"/>
        </w:rPr>
        <w:t>[34]</w:t>
      </w:r>
      <w:r w:rsidRPr="007F7EE4">
        <w:t>（权小锋等</w:t>
      </w:r>
      <w:r w:rsidRPr="007F7EE4">
        <w:rPr>
          <w:rFonts w:hint="eastAsia"/>
        </w:rPr>
        <w:t>，</w:t>
      </w:r>
      <w:r w:rsidRPr="007F7EE4">
        <w:t>2015</w:t>
      </w:r>
      <w:r w:rsidRPr="007F7EE4">
        <w:t>），第三种方式是基于以企业慈善捐赠额来衡量企业社会责任</w:t>
      </w:r>
      <w:r w:rsidRPr="007F7EE4">
        <w:rPr>
          <w:rFonts w:hint="eastAsia"/>
          <w:vertAlign w:val="superscript"/>
        </w:rPr>
        <w:t>[35]</w:t>
      </w:r>
      <w:r w:rsidRPr="007F7EE4">
        <w:t>（王新等，</w:t>
      </w:r>
      <w:r w:rsidRPr="007F7EE4">
        <w:t>2015</w:t>
      </w:r>
      <w:r w:rsidRPr="007F7EE4">
        <w:t>）。本文主要参考第二种方式基于第三方机构对企业社会责任表现</w:t>
      </w:r>
      <w:r w:rsidRPr="007F7EE4">
        <w:rPr>
          <w:rFonts w:hint="eastAsia"/>
        </w:rPr>
        <w:t>（披露绩效）</w:t>
      </w:r>
      <w:r w:rsidRPr="007F7EE4">
        <w:t>的相关研究，基于第三方企业社会责任评级数据企业和讯网的上市公司企业社会责任评分衡量企业社会责任表现</w:t>
      </w:r>
      <w:r w:rsidRPr="007F7EE4">
        <w:rPr>
          <w:rFonts w:hint="eastAsia"/>
        </w:rPr>
        <w:t>，</w:t>
      </w:r>
      <w:r w:rsidRPr="007F7EE4">
        <w:t>和讯网的企业社会责任评价维度主要是立足股东责任</w:t>
      </w:r>
      <w:r w:rsidRPr="007F7EE4">
        <w:rPr>
          <w:rFonts w:hint="eastAsia"/>
        </w:rPr>
        <w:t>、员工责任、</w:t>
      </w:r>
      <w:r w:rsidRPr="007F7EE4">
        <w:t>供应商与消费者责任</w:t>
      </w:r>
      <w:r w:rsidRPr="007F7EE4">
        <w:rPr>
          <w:rFonts w:hint="eastAsia"/>
        </w:rPr>
        <w:t>、</w:t>
      </w:r>
      <w:r w:rsidRPr="007F7EE4">
        <w:t>环境责任</w:t>
      </w:r>
      <w:r w:rsidRPr="007F7EE4">
        <w:rPr>
          <w:rFonts w:hint="eastAsia"/>
        </w:rPr>
        <w:t>、</w:t>
      </w:r>
      <w:r w:rsidRPr="007F7EE4">
        <w:t>社会责任五大维度综合评分</w:t>
      </w:r>
      <w:r w:rsidRPr="007F7EE4">
        <w:rPr>
          <w:rStyle w:val="af4"/>
        </w:rPr>
        <w:footnoteReference w:id="3"/>
      </w:r>
      <w:r w:rsidRPr="007F7EE4">
        <w:t>；在稳健性检验中，我们参考阳镇等</w:t>
      </w:r>
      <w:r w:rsidRPr="007F7EE4">
        <w:rPr>
          <w:rFonts w:hint="eastAsia"/>
          <w:vertAlign w:val="superscript"/>
        </w:rPr>
        <w:t>[36]</w:t>
      </w:r>
      <w:r w:rsidRPr="007F7EE4">
        <w:rPr>
          <w:rFonts w:hint="eastAsia"/>
        </w:rPr>
        <w:t>（</w:t>
      </w:r>
      <w:r w:rsidRPr="007F7EE4">
        <w:rPr>
          <w:rFonts w:hint="eastAsia"/>
        </w:rPr>
        <w:t>2021</w:t>
      </w:r>
      <w:r w:rsidRPr="007F7EE4">
        <w:rPr>
          <w:rFonts w:hint="eastAsia"/>
        </w:rPr>
        <w:t>）的研究，基于</w:t>
      </w:r>
      <w:r w:rsidRPr="007F7EE4">
        <w:t>润灵环球企业社会责任评级数据库所披露的社会责任评价综合结果衡量企业社会责任表现。</w:t>
      </w:r>
    </w:p>
    <w:p w14:paraId="7A54D001" w14:textId="77777777" w:rsidR="00D45CD8" w:rsidRPr="007F7EE4" w:rsidRDefault="00AC3F08">
      <w:pPr>
        <w:pStyle w:val="3"/>
      </w:pPr>
      <w:r w:rsidRPr="007F7EE4">
        <w:rPr>
          <w:rFonts w:hint="eastAsia"/>
        </w:rPr>
        <w:t>3.调节变量</w:t>
      </w:r>
    </w:p>
    <w:p w14:paraId="22BCBB83" w14:textId="77777777" w:rsidR="00D45CD8" w:rsidRPr="007F7EE4" w:rsidRDefault="00AC3F08">
      <w:pPr>
        <w:ind w:firstLine="422"/>
        <w:rPr>
          <w:iCs/>
        </w:rPr>
      </w:pPr>
      <w:r w:rsidRPr="007F7EE4">
        <w:rPr>
          <w:rFonts w:hint="eastAsia"/>
          <w:b/>
        </w:rPr>
        <w:t>媒体关注（</w:t>
      </w:r>
      <w:proofErr w:type="spellStart"/>
      <w:r w:rsidRPr="007F7EE4">
        <w:rPr>
          <w:rFonts w:hint="eastAsia"/>
          <w:b/>
        </w:rPr>
        <w:t>LnMedia</w:t>
      </w:r>
      <w:proofErr w:type="spellEnd"/>
      <w:r w:rsidRPr="007F7EE4">
        <w:rPr>
          <w:rFonts w:hint="eastAsia"/>
          <w:b/>
        </w:rPr>
        <w:t>）。</w:t>
      </w:r>
      <w:r w:rsidRPr="007F7EE4">
        <w:rPr>
          <w:rFonts w:hint="eastAsia"/>
          <w:iCs/>
        </w:rPr>
        <w:t>媒体对一个事件的关注程度，可以用媒体报道中与该事件相关的新闻总量来衡量，现有文献对媒体关注的度量方法主要采用互联网的新闻搜索引擎对相关公司进行检索获得其新闻报道次数，由于媒体报道的内容千差万别，不同的报道内容、报道倾向对受众的影响呈现显著差异，因此，媒体关注本质上属于企业外部利益相关方参与公司治理的一种有效机制，通过媒体的外部治理功能进而对企业社会责任呈现不同效应。由于报道繁多，网络搜索方法无法进一步对其内容识别。另一种衡量方式则是针对媒体报道的语言特征展开相关研究，将媒体关注按照报道的态度倾向分为正面报道、中性报道与负面报道等，其主要使用少数几个代表性纸质报刊中的报道进行深度文本分析。但这种衡量方式的主要缺点在于纸质报刊的公众覆盖率是有限的，不能完全衡量媒体关注的程度。除了考虑媒体倾向，越来越多的学者将媒体报道的内容与其研究主题紧密联系起来。本文主要借鉴李培功和沈艺峰</w:t>
      </w:r>
      <w:r w:rsidRPr="007F7EE4">
        <w:rPr>
          <w:rFonts w:hint="eastAsia"/>
          <w:iCs/>
          <w:vertAlign w:val="superscript"/>
        </w:rPr>
        <w:t>[37]</w:t>
      </w:r>
      <w:r w:rsidRPr="007F7EE4">
        <w:rPr>
          <w:rFonts w:hint="eastAsia"/>
          <w:iCs/>
        </w:rPr>
        <w:t>（</w:t>
      </w:r>
      <w:r w:rsidRPr="007F7EE4">
        <w:rPr>
          <w:rFonts w:hint="eastAsia"/>
          <w:iCs/>
        </w:rPr>
        <w:t>2010</w:t>
      </w:r>
      <w:r w:rsidRPr="007F7EE4">
        <w:rPr>
          <w:rFonts w:hint="eastAsia"/>
          <w:iCs/>
        </w:rPr>
        <w:t>）以及戴亦一等</w:t>
      </w:r>
      <w:r w:rsidRPr="007F7EE4">
        <w:rPr>
          <w:rFonts w:hint="eastAsia"/>
          <w:iCs/>
          <w:vertAlign w:val="superscript"/>
        </w:rPr>
        <w:t>[38]</w:t>
      </w:r>
      <w:r w:rsidRPr="007F7EE4">
        <w:rPr>
          <w:rFonts w:hint="eastAsia"/>
          <w:iCs/>
        </w:rPr>
        <w:t>（</w:t>
      </w:r>
      <w:r w:rsidRPr="007F7EE4">
        <w:rPr>
          <w:rFonts w:hint="eastAsia"/>
          <w:iCs/>
        </w:rPr>
        <w:t>2011</w:t>
      </w:r>
      <w:r w:rsidRPr="007F7EE4">
        <w:rPr>
          <w:rFonts w:hint="eastAsia"/>
          <w:iCs/>
        </w:rPr>
        <w:t>）、王云等</w:t>
      </w:r>
      <w:r w:rsidRPr="007F7EE4">
        <w:rPr>
          <w:rFonts w:hint="eastAsia"/>
          <w:iCs/>
          <w:vertAlign w:val="superscript"/>
        </w:rPr>
        <w:t>[12]</w:t>
      </w:r>
      <w:r w:rsidRPr="007F7EE4">
        <w:rPr>
          <w:rFonts w:hint="eastAsia"/>
          <w:iCs/>
        </w:rPr>
        <w:t>（</w:t>
      </w:r>
      <w:r w:rsidRPr="007F7EE4">
        <w:rPr>
          <w:rFonts w:hint="eastAsia"/>
          <w:iCs/>
        </w:rPr>
        <w:t>2017</w:t>
      </w:r>
      <w:r w:rsidRPr="007F7EE4">
        <w:rPr>
          <w:rFonts w:hint="eastAsia"/>
          <w:iCs/>
        </w:rPr>
        <w:t>）的方法，基于</w:t>
      </w:r>
      <w:r w:rsidRPr="007F7EE4">
        <w:rPr>
          <w:rFonts w:hint="eastAsia"/>
          <w:iCs/>
        </w:rPr>
        <w:t>CNRDs</w:t>
      </w:r>
      <w:r w:rsidRPr="007F7EE4">
        <w:rPr>
          <w:rFonts w:hint="eastAsia"/>
          <w:iCs/>
        </w:rPr>
        <w:t>中的媒体报道数据中报纸的媒体报道作为媒体关注文本来源，为避免少数代表性媒体的选择性偏误，本文的报纸范围涵盖主要的财经类报纸，通过人工整理与计算上市公司媒体关注总量，且考虑到媒体类型异质性有关媒体报道的数据做了进一步细分：（</w:t>
      </w:r>
      <w:r w:rsidRPr="007F7EE4">
        <w:rPr>
          <w:rFonts w:hint="eastAsia"/>
          <w:iCs/>
        </w:rPr>
        <w:t>1</w:t>
      </w:r>
      <w:r w:rsidRPr="007F7EE4">
        <w:rPr>
          <w:rFonts w:hint="eastAsia"/>
          <w:iCs/>
        </w:rPr>
        <w:t>）将证监会指定上市公司信息披露平台的“七报一刊”作为政策导向类媒体；（</w:t>
      </w:r>
      <w:r w:rsidRPr="007F7EE4">
        <w:rPr>
          <w:rFonts w:hint="eastAsia"/>
          <w:iCs/>
        </w:rPr>
        <w:t>2</w:t>
      </w:r>
      <w:r w:rsidRPr="007F7EE4">
        <w:rPr>
          <w:rFonts w:hint="eastAsia"/>
          <w:iCs/>
        </w:rPr>
        <w:t>）将其他媒体报刊视为市场导向类媒体。</w:t>
      </w:r>
    </w:p>
    <w:p w14:paraId="3D7261E3" w14:textId="77777777" w:rsidR="00D45CD8" w:rsidRPr="007F7EE4" w:rsidRDefault="00AC3F08">
      <w:pPr>
        <w:pStyle w:val="3"/>
      </w:pPr>
      <w:r w:rsidRPr="007F7EE4">
        <w:rPr>
          <w:rFonts w:hint="eastAsia"/>
        </w:rPr>
        <w:t>4.中介变量</w:t>
      </w:r>
    </w:p>
    <w:p w14:paraId="68221E60" w14:textId="77777777" w:rsidR="00D45CD8" w:rsidRPr="007F7EE4" w:rsidRDefault="00AC3F08">
      <w:pPr>
        <w:ind w:firstLine="422"/>
        <w:rPr>
          <w:iCs/>
        </w:rPr>
      </w:pPr>
      <w:r w:rsidRPr="007F7EE4">
        <w:rPr>
          <w:rFonts w:hint="eastAsia"/>
          <w:b/>
          <w:iCs/>
        </w:rPr>
        <w:t>企业环保投资（</w:t>
      </w:r>
      <w:r w:rsidRPr="007F7EE4">
        <w:rPr>
          <w:rFonts w:hint="eastAsia"/>
          <w:b/>
          <w:iCs/>
        </w:rPr>
        <w:t>EPI</w:t>
      </w:r>
      <w:r w:rsidRPr="007F7EE4">
        <w:rPr>
          <w:rFonts w:hint="eastAsia"/>
          <w:b/>
          <w:iCs/>
        </w:rPr>
        <w:t>）。</w:t>
      </w:r>
      <w:r w:rsidRPr="007F7EE4">
        <w:rPr>
          <w:rFonts w:hint="eastAsia"/>
          <w:iCs/>
        </w:rPr>
        <w:t>学界对环保投资的界定主要是包括企业污染治理、环境管理以及科技创新投入等方面的综合资金支付。既有的研究表明，企业环保投资存在固定资产投资、无形资产投资以及环保管理费用支出等方面，包括环保技术创新过程中的研发支持以及改造支出、污染治理支出以及税费支出等</w:t>
      </w:r>
      <w:r w:rsidRPr="007F7EE4">
        <w:rPr>
          <w:rFonts w:hint="eastAsia"/>
          <w:iCs/>
          <w:vertAlign w:val="superscript"/>
        </w:rPr>
        <w:t>[8]</w:t>
      </w:r>
      <w:r w:rsidRPr="007F7EE4">
        <w:rPr>
          <w:rFonts w:hint="eastAsia"/>
          <w:iCs/>
        </w:rPr>
        <w:t>（李广培等，</w:t>
      </w:r>
      <w:r w:rsidRPr="007F7EE4">
        <w:rPr>
          <w:rFonts w:hint="eastAsia"/>
          <w:iCs/>
        </w:rPr>
        <w:t>2018</w:t>
      </w:r>
      <w:r w:rsidRPr="007F7EE4">
        <w:rPr>
          <w:rFonts w:hint="eastAsia"/>
          <w:iCs/>
        </w:rPr>
        <w:t>）。总体而言，环保投入包括广义视角和狭义视角，广义视角将企业污染治理与税费等作为支出，狭义视角主要是企业用于环保方面的研发投入与管理费用等。学界对环保投入的测算主要从公开披露的《社会责任报告》《环境报告书》《可持续发展报告》中有关环保项目或环境治理费用的资金支出与明细测算环保投入占总投资额中的比重，或者是基于上市公司年度财务报告的管理费用科目明细中分类整理企业环保投入方面的资金支出。本文参考张琦等</w:t>
      </w:r>
      <w:r w:rsidRPr="007F7EE4">
        <w:rPr>
          <w:rFonts w:hint="eastAsia"/>
          <w:iCs/>
          <w:vertAlign w:val="superscript"/>
        </w:rPr>
        <w:t>[39]</w:t>
      </w:r>
      <w:r w:rsidRPr="007F7EE4">
        <w:rPr>
          <w:rFonts w:hint="eastAsia"/>
          <w:iCs/>
        </w:rPr>
        <w:t>（</w:t>
      </w:r>
      <w:r w:rsidRPr="007F7EE4">
        <w:rPr>
          <w:rFonts w:hint="eastAsia"/>
          <w:iCs/>
        </w:rPr>
        <w:t>2019</w:t>
      </w:r>
      <w:r w:rsidRPr="007F7EE4">
        <w:rPr>
          <w:rFonts w:hint="eastAsia"/>
          <w:iCs/>
        </w:rPr>
        <w:t>）和谢东明</w:t>
      </w:r>
      <w:r w:rsidRPr="007F7EE4">
        <w:rPr>
          <w:rFonts w:hint="eastAsia"/>
          <w:iCs/>
          <w:vertAlign w:val="superscript"/>
        </w:rPr>
        <w:t>[40]</w:t>
      </w:r>
      <w:r w:rsidRPr="007F7EE4">
        <w:rPr>
          <w:rFonts w:hint="eastAsia"/>
          <w:iCs/>
        </w:rPr>
        <w:t>（</w:t>
      </w:r>
      <w:r w:rsidRPr="007F7EE4">
        <w:rPr>
          <w:rFonts w:hint="eastAsia"/>
          <w:iCs/>
        </w:rPr>
        <w:t>2020</w:t>
      </w:r>
      <w:r w:rsidRPr="007F7EE4">
        <w:rPr>
          <w:rFonts w:hint="eastAsia"/>
          <w:iCs/>
        </w:rPr>
        <w:t>）对环保投资的测算方法，基于企业环保保护总投资</w:t>
      </w:r>
      <w:r w:rsidRPr="007F7EE4">
        <w:rPr>
          <w:rFonts w:hint="eastAsia"/>
          <w:iCs/>
        </w:rPr>
        <w:t>/</w:t>
      </w:r>
      <w:r w:rsidRPr="007F7EE4">
        <w:rPr>
          <w:rFonts w:hint="eastAsia"/>
          <w:iCs/>
        </w:rPr>
        <w:t>年末总资产衡量企业的环保投资额度。</w:t>
      </w:r>
    </w:p>
    <w:p w14:paraId="7FF42BB4" w14:textId="77777777" w:rsidR="00D45CD8" w:rsidRPr="007F7EE4" w:rsidRDefault="00AC3F08">
      <w:pPr>
        <w:pStyle w:val="3"/>
      </w:pPr>
      <w:r w:rsidRPr="007F7EE4">
        <w:rPr>
          <w:rFonts w:hint="eastAsia"/>
        </w:rPr>
        <w:t>5.控制变量</w:t>
      </w:r>
    </w:p>
    <w:p w14:paraId="553D88A2" w14:textId="77777777" w:rsidR="00D45CD8" w:rsidRPr="007F7EE4" w:rsidRDefault="00AC3F08">
      <w:pPr>
        <w:ind w:firstLine="420"/>
      </w:pPr>
      <w:r w:rsidRPr="007F7EE4">
        <w:rPr>
          <w:rFonts w:hint="eastAsia"/>
        </w:rPr>
        <w:t>根据以往文献</w:t>
      </w:r>
      <w:r w:rsidRPr="007F7EE4">
        <w:rPr>
          <w:rFonts w:hint="eastAsia"/>
          <w:vertAlign w:val="superscript"/>
        </w:rPr>
        <w:t>[41-44]</w:t>
      </w:r>
      <w:r w:rsidRPr="007F7EE4">
        <w:rPr>
          <w:rFonts w:hint="eastAsia"/>
        </w:rPr>
        <w:t>（凌鸿程和孙怡龙，</w:t>
      </w:r>
      <w:r w:rsidRPr="007F7EE4">
        <w:rPr>
          <w:rFonts w:hint="eastAsia"/>
        </w:rPr>
        <w:t>2</w:t>
      </w:r>
      <w:r w:rsidRPr="007F7EE4">
        <w:t>019</w:t>
      </w:r>
      <w:r w:rsidRPr="007F7EE4">
        <w:rPr>
          <w:rFonts w:hint="eastAsia"/>
        </w:rPr>
        <w:t>；于芝麦，</w:t>
      </w:r>
      <w:r w:rsidRPr="007F7EE4">
        <w:rPr>
          <w:rFonts w:hint="eastAsia"/>
        </w:rPr>
        <w:t>2021</w:t>
      </w:r>
      <w:r w:rsidRPr="007F7EE4">
        <w:rPr>
          <w:rFonts w:hint="eastAsia"/>
        </w:rPr>
        <w:t>；苏媛，李广培，</w:t>
      </w:r>
      <w:r w:rsidRPr="007F7EE4">
        <w:rPr>
          <w:rFonts w:hint="eastAsia"/>
        </w:rPr>
        <w:t>2021</w:t>
      </w:r>
      <w:r w:rsidRPr="007F7EE4">
        <w:rPr>
          <w:rFonts w:hint="eastAsia"/>
        </w:rPr>
        <w:t>；沈洪涛等，</w:t>
      </w:r>
      <w:r w:rsidRPr="007F7EE4">
        <w:rPr>
          <w:rFonts w:hint="eastAsia"/>
        </w:rPr>
        <w:t>2017</w:t>
      </w:r>
      <w:r w:rsidRPr="007F7EE4">
        <w:rPr>
          <w:rFonts w:hint="eastAsia"/>
        </w:rPr>
        <w:t>），主要控制如下变量企业财务特征与治理特征相关的变量，包括企业规模、企业成长性、企业资产负债率以及企业产权等因素。</w:t>
      </w:r>
    </w:p>
    <w:p w14:paraId="34AF8C96" w14:textId="77777777" w:rsidR="00D45CD8" w:rsidRPr="007F7EE4" w:rsidRDefault="00AC3F08">
      <w:pPr>
        <w:pStyle w:val="TableCHeading"/>
        <w:numPr>
          <w:ilvl w:val="0"/>
          <w:numId w:val="0"/>
        </w:numPr>
        <w:rPr>
          <w:rFonts w:ascii="宋体" w:hAnsi="宋体"/>
          <w:bCs w:val="0"/>
          <w:szCs w:val="18"/>
        </w:rPr>
      </w:pPr>
      <w:r w:rsidRPr="007F7EE4">
        <w:rPr>
          <w:rFonts w:hint="eastAsia"/>
          <w:szCs w:val="18"/>
        </w:rPr>
        <w:t>表</w:t>
      </w:r>
      <w:r w:rsidRPr="007F7EE4">
        <w:rPr>
          <w:rFonts w:hint="eastAsia"/>
          <w:szCs w:val="18"/>
        </w:rPr>
        <w:t>1</w:t>
      </w:r>
      <w:r w:rsidRPr="007F7EE4">
        <w:rPr>
          <w:szCs w:val="18"/>
        </w:rPr>
        <w:t xml:space="preserve"> </w:t>
      </w:r>
      <w:r w:rsidRPr="007F7EE4">
        <w:rPr>
          <w:rFonts w:hint="eastAsia"/>
          <w:szCs w:val="18"/>
        </w:rPr>
        <w:t>变量定义</w:t>
      </w:r>
    </w:p>
    <w:p w14:paraId="4DB1393F" w14:textId="77777777" w:rsidR="00D45CD8" w:rsidRPr="007F7EE4" w:rsidRDefault="00AC3F08">
      <w:pPr>
        <w:pStyle w:val="TableEHeading"/>
        <w:numPr>
          <w:ilvl w:val="0"/>
          <w:numId w:val="0"/>
        </w:numPr>
        <w:rPr>
          <w:b w:val="0"/>
          <w:bCs w:val="0"/>
        </w:rPr>
      </w:pPr>
      <w:r w:rsidRPr="007F7EE4">
        <w:rPr>
          <w:rFonts w:hint="eastAsia"/>
          <w:b w:val="0"/>
          <w:bCs w:val="0"/>
        </w:rPr>
        <w:t xml:space="preserve">Tab.1 </w:t>
      </w:r>
      <w:r w:rsidRPr="007F7EE4">
        <w:rPr>
          <w:b w:val="0"/>
          <w:bCs w:val="0"/>
        </w:rPr>
        <w:t>Definition of variables</w:t>
      </w:r>
    </w:p>
    <w:tbl>
      <w:tblPr>
        <w:tblStyle w:val="af1"/>
        <w:tblW w:w="85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08"/>
        <w:gridCol w:w="1512"/>
        <w:gridCol w:w="5802"/>
      </w:tblGrid>
      <w:tr w:rsidR="007F7EE4" w:rsidRPr="007F7EE4" w14:paraId="1A531401" w14:textId="77777777">
        <w:tc>
          <w:tcPr>
            <w:tcW w:w="1208" w:type="dxa"/>
            <w:tcBorders>
              <w:bottom w:val="single" w:sz="4" w:space="0" w:color="auto"/>
            </w:tcBorders>
            <w:vAlign w:val="center"/>
          </w:tcPr>
          <w:p w14:paraId="22EE0F2A" w14:textId="77777777" w:rsidR="00D45CD8" w:rsidRPr="007F7EE4" w:rsidRDefault="00AC3F08">
            <w:pPr>
              <w:pStyle w:val="af8"/>
              <w:rPr>
                <w:sz w:val="15"/>
                <w:szCs w:val="15"/>
              </w:rPr>
            </w:pPr>
            <w:r w:rsidRPr="007F7EE4">
              <w:rPr>
                <w:rFonts w:hint="eastAsia"/>
                <w:sz w:val="15"/>
                <w:szCs w:val="15"/>
              </w:rPr>
              <w:lastRenderedPageBreak/>
              <w:t>变量</w:t>
            </w:r>
          </w:p>
        </w:tc>
        <w:tc>
          <w:tcPr>
            <w:tcW w:w="1512" w:type="dxa"/>
            <w:tcBorders>
              <w:bottom w:val="single" w:sz="4" w:space="0" w:color="auto"/>
            </w:tcBorders>
            <w:vAlign w:val="center"/>
          </w:tcPr>
          <w:p w14:paraId="21C8799A" w14:textId="77777777" w:rsidR="00D45CD8" w:rsidRPr="007F7EE4" w:rsidRDefault="00AC3F08">
            <w:pPr>
              <w:pStyle w:val="af8"/>
              <w:rPr>
                <w:sz w:val="15"/>
                <w:szCs w:val="15"/>
              </w:rPr>
            </w:pPr>
            <w:r w:rsidRPr="007F7EE4">
              <w:rPr>
                <w:rFonts w:hint="eastAsia"/>
                <w:sz w:val="15"/>
                <w:szCs w:val="15"/>
              </w:rPr>
              <w:t>变量符号</w:t>
            </w:r>
          </w:p>
        </w:tc>
        <w:tc>
          <w:tcPr>
            <w:tcW w:w="5802" w:type="dxa"/>
            <w:tcBorders>
              <w:bottom w:val="single" w:sz="4" w:space="0" w:color="auto"/>
            </w:tcBorders>
            <w:vAlign w:val="center"/>
          </w:tcPr>
          <w:p w14:paraId="22EDDD64" w14:textId="77777777" w:rsidR="00D45CD8" w:rsidRPr="007F7EE4" w:rsidRDefault="00AC3F08">
            <w:pPr>
              <w:pStyle w:val="af8"/>
              <w:rPr>
                <w:sz w:val="15"/>
                <w:szCs w:val="15"/>
              </w:rPr>
            </w:pPr>
            <w:r w:rsidRPr="007F7EE4">
              <w:rPr>
                <w:rFonts w:hint="eastAsia"/>
                <w:sz w:val="15"/>
                <w:szCs w:val="15"/>
              </w:rPr>
              <w:t>变量定义</w:t>
            </w:r>
          </w:p>
        </w:tc>
      </w:tr>
      <w:tr w:rsidR="007F7EE4" w:rsidRPr="007F7EE4" w14:paraId="36FDC236" w14:textId="77777777">
        <w:tc>
          <w:tcPr>
            <w:tcW w:w="1208" w:type="dxa"/>
            <w:vMerge w:val="restart"/>
            <w:tcBorders>
              <w:bottom w:val="nil"/>
            </w:tcBorders>
            <w:vAlign w:val="center"/>
          </w:tcPr>
          <w:p w14:paraId="00333991" w14:textId="77777777" w:rsidR="00D45CD8" w:rsidRPr="007F7EE4" w:rsidRDefault="00AC3F08">
            <w:pPr>
              <w:pStyle w:val="af8"/>
              <w:rPr>
                <w:sz w:val="15"/>
                <w:szCs w:val="15"/>
              </w:rPr>
            </w:pPr>
            <w:r w:rsidRPr="007F7EE4">
              <w:rPr>
                <w:rFonts w:hint="eastAsia"/>
                <w:sz w:val="15"/>
                <w:szCs w:val="15"/>
              </w:rPr>
              <w:t>被解释变量</w:t>
            </w:r>
          </w:p>
        </w:tc>
        <w:tc>
          <w:tcPr>
            <w:tcW w:w="1512" w:type="dxa"/>
            <w:tcBorders>
              <w:bottom w:val="nil"/>
            </w:tcBorders>
            <w:vAlign w:val="center"/>
          </w:tcPr>
          <w:p w14:paraId="483422ED" w14:textId="77777777" w:rsidR="00D45CD8" w:rsidRPr="007F7EE4" w:rsidRDefault="00AC3F08">
            <w:pPr>
              <w:pStyle w:val="af8"/>
              <w:rPr>
                <w:sz w:val="15"/>
                <w:szCs w:val="15"/>
              </w:rPr>
            </w:pPr>
            <w:proofErr w:type="spellStart"/>
            <w:r w:rsidRPr="007F7EE4">
              <w:rPr>
                <w:sz w:val="15"/>
                <w:szCs w:val="15"/>
              </w:rPr>
              <w:t>lnAGreen</w:t>
            </w:r>
            <w:proofErr w:type="spellEnd"/>
          </w:p>
        </w:tc>
        <w:tc>
          <w:tcPr>
            <w:tcW w:w="5802" w:type="dxa"/>
            <w:tcBorders>
              <w:bottom w:val="nil"/>
            </w:tcBorders>
            <w:vAlign w:val="center"/>
          </w:tcPr>
          <w:p w14:paraId="132CC13B" w14:textId="77777777" w:rsidR="00D45CD8" w:rsidRPr="007F7EE4" w:rsidRDefault="00AC3F08">
            <w:pPr>
              <w:pStyle w:val="af8"/>
              <w:rPr>
                <w:sz w:val="15"/>
                <w:szCs w:val="15"/>
              </w:rPr>
            </w:pPr>
            <w:r w:rsidRPr="007F7EE4">
              <w:rPr>
                <w:rFonts w:hint="eastAsia"/>
                <w:sz w:val="15"/>
                <w:szCs w:val="15"/>
              </w:rPr>
              <w:t>ln</w:t>
            </w:r>
            <w:r w:rsidRPr="007F7EE4">
              <w:rPr>
                <w:rFonts w:hint="eastAsia"/>
                <w:sz w:val="15"/>
                <w:szCs w:val="15"/>
              </w:rPr>
              <w:t>（</w:t>
            </w:r>
            <w:r w:rsidRPr="007F7EE4">
              <w:rPr>
                <w:rFonts w:hint="eastAsia"/>
                <w:sz w:val="15"/>
                <w:szCs w:val="15"/>
              </w:rPr>
              <w:t>1+</w:t>
            </w:r>
            <w:r w:rsidRPr="007F7EE4">
              <w:rPr>
                <w:rFonts w:hint="eastAsia"/>
                <w:sz w:val="15"/>
                <w:szCs w:val="15"/>
              </w:rPr>
              <w:t>绿色专利申请数）</w:t>
            </w:r>
          </w:p>
        </w:tc>
      </w:tr>
      <w:tr w:rsidR="007F7EE4" w:rsidRPr="007F7EE4" w14:paraId="74206D6F" w14:textId="77777777">
        <w:tc>
          <w:tcPr>
            <w:tcW w:w="1208" w:type="dxa"/>
            <w:vMerge/>
            <w:tcBorders>
              <w:top w:val="nil"/>
              <w:bottom w:val="nil"/>
            </w:tcBorders>
            <w:vAlign w:val="center"/>
          </w:tcPr>
          <w:p w14:paraId="401059EC" w14:textId="77777777" w:rsidR="00D45CD8" w:rsidRPr="007F7EE4" w:rsidRDefault="00D45CD8">
            <w:pPr>
              <w:pStyle w:val="af8"/>
              <w:rPr>
                <w:sz w:val="15"/>
                <w:szCs w:val="15"/>
              </w:rPr>
            </w:pPr>
          </w:p>
        </w:tc>
        <w:tc>
          <w:tcPr>
            <w:tcW w:w="1512" w:type="dxa"/>
            <w:tcBorders>
              <w:top w:val="nil"/>
              <w:bottom w:val="nil"/>
            </w:tcBorders>
            <w:vAlign w:val="center"/>
          </w:tcPr>
          <w:p w14:paraId="4E569770" w14:textId="77777777" w:rsidR="00D45CD8" w:rsidRPr="007F7EE4" w:rsidRDefault="00AC3F08">
            <w:pPr>
              <w:pStyle w:val="af8"/>
              <w:rPr>
                <w:sz w:val="15"/>
                <w:szCs w:val="15"/>
              </w:rPr>
            </w:pPr>
            <w:proofErr w:type="spellStart"/>
            <w:r w:rsidRPr="007F7EE4">
              <w:rPr>
                <w:sz w:val="15"/>
                <w:szCs w:val="15"/>
              </w:rPr>
              <w:t>ln</w:t>
            </w:r>
            <w:r w:rsidRPr="007F7EE4">
              <w:rPr>
                <w:rFonts w:hint="eastAsia"/>
                <w:sz w:val="15"/>
                <w:szCs w:val="15"/>
              </w:rPr>
              <w:t>G</w:t>
            </w:r>
            <w:r w:rsidRPr="007F7EE4">
              <w:rPr>
                <w:sz w:val="15"/>
                <w:szCs w:val="15"/>
              </w:rPr>
              <w:t>Green</w:t>
            </w:r>
            <w:proofErr w:type="spellEnd"/>
          </w:p>
        </w:tc>
        <w:tc>
          <w:tcPr>
            <w:tcW w:w="5802" w:type="dxa"/>
            <w:tcBorders>
              <w:top w:val="nil"/>
              <w:bottom w:val="nil"/>
            </w:tcBorders>
            <w:vAlign w:val="center"/>
          </w:tcPr>
          <w:p w14:paraId="6AFC8252" w14:textId="77777777" w:rsidR="00D45CD8" w:rsidRPr="007F7EE4" w:rsidRDefault="00AC3F08">
            <w:pPr>
              <w:pStyle w:val="af8"/>
              <w:rPr>
                <w:sz w:val="15"/>
                <w:szCs w:val="15"/>
              </w:rPr>
            </w:pPr>
            <w:r w:rsidRPr="007F7EE4">
              <w:rPr>
                <w:rFonts w:hint="eastAsia"/>
                <w:sz w:val="15"/>
                <w:szCs w:val="15"/>
              </w:rPr>
              <w:t>ln</w:t>
            </w:r>
            <w:r w:rsidRPr="007F7EE4">
              <w:rPr>
                <w:rFonts w:hint="eastAsia"/>
                <w:sz w:val="15"/>
                <w:szCs w:val="15"/>
              </w:rPr>
              <w:t>（</w:t>
            </w:r>
            <w:r w:rsidRPr="007F7EE4">
              <w:rPr>
                <w:rFonts w:hint="eastAsia"/>
                <w:sz w:val="15"/>
                <w:szCs w:val="15"/>
              </w:rPr>
              <w:t>1+</w:t>
            </w:r>
            <w:r w:rsidRPr="007F7EE4">
              <w:rPr>
                <w:rFonts w:hint="eastAsia"/>
                <w:sz w:val="15"/>
                <w:szCs w:val="15"/>
              </w:rPr>
              <w:t>绿色专利授权数）</w:t>
            </w:r>
          </w:p>
        </w:tc>
      </w:tr>
      <w:tr w:rsidR="007F7EE4" w:rsidRPr="007F7EE4" w14:paraId="7C7D134A" w14:textId="77777777">
        <w:tc>
          <w:tcPr>
            <w:tcW w:w="1208" w:type="dxa"/>
            <w:tcBorders>
              <w:top w:val="nil"/>
              <w:bottom w:val="nil"/>
            </w:tcBorders>
            <w:vAlign w:val="center"/>
          </w:tcPr>
          <w:p w14:paraId="1B134006" w14:textId="77777777" w:rsidR="00D45CD8" w:rsidRPr="007F7EE4" w:rsidRDefault="00AC3F08">
            <w:pPr>
              <w:pStyle w:val="af8"/>
              <w:rPr>
                <w:sz w:val="15"/>
                <w:szCs w:val="15"/>
              </w:rPr>
            </w:pPr>
            <w:r w:rsidRPr="007F7EE4">
              <w:rPr>
                <w:rFonts w:hint="eastAsia"/>
                <w:sz w:val="15"/>
                <w:szCs w:val="15"/>
              </w:rPr>
              <w:t>解释变量</w:t>
            </w:r>
          </w:p>
        </w:tc>
        <w:tc>
          <w:tcPr>
            <w:tcW w:w="1512" w:type="dxa"/>
            <w:tcBorders>
              <w:top w:val="nil"/>
              <w:bottom w:val="nil"/>
            </w:tcBorders>
            <w:vAlign w:val="center"/>
          </w:tcPr>
          <w:p w14:paraId="4C8BF408" w14:textId="77777777" w:rsidR="00D45CD8" w:rsidRPr="007F7EE4" w:rsidRDefault="00AC3F08">
            <w:pPr>
              <w:pStyle w:val="af8"/>
              <w:rPr>
                <w:sz w:val="15"/>
                <w:szCs w:val="15"/>
              </w:rPr>
            </w:pPr>
            <w:proofErr w:type="spellStart"/>
            <w:r w:rsidRPr="007F7EE4">
              <w:rPr>
                <w:sz w:val="15"/>
                <w:szCs w:val="15"/>
              </w:rPr>
              <w:t>ln</w:t>
            </w:r>
            <w:r w:rsidRPr="007F7EE4">
              <w:rPr>
                <w:rFonts w:hint="eastAsia"/>
                <w:sz w:val="15"/>
                <w:szCs w:val="15"/>
              </w:rPr>
              <w:t>CSR</w:t>
            </w:r>
            <w:proofErr w:type="spellEnd"/>
          </w:p>
        </w:tc>
        <w:tc>
          <w:tcPr>
            <w:tcW w:w="5802" w:type="dxa"/>
            <w:tcBorders>
              <w:top w:val="nil"/>
              <w:bottom w:val="nil"/>
            </w:tcBorders>
            <w:vAlign w:val="center"/>
          </w:tcPr>
          <w:p w14:paraId="301DA62F" w14:textId="77777777" w:rsidR="00D45CD8" w:rsidRPr="007F7EE4" w:rsidRDefault="00AC3F08">
            <w:pPr>
              <w:pStyle w:val="af8"/>
              <w:rPr>
                <w:sz w:val="15"/>
                <w:szCs w:val="15"/>
              </w:rPr>
            </w:pPr>
            <w:r w:rsidRPr="007F7EE4">
              <w:rPr>
                <w:rFonts w:hint="eastAsia"/>
                <w:sz w:val="15"/>
                <w:szCs w:val="15"/>
              </w:rPr>
              <w:t>ln</w:t>
            </w:r>
            <w:r w:rsidRPr="007F7EE4">
              <w:rPr>
                <w:rFonts w:hint="eastAsia"/>
                <w:sz w:val="15"/>
                <w:szCs w:val="15"/>
              </w:rPr>
              <w:t>（</w:t>
            </w:r>
            <w:r w:rsidRPr="007F7EE4">
              <w:rPr>
                <w:rFonts w:hint="eastAsia"/>
                <w:sz w:val="15"/>
                <w:szCs w:val="15"/>
              </w:rPr>
              <w:t>1+</w:t>
            </w:r>
            <w:r w:rsidRPr="007F7EE4">
              <w:rPr>
                <w:rFonts w:hint="eastAsia"/>
                <w:sz w:val="15"/>
                <w:szCs w:val="15"/>
              </w:rPr>
              <w:t>和讯网企业社会责任评价总得分）</w:t>
            </w:r>
          </w:p>
        </w:tc>
      </w:tr>
      <w:tr w:rsidR="007F7EE4" w:rsidRPr="007F7EE4" w14:paraId="77240005" w14:textId="77777777">
        <w:tc>
          <w:tcPr>
            <w:tcW w:w="1208" w:type="dxa"/>
            <w:vMerge w:val="restart"/>
            <w:tcBorders>
              <w:top w:val="nil"/>
              <w:bottom w:val="nil"/>
            </w:tcBorders>
            <w:vAlign w:val="center"/>
          </w:tcPr>
          <w:p w14:paraId="655A0341" w14:textId="77777777" w:rsidR="00D45CD8" w:rsidRPr="007F7EE4" w:rsidRDefault="00AC3F08">
            <w:pPr>
              <w:pStyle w:val="af8"/>
              <w:rPr>
                <w:sz w:val="15"/>
                <w:szCs w:val="15"/>
              </w:rPr>
            </w:pPr>
            <w:r w:rsidRPr="007F7EE4">
              <w:rPr>
                <w:rFonts w:hint="eastAsia"/>
                <w:sz w:val="15"/>
                <w:szCs w:val="15"/>
              </w:rPr>
              <w:t>调节变量</w:t>
            </w:r>
          </w:p>
        </w:tc>
        <w:tc>
          <w:tcPr>
            <w:tcW w:w="1512" w:type="dxa"/>
            <w:tcBorders>
              <w:top w:val="nil"/>
              <w:bottom w:val="nil"/>
            </w:tcBorders>
            <w:vAlign w:val="center"/>
          </w:tcPr>
          <w:p w14:paraId="493BBABE" w14:textId="77777777" w:rsidR="00D45CD8" w:rsidRPr="007F7EE4" w:rsidRDefault="00AC3F08">
            <w:pPr>
              <w:pStyle w:val="af8"/>
              <w:rPr>
                <w:sz w:val="15"/>
                <w:szCs w:val="15"/>
              </w:rPr>
            </w:pPr>
            <w:proofErr w:type="spellStart"/>
            <w:r w:rsidRPr="007F7EE4">
              <w:rPr>
                <w:sz w:val="15"/>
                <w:szCs w:val="15"/>
              </w:rPr>
              <w:t>lnMedia</w:t>
            </w:r>
            <w:proofErr w:type="spellEnd"/>
          </w:p>
        </w:tc>
        <w:tc>
          <w:tcPr>
            <w:tcW w:w="5802" w:type="dxa"/>
            <w:tcBorders>
              <w:top w:val="nil"/>
              <w:bottom w:val="nil"/>
            </w:tcBorders>
            <w:vAlign w:val="center"/>
          </w:tcPr>
          <w:p w14:paraId="1377D49B" w14:textId="77777777" w:rsidR="00D45CD8" w:rsidRPr="007F7EE4" w:rsidRDefault="00AC3F08">
            <w:pPr>
              <w:pStyle w:val="af8"/>
              <w:rPr>
                <w:sz w:val="15"/>
                <w:szCs w:val="15"/>
              </w:rPr>
            </w:pPr>
            <w:r w:rsidRPr="007F7EE4">
              <w:rPr>
                <w:rFonts w:hint="eastAsia"/>
                <w:sz w:val="15"/>
                <w:szCs w:val="15"/>
              </w:rPr>
              <w:t>ln</w:t>
            </w:r>
            <w:r w:rsidRPr="007F7EE4">
              <w:rPr>
                <w:rFonts w:hint="eastAsia"/>
                <w:sz w:val="15"/>
                <w:szCs w:val="15"/>
              </w:rPr>
              <w:t>（</w:t>
            </w:r>
            <w:r w:rsidRPr="007F7EE4">
              <w:rPr>
                <w:rFonts w:hint="eastAsia"/>
                <w:sz w:val="15"/>
                <w:szCs w:val="15"/>
              </w:rPr>
              <w:t>1+</w:t>
            </w:r>
            <w:r w:rsidRPr="007F7EE4">
              <w:rPr>
                <w:rFonts w:hint="eastAsia"/>
                <w:sz w:val="15"/>
                <w:szCs w:val="15"/>
              </w:rPr>
              <w:t>媒体报道数）</w:t>
            </w:r>
          </w:p>
        </w:tc>
      </w:tr>
      <w:tr w:rsidR="007F7EE4" w:rsidRPr="007F7EE4" w14:paraId="3BF46AE8" w14:textId="77777777">
        <w:tc>
          <w:tcPr>
            <w:tcW w:w="1208" w:type="dxa"/>
            <w:vMerge/>
            <w:tcBorders>
              <w:top w:val="nil"/>
              <w:bottom w:val="nil"/>
            </w:tcBorders>
            <w:vAlign w:val="center"/>
          </w:tcPr>
          <w:p w14:paraId="3B21A51F" w14:textId="77777777" w:rsidR="00D45CD8" w:rsidRPr="007F7EE4" w:rsidRDefault="00D45CD8">
            <w:pPr>
              <w:pStyle w:val="af8"/>
              <w:rPr>
                <w:sz w:val="15"/>
                <w:szCs w:val="15"/>
              </w:rPr>
            </w:pPr>
          </w:p>
        </w:tc>
        <w:tc>
          <w:tcPr>
            <w:tcW w:w="1512" w:type="dxa"/>
            <w:tcBorders>
              <w:top w:val="nil"/>
              <w:bottom w:val="nil"/>
            </w:tcBorders>
            <w:vAlign w:val="center"/>
          </w:tcPr>
          <w:p w14:paraId="14C85FEB" w14:textId="77777777" w:rsidR="00D45CD8" w:rsidRPr="007F7EE4" w:rsidRDefault="00AC3F08">
            <w:pPr>
              <w:pStyle w:val="af8"/>
              <w:rPr>
                <w:sz w:val="15"/>
                <w:szCs w:val="15"/>
              </w:rPr>
            </w:pPr>
            <w:proofErr w:type="spellStart"/>
            <w:r w:rsidRPr="007F7EE4">
              <w:rPr>
                <w:sz w:val="15"/>
                <w:szCs w:val="15"/>
              </w:rPr>
              <w:t>lnMediaA</w:t>
            </w:r>
            <w:proofErr w:type="spellEnd"/>
          </w:p>
        </w:tc>
        <w:tc>
          <w:tcPr>
            <w:tcW w:w="5802" w:type="dxa"/>
            <w:tcBorders>
              <w:top w:val="nil"/>
              <w:bottom w:val="nil"/>
            </w:tcBorders>
            <w:vAlign w:val="center"/>
          </w:tcPr>
          <w:p w14:paraId="6614830D" w14:textId="77777777" w:rsidR="00D45CD8" w:rsidRPr="007F7EE4" w:rsidRDefault="00AC3F08">
            <w:pPr>
              <w:pStyle w:val="af8"/>
              <w:rPr>
                <w:sz w:val="15"/>
                <w:szCs w:val="15"/>
              </w:rPr>
            </w:pPr>
            <w:r w:rsidRPr="007F7EE4">
              <w:rPr>
                <w:rFonts w:hint="eastAsia"/>
                <w:sz w:val="15"/>
                <w:szCs w:val="15"/>
              </w:rPr>
              <w:t>ln</w:t>
            </w:r>
            <w:r w:rsidRPr="007F7EE4">
              <w:rPr>
                <w:rFonts w:hint="eastAsia"/>
                <w:sz w:val="15"/>
                <w:szCs w:val="15"/>
              </w:rPr>
              <w:t>（</w:t>
            </w:r>
            <w:r w:rsidRPr="007F7EE4">
              <w:rPr>
                <w:rFonts w:hint="eastAsia"/>
                <w:sz w:val="15"/>
                <w:szCs w:val="15"/>
              </w:rPr>
              <w:t>1+</w:t>
            </w:r>
            <w:r w:rsidRPr="007F7EE4">
              <w:rPr>
                <w:rFonts w:hint="eastAsia"/>
                <w:sz w:val="15"/>
                <w:szCs w:val="15"/>
              </w:rPr>
              <w:t>政策媒体报道数）</w:t>
            </w:r>
          </w:p>
        </w:tc>
      </w:tr>
      <w:tr w:rsidR="007F7EE4" w:rsidRPr="007F7EE4" w14:paraId="2A7AF96C" w14:textId="77777777">
        <w:tc>
          <w:tcPr>
            <w:tcW w:w="1208" w:type="dxa"/>
            <w:vMerge/>
            <w:tcBorders>
              <w:top w:val="nil"/>
              <w:bottom w:val="nil"/>
            </w:tcBorders>
            <w:vAlign w:val="center"/>
          </w:tcPr>
          <w:p w14:paraId="2AB61050" w14:textId="77777777" w:rsidR="00D45CD8" w:rsidRPr="007F7EE4" w:rsidRDefault="00D45CD8">
            <w:pPr>
              <w:pStyle w:val="af8"/>
              <w:rPr>
                <w:sz w:val="15"/>
                <w:szCs w:val="15"/>
              </w:rPr>
            </w:pPr>
          </w:p>
        </w:tc>
        <w:tc>
          <w:tcPr>
            <w:tcW w:w="1512" w:type="dxa"/>
            <w:tcBorders>
              <w:top w:val="nil"/>
              <w:bottom w:val="nil"/>
            </w:tcBorders>
            <w:vAlign w:val="center"/>
          </w:tcPr>
          <w:p w14:paraId="259C9239" w14:textId="77777777" w:rsidR="00D45CD8" w:rsidRPr="007F7EE4" w:rsidRDefault="00AC3F08">
            <w:pPr>
              <w:pStyle w:val="af8"/>
              <w:rPr>
                <w:sz w:val="15"/>
                <w:szCs w:val="15"/>
              </w:rPr>
            </w:pPr>
            <w:proofErr w:type="spellStart"/>
            <w:r w:rsidRPr="007F7EE4">
              <w:rPr>
                <w:sz w:val="15"/>
                <w:szCs w:val="15"/>
              </w:rPr>
              <w:t>lnMediaM</w:t>
            </w:r>
            <w:proofErr w:type="spellEnd"/>
          </w:p>
        </w:tc>
        <w:tc>
          <w:tcPr>
            <w:tcW w:w="5802" w:type="dxa"/>
            <w:tcBorders>
              <w:top w:val="nil"/>
              <w:bottom w:val="nil"/>
            </w:tcBorders>
            <w:vAlign w:val="center"/>
          </w:tcPr>
          <w:p w14:paraId="02A2614A" w14:textId="77777777" w:rsidR="00D45CD8" w:rsidRPr="007F7EE4" w:rsidRDefault="00AC3F08">
            <w:pPr>
              <w:pStyle w:val="af8"/>
              <w:rPr>
                <w:sz w:val="15"/>
                <w:szCs w:val="15"/>
              </w:rPr>
            </w:pPr>
            <w:r w:rsidRPr="007F7EE4">
              <w:rPr>
                <w:rFonts w:hint="eastAsia"/>
                <w:sz w:val="15"/>
                <w:szCs w:val="15"/>
              </w:rPr>
              <w:t>ln</w:t>
            </w:r>
            <w:r w:rsidRPr="007F7EE4">
              <w:rPr>
                <w:rFonts w:hint="eastAsia"/>
                <w:sz w:val="15"/>
                <w:szCs w:val="15"/>
              </w:rPr>
              <w:t>（</w:t>
            </w:r>
            <w:r w:rsidRPr="007F7EE4">
              <w:rPr>
                <w:rFonts w:hint="eastAsia"/>
                <w:sz w:val="15"/>
                <w:szCs w:val="15"/>
              </w:rPr>
              <w:t>1+</w:t>
            </w:r>
            <w:r w:rsidRPr="007F7EE4">
              <w:rPr>
                <w:rFonts w:hint="eastAsia"/>
                <w:sz w:val="15"/>
                <w:szCs w:val="15"/>
              </w:rPr>
              <w:t>市场媒体报道数）</w:t>
            </w:r>
          </w:p>
        </w:tc>
      </w:tr>
      <w:tr w:rsidR="007F7EE4" w:rsidRPr="007F7EE4" w14:paraId="75CFD69B" w14:textId="77777777">
        <w:tc>
          <w:tcPr>
            <w:tcW w:w="1208" w:type="dxa"/>
            <w:tcBorders>
              <w:top w:val="nil"/>
              <w:bottom w:val="nil"/>
            </w:tcBorders>
            <w:vAlign w:val="center"/>
          </w:tcPr>
          <w:p w14:paraId="4ABF7E26" w14:textId="77777777" w:rsidR="00D45CD8" w:rsidRPr="007F7EE4" w:rsidRDefault="00AC3F08">
            <w:pPr>
              <w:pStyle w:val="af8"/>
              <w:rPr>
                <w:sz w:val="15"/>
                <w:szCs w:val="15"/>
              </w:rPr>
            </w:pPr>
            <w:r w:rsidRPr="007F7EE4">
              <w:rPr>
                <w:sz w:val="15"/>
                <w:szCs w:val="15"/>
              </w:rPr>
              <w:t>中介变量</w:t>
            </w:r>
          </w:p>
        </w:tc>
        <w:tc>
          <w:tcPr>
            <w:tcW w:w="1512" w:type="dxa"/>
            <w:tcBorders>
              <w:top w:val="nil"/>
              <w:bottom w:val="nil"/>
            </w:tcBorders>
            <w:vAlign w:val="center"/>
          </w:tcPr>
          <w:p w14:paraId="2F576773" w14:textId="77777777" w:rsidR="00D45CD8" w:rsidRPr="007F7EE4" w:rsidRDefault="00AC3F08">
            <w:pPr>
              <w:pStyle w:val="af8"/>
              <w:rPr>
                <w:sz w:val="15"/>
                <w:szCs w:val="15"/>
              </w:rPr>
            </w:pPr>
            <w:r w:rsidRPr="007F7EE4">
              <w:rPr>
                <w:sz w:val="15"/>
                <w:szCs w:val="15"/>
              </w:rPr>
              <w:t>EPI</w:t>
            </w:r>
          </w:p>
        </w:tc>
        <w:tc>
          <w:tcPr>
            <w:tcW w:w="5802" w:type="dxa"/>
            <w:tcBorders>
              <w:top w:val="nil"/>
              <w:bottom w:val="nil"/>
            </w:tcBorders>
            <w:vAlign w:val="center"/>
          </w:tcPr>
          <w:p w14:paraId="472872FB" w14:textId="77777777" w:rsidR="00D45CD8" w:rsidRPr="007F7EE4" w:rsidRDefault="00AC3F08">
            <w:pPr>
              <w:pStyle w:val="af8"/>
              <w:rPr>
                <w:sz w:val="15"/>
                <w:szCs w:val="15"/>
              </w:rPr>
            </w:pPr>
            <w:r w:rsidRPr="007F7EE4">
              <w:rPr>
                <w:rFonts w:hint="eastAsia"/>
                <w:sz w:val="15"/>
                <w:szCs w:val="15"/>
              </w:rPr>
              <w:t>企业环境保护投资</w:t>
            </w:r>
            <w:r w:rsidRPr="007F7EE4">
              <w:rPr>
                <w:rFonts w:hint="eastAsia"/>
                <w:sz w:val="15"/>
                <w:szCs w:val="15"/>
              </w:rPr>
              <w:t>/</w:t>
            </w:r>
            <w:r w:rsidRPr="007F7EE4">
              <w:rPr>
                <w:rFonts w:hint="eastAsia"/>
                <w:sz w:val="15"/>
                <w:szCs w:val="15"/>
              </w:rPr>
              <w:t>总资产</w:t>
            </w:r>
          </w:p>
        </w:tc>
      </w:tr>
      <w:tr w:rsidR="007F7EE4" w:rsidRPr="007F7EE4" w14:paraId="7B45E858" w14:textId="77777777">
        <w:tc>
          <w:tcPr>
            <w:tcW w:w="1208" w:type="dxa"/>
            <w:vMerge w:val="restart"/>
            <w:tcBorders>
              <w:top w:val="nil"/>
              <w:bottom w:val="nil"/>
            </w:tcBorders>
            <w:vAlign w:val="center"/>
          </w:tcPr>
          <w:p w14:paraId="4168E6D4" w14:textId="77777777" w:rsidR="00D45CD8" w:rsidRPr="007F7EE4" w:rsidRDefault="00AC3F08">
            <w:pPr>
              <w:pStyle w:val="af8"/>
              <w:rPr>
                <w:sz w:val="15"/>
                <w:szCs w:val="15"/>
              </w:rPr>
            </w:pPr>
            <w:r w:rsidRPr="007F7EE4">
              <w:rPr>
                <w:rFonts w:hint="eastAsia"/>
                <w:sz w:val="15"/>
                <w:szCs w:val="15"/>
              </w:rPr>
              <w:t>控制变量</w:t>
            </w:r>
          </w:p>
        </w:tc>
        <w:tc>
          <w:tcPr>
            <w:tcW w:w="1512" w:type="dxa"/>
            <w:tcBorders>
              <w:top w:val="nil"/>
              <w:bottom w:val="nil"/>
            </w:tcBorders>
            <w:vAlign w:val="center"/>
          </w:tcPr>
          <w:p w14:paraId="706C29DB" w14:textId="77777777" w:rsidR="00D45CD8" w:rsidRPr="007F7EE4" w:rsidRDefault="00AC3F08">
            <w:pPr>
              <w:pStyle w:val="af8"/>
              <w:rPr>
                <w:sz w:val="15"/>
                <w:szCs w:val="15"/>
              </w:rPr>
            </w:pPr>
            <w:proofErr w:type="spellStart"/>
            <w:r w:rsidRPr="007F7EE4">
              <w:rPr>
                <w:rFonts w:hint="eastAsia"/>
                <w:sz w:val="15"/>
                <w:szCs w:val="15"/>
              </w:rPr>
              <w:t>ln</w:t>
            </w:r>
            <w:r w:rsidRPr="007F7EE4">
              <w:rPr>
                <w:sz w:val="15"/>
                <w:szCs w:val="15"/>
              </w:rPr>
              <w:t>Size</w:t>
            </w:r>
            <w:proofErr w:type="spellEnd"/>
          </w:p>
        </w:tc>
        <w:tc>
          <w:tcPr>
            <w:tcW w:w="5802" w:type="dxa"/>
            <w:tcBorders>
              <w:top w:val="nil"/>
              <w:bottom w:val="nil"/>
            </w:tcBorders>
            <w:vAlign w:val="center"/>
          </w:tcPr>
          <w:p w14:paraId="008EA468" w14:textId="77777777" w:rsidR="00D45CD8" w:rsidRPr="007F7EE4" w:rsidRDefault="00AC3F08">
            <w:pPr>
              <w:pStyle w:val="af8"/>
              <w:rPr>
                <w:sz w:val="15"/>
                <w:szCs w:val="15"/>
              </w:rPr>
            </w:pPr>
            <w:r w:rsidRPr="007F7EE4">
              <w:rPr>
                <w:rFonts w:hint="eastAsia"/>
                <w:sz w:val="15"/>
                <w:szCs w:val="15"/>
              </w:rPr>
              <w:t>员工总数的自然对数</w:t>
            </w:r>
          </w:p>
        </w:tc>
      </w:tr>
      <w:tr w:rsidR="007F7EE4" w:rsidRPr="007F7EE4" w14:paraId="04FBB55C" w14:textId="77777777">
        <w:tc>
          <w:tcPr>
            <w:tcW w:w="1208" w:type="dxa"/>
            <w:vMerge/>
            <w:tcBorders>
              <w:top w:val="nil"/>
              <w:bottom w:val="nil"/>
            </w:tcBorders>
            <w:vAlign w:val="center"/>
          </w:tcPr>
          <w:p w14:paraId="43EF6B82" w14:textId="77777777" w:rsidR="00D45CD8" w:rsidRPr="007F7EE4" w:rsidRDefault="00D45CD8">
            <w:pPr>
              <w:pStyle w:val="af8"/>
              <w:rPr>
                <w:sz w:val="15"/>
                <w:szCs w:val="15"/>
              </w:rPr>
            </w:pPr>
          </w:p>
        </w:tc>
        <w:tc>
          <w:tcPr>
            <w:tcW w:w="1512" w:type="dxa"/>
            <w:tcBorders>
              <w:top w:val="nil"/>
              <w:bottom w:val="nil"/>
            </w:tcBorders>
            <w:vAlign w:val="center"/>
          </w:tcPr>
          <w:p w14:paraId="52FC430D" w14:textId="77777777" w:rsidR="00D45CD8" w:rsidRPr="007F7EE4" w:rsidRDefault="00AC3F08">
            <w:pPr>
              <w:pStyle w:val="af8"/>
              <w:rPr>
                <w:sz w:val="15"/>
                <w:szCs w:val="15"/>
              </w:rPr>
            </w:pPr>
            <w:r w:rsidRPr="007F7EE4">
              <w:rPr>
                <w:sz w:val="15"/>
                <w:szCs w:val="15"/>
              </w:rPr>
              <w:t>Leverage</w:t>
            </w:r>
          </w:p>
        </w:tc>
        <w:tc>
          <w:tcPr>
            <w:tcW w:w="5802" w:type="dxa"/>
            <w:tcBorders>
              <w:top w:val="nil"/>
              <w:bottom w:val="nil"/>
            </w:tcBorders>
            <w:vAlign w:val="center"/>
          </w:tcPr>
          <w:p w14:paraId="32A527FC" w14:textId="77777777" w:rsidR="00D45CD8" w:rsidRPr="007F7EE4" w:rsidRDefault="00AC3F08">
            <w:pPr>
              <w:pStyle w:val="af8"/>
              <w:rPr>
                <w:sz w:val="15"/>
                <w:szCs w:val="15"/>
              </w:rPr>
            </w:pPr>
            <w:r w:rsidRPr="007F7EE4">
              <w:rPr>
                <w:rFonts w:hint="eastAsia"/>
                <w:sz w:val="15"/>
                <w:szCs w:val="15"/>
              </w:rPr>
              <w:t>总负债</w:t>
            </w:r>
            <w:r w:rsidRPr="007F7EE4">
              <w:rPr>
                <w:rFonts w:hint="eastAsia"/>
                <w:sz w:val="15"/>
                <w:szCs w:val="15"/>
              </w:rPr>
              <w:t>/</w:t>
            </w:r>
            <w:r w:rsidRPr="007F7EE4">
              <w:rPr>
                <w:rFonts w:hint="eastAsia"/>
                <w:sz w:val="15"/>
                <w:szCs w:val="15"/>
              </w:rPr>
              <w:t>总资产</w:t>
            </w:r>
          </w:p>
        </w:tc>
      </w:tr>
      <w:tr w:rsidR="007F7EE4" w:rsidRPr="007F7EE4" w14:paraId="71CD0CCB" w14:textId="77777777">
        <w:tc>
          <w:tcPr>
            <w:tcW w:w="1208" w:type="dxa"/>
            <w:vMerge/>
            <w:tcBorders>
              <w:top w:val="nil"/>
              <w:bottom w:val="nil"/>
            </w:tcBorders>
            <w:vAlign w:val="center"/>
          </w:tcPr>
          <w:p w14:paraId="4769307C" w14:textId="77777777" w:rsidR="00D45CD8" w:rsidRPr="007F7EE4" w:rsidRDefault="00D45CD8">
            <w:pPr>
              <w:pStyle w:val="af8"/>
              <w:rPr>
                <w:sz w:val="15"/>
                <w:szCs w:val="15"/>
              </w:rPr>
            </w:pPr>
          </w:p>
        </w:tc>
        <w:tc>
          <w:tcPr>
            <w:tcW w:w="1512" w:type="dxa"/>
            <w:tcBorders>
              <w:top w:val="nil"/>
              <w:bottom w:val="nil"/>
            </w:tcBorders>
            <w:vAlign w:val="center"/>
          </w:tcPr>
          <w:p w14:paraId="2975E961" w14:textId="77777777" w:rsidR="00D45CD8" w:rsidRPr="007F7EE4" w:rsidRDefault="00AC3F08">
            <w:pPr>
              <w:pStyle w:val="af8"/>
              <w:rPr>
                <w:sz w:val="15"/>
                <w:szCs w:val="15"/>
              </w:rPr>
            </w:pPr>
            <w:r w:rsidRPr="007F7EE4">
              <w:rPr>
                <w:sz w:val="15"/>
                <w:szCs w:val="15"/>
              </w:rPr>
              <w:t>Age</w:t>
            </w:r>
          </w:p>
        </w:tc>
        <w:tc>
          <w:tcPr>
            <w:tcW w:w="5802" w:type="dxa"/>
            <w:tcBorders>
              <w:top w:val="nil"/>
              <w:bottom w:val="nil"/>
            </w:tcBorders>
            <w:vAlign w:val="center"/>
          </w:tcPr>
          <w:p w14:paraId="2B86EA08" w14:textId="77777777" w:rsidR="00D45CD8" w:rsidRPr="007F7EE4" w:rsidRDefault="00AC3F08">
            <w:pPr>
              <w:pStyle w:val="af8"/>
              <w:rPr>
                <w:sz w:val="15"/>
                <w:szCs w:val="15"/>
              </w:rPr>
            </w:pPr>
            <w:r w:rsidRPr="007F7EE4">
              <w:rPr>
                <w:rFonts w:hint="eastAsia"/>
                <w:sz w:val="15"/>
                <w:szCs w:val="15"/>
              </w:rPr>
              <w:t>企业上市年限</w:t>
            </w:r>
          </w:p>
        </w:tc>
      </w:tr>
      <w:tr w:rsidR="007F7EE4" w:rsidRPr="007F7EE4" w14:paraId="7CB65209" w14:textId="77777777">
        <w:tc>
          <w:tcPr>
            <w:tcW w:w="1208" w:type="dxa"/>
            <w:vMerge/>
            <w:tcBorders>
              <w:top w:val="nil"/>
              <w:bottom w:val="nil"/>
            </w:tcBorders>
            <w:vAlign w:val="center"/>
          </w:tcPr>
          <w:p w14:paraId="6270CA6B" w14:textId="77777777" w:rsidR="00D45CD8" w:rsidRPr="007F7EE4" w:rsidRDefault="00D45CD8">
            <w:pPr>
              <w:pStyle w:val="af8"/>
              <w:rPr>
                <w:sz w:val="15"/>
                <w:szCs w:val="15"/>
              </w:rPr>
            </w:pPr>
          </w:p>
        </w:tc>
        <w:tc>
          <w:tcPr>
            <w:tcW w:w="1512" w:type="dxa"/>
            <w:tcBorders>
              <w:top w:val="nil"/>
              <w:bottom w:val="nil"/>
            </w:tcBorders>
            <w:vAlign w:val="center"/>
          </w:tcPr>
          <w:p w14:paraId="1C1262AF" w14:textId="77777777" w:rsidR="00D45CD8" w:rsidRPr="007F7EE4" w:rsidRDefault="00AC3F08">
            <w:pPr>
              <w:pStyle w:val="af8"/>
              <w:rPr>
                <w:sz w:val="15"/>
                <w:szCs w:val="15"/>
              </w:rPr>
            </w:pPr>
            <w:r w:rsidRPr="007F7EE4">
              <w:rPr>
                <w:sz w:val="15"/>
                <w:szCs w:val="15"/>
              </w:rPr>
              <w:t>Tangible</w:t>
            </w:r>
          </w:p>
        </w:tc>
        <w:tc>
          <w:tcPr>
            <w:tcW w:w="5802" w:type="dxa"/>
            <w:tcBorders>
              <w:top w:val="nil"/>
              <w:bottom w:val="nil"/>
            </w:tcBorders>
            <w:vAlign w:val="center"/>
          </w:tcPr>
          <w:p w14:paraId="08609810" w14:textId="77777777" w:rsidR="00D45CD8" w:rsidRPr="007F7EE4" w:rsidRDefault="00AC3F08">
            <w:pPr>
              <w:pStyle w:val="af8"/>
              <w:rPr>
                <w:sz w:val="15"/>
                <w:szCs w:val="15"/>
              </w:rPr>
            </w:pPr>
            <w:r w:rsidRPr="007F7EE4">
              <w:rPr>
                <w:rFonts w:hint="eastAsia"/>
                <w:sz w:val="15"/>
                <w:szCs w:val="15"/>
              </w:rPr>
              <w:t>固定资产</w:t>
            </w:r>
            <w:r w:rsidRPr="007F7EE4">
              <w:rPr>
                <w:rFonts w:hint="eastAsia"/>
                <w:sz w:val="15"/>
                <w:szCs w:val="15"/>
              </w:rPr>
              <w:t>/</w:t>
            </w:r>
            <w:r w:rsidRPr="007F7EE4">
              <w:rPr>
                <w:rFonts w:hint="eastAsia"/>
                <w:sz w:val="15"/>
                <w:szCs w:val="15"/>
              </w:rPr>
              <w:t>总资产</w:t>
            </w:r>
          </w:p>
        </w:tc>
      </w:tr>
      <w:tr w:rsidR="007F7EE4" w:rsidRPr="007F7EE4" w14:paraId="4C6CBBAC" w14:textId="77777777">
        <w:tc>
          <w:tcPr>
            <w:tcW w:w="1208" w:type="dxa"/>
            <w:vMerge/>
            <w:tcBorders>
              <w:top w:val="nil"/>
              <w:bottom w:val="nil"/>
            </w:tcBorders>
            <w:vAlign w:val="center"/>
          </w:tcPr>
          <w:p w14:paraId="79761442" w14:textId="77777777" w:rsidR="00D45CD8" w:rsidRPr="007F7EE4" w:rsidRDefault="00D45CD8">
            <w:pPr>
              <w:pStyle w:val="af8"/>
              <w:rPr>
                <w:sz w:val="15"/>
                <w:szCs w:val="15"/>
              </w:rPr>
            </w:pPr>
          </w:p>
        </w:tc>
        <w:tc>
          <w:tcPr>
            <w:tcW w:w="1512" w:type="dxa"/>
            <w:tcBorders>
              <w:top w:val="nil"/>
              <w:bottom w:val="nil"/>
            </w:tcBorders>
            <w:vAlign w:val="center"/>
          </w:tcPr>
          <w:p w14:paraId="41F424E2" w14:textId="77777777" w:rsidR="00D45CD8" w:rsidRPr="007F7EE4" w:rsidRDefault="00AC3F08">
            <w:pPr>
              <w:pStyle w:val="af8"/>
              <w:rPr>
                <w:sz w:val="15"/>
                <w:szCs w:val="15"/>
              </w:rPr>
            </w:pPr>
            <w:r w:rsidRPr="007F7EE4">
              <w:rPr>
                <w:sz w:val="15"/>
                <w:szCs w:val="15"/>
              </w:rPr>
              <w:t>CFO</w:t>
            </w:r>
          </w:p>
        </w:tc>
        <w:tc>
          <w:tcPr>
            <w:tcW w:w="5802" w:type="dxa"/>
            <w:tcBorders>
              <w:top w:val="nil"/>
              <w:bottom w:val="nil"/>
            </w:tcBorders>
            <w:vAlign w:val="center"/>
          </w:tcPr>
          <w:p w14:paraId="4E37C426" w14:textId="77777777" w:rsidR="00D45CD8" w:rsidRPr="007F7EE4" w:rsidRDefault="00AC3F08">
            <w:pPr>
              <w:pStyle w:val="af8"/>
              <w:rPr>
                <w:sz w:val="15"/>
                <w:szCs w:val="15"/>
              </w:rPr>
            </w:pPr>
            <w:r w:rsidRPr="007F7EE4">
              <w:rPr>
                <w:rFonts w:hint="eastAsia"/>
                <w:sz w:val="15"/>
                <w:szCs w:val="15"/>
              </w:rPr>
              <w:t>经营现金流净额</w:t>
            </w:r>
            <w:r w:rsidRPr="007F7EE4">
              <w:rPr>
                <w:rFonts w:hint="eastAsia"/>
                <w:sz w:val="15"/>
                <w:szCs w:val="15"/>
              </w:rPr>
              <w:t>/</w:t>
            </w:r>
            <w:r w:rsidRPr="007F7EE4">
              <w:rPr>
                <w:rFonts w:hint="eastAsia"/>
                <w:sz w:val="15"/>
                <w:szCs w:val="15"/>
              </w:rPr>
              <w:t>总资产</w:t>
            </w:r>
          </w:p>
        </w:tc>
      </w:tr>
      <w:tr w:rsidR="007F7EE4" w:rsidRPr="007F7EE4" w14:paraId="260BA7D9" w14:textId="77777777">
        <w:tc>
          <w:tcPr>
            <w:tcW w:w="1208" w:type="dxa"/>
            <w:vMerge/>
            <w:tcBorders>
              <w:top w:val="nil"/>
              <w:bottom w:val="nil"/>
            </w:tcBorders>
            <w:vAlign w:val="center"/>
          </w:tcPr>
          <w:p w14:paraId="02689579" w14:textId="77777777" w:rsidR="00D45CD8" w:rsidRPr="007F7EE4" w:rsidRDefault="00D45CD8">
            <w:pPr>
              <w:pStyle w:val="af8"/>
              <w:rPr>
                <w:sz w:val="15"/>
                <w:szCs w:val="15"/>
              </w:rPr>
            </w:pPr>
          </w:p>
        </w:tc>
        <w:tc>
          <w:tcPr>
            <w:tcW w:w="1512" w:type="dxa"/>
            <w:tcBorders>
              <w:top w:val="nil"/>
              <w:bottom w:val="nil"/>
            </w:tcBorders>
            <w:vAlign w:val="center"/>
          </w:tcPr>
          <w:p w14:paraId="013AEA39" w14:textId="77777777" w:rsidR="00D45CD8" w:rsidRPr="007F7EE4" w:rsidRDefault="00AC3F08">
            <w:pPr>
              <w:pStyle w:val="af8"/>
              <w:rPr>
                <w:sz w:val="15"/>
                <w:szCs w:val="15"/>
              </w:rPr>
            </w:pPr>
            <w:r w:rsidRPr="007F7EE4">
              <w:rPr>
                <w:sz w:val="15"/>
                <w:szCs w:val="15"/>
              </w:rPr>
              <w:t>R</w:t>
            </w:r>
            <w:r w:rsidRPr="007F7EE4">
              <w:rPr>
                <w:rFonts w:hint="eastAsia"/>
                <w:sz w:val="15"/>
                <w:szCs w:val="15"/>
              </w:rPr>
              <w:t>OA</w:t>
            </w:r>
          </w:p>
        </w:tc>
        <w:tc>
          <w:tcPr>
            <w:tcW w:w="5802" w:type="dxa"/>
            <w:tcBorders>
              <w:top w:val="nil"/>
              <w:bottom w:val="nil"/>
            </w:tcBorders>
            <w:vAlign w:val="center"/>
          </w:tcPr>
          <w:p w14:paraId="4C384714" w14:textId="77777777" w:rsidR="00D45CD8" w:rsidRPr="007F7EE4" w:rsidRDefault="00AC3F08">
            <w:pPr>
              <w:pStyle w:val="af8"/>
              <w:rPr>
                <w:sz w:val="15"/>
                <w:szCs w:val="15"/>
              </w:rPr>
            </w:pPr>
            <w:r w:rsidRPr="007F7EE4">
              <w:rPr>
                <w:rFonts w:hint="eastAsia"/>
                <w:sz w:val="15"/>
                <w:szCs w:val="15"/>
              </w:rPr>
              <w:t>净利润</w:t>
            </w:r>
            <w:r w:rsidRPr="007F7EE4">
              <w:rPr>
                <w:rFonts w:hint="eastAsia"/>
                <w:sz w:val="15"/>
                <w:szCs w:val="15"/>
              </w:rPr>
              <w:t>/</w:t>
            </w:r>
            <w:r w:rsidRPr="007F7EE4">
              <w:rPr>
                <w:rFonts w:hint="eastAsia"/>
                <w:sz w:val="15"/>
                <w:szCs w:val="15"/>
              </w:rPr>
              <w:t>总资产</w:t>
            </w:r>
          </w:p>
        </w:tc>
      </w:tr>
      <w:tr w:rsidR="00D45CD8" w:rsidRPr="007F7EE4" w14:paraId="6181EAAB" w14:textId="77777777">
        <w:tc>
          <w:tcPr>
            <w:tcW w:w="1208" w:type="dxa"/>
            <w:vMerge/>
            <w:tcBorders>
              <w:top w:val="nil"/>
            </w:tcBorders>
            <w:vAlign w:val="center"/>
          </w:tcPr>
          <w:p w14:paraId="2832F18C" w14:textId="77777777" w:rsidR="00D45CD8" w:rsidRPr="007F7EE4" w:rsidRDefault="00D45CD8">
            <w:pPr>
              <w:pStyle w:val="af8"/>
              <w:rPr>
                <w:sz w:val="15"/>
                <w:szCs w:val="15"/>
              </w:rPr>
            </w:pPr>
          </w:p>
        </w:tc>
        <w:tc>
          <w:tcPr>
            <w:tcW w:w="1512" w:type="dxa"/>
            <w:tcBorders>
              <w:top w:val="nil"/>
            </w:tcBorders>
            <w:vAlign w:val="center"/>
          </w:tcPr>
          <w:p w14:paraId="456946CD" w14:textId="77777777" w:rsidR="00D45CD8" w:rsidRPr="007F7EE4" w:rsidRDefault="00AC3F08">
            <w:pPr>
              <w:pStyle w:val="af8"/>
              <w:rPr>
                <w:sz w:val="15"/>
                <w:szCs w:val="15"/>
              </w:rPr>
            </w:pPr>
            <w:r w:rsidRPr="007F7EE4">
              <w:rPr>
                <w:sz w:val="15"/>
                <w:szCs w:val="15"/>
              </w:rPr>
              <w:t>S</w:t>
            </w:r>
            <w:r w:rsidRPr="007F7EE4">
              <w:rPr>
                <w:rFonts w:hint="eastAsia"/>
                <w:sz w:val="15"/>
                <w:szCs w:val="15"/>
              </w:rPr>
              <w:t>OE</w:t>
            </w:r>
          </w:p>
        </w:tc>
        <w:tc>
          <w:tcPr>
            <w:tcW w:w="5802" w:type="dxa"/>
            <w:tcBorders>
              <w:top w:val="nil"/>
            </w:tcBorders>
            <w:vAlign w:val="center"/>
          </w:tcPr>
          <w:p w14:paraId="72CDF020" w14:textId="77777777" w:rsidR="00D45CD8" w:rsidRPr="007F7EE4" w:rsidRDefault="00AC3F08">
            <w:pPr>
              <w:pStyle w:val="af8"/>
              <w:rPr>
                <w:sz w:val="15"/>
                <w:szCs w:val="15"/>
              </w:rPr>
            </w:pPr>
            <w:r w:rsidRPr="007F7EE4">
              <w:rPr>
                <w:rFonts w:hint="eastAsia"/>
                <w:sz w:val="15"/>
                <w:szCs w:val="15"/>
              </w:rPr>
              <w:t>如果实际控制人为国有企业，则取</w:t>
            </w:r>
            <w:r w:rsidRPr="007F7EE4">
              <w:rPr>
                <w:rFonts w:hint="eastAsia"/>
                <w:sz w:val="15"/>
                <w:szCs w:val="15"/>
              </w:rPr>
              <w:t>1</w:t>
            </w:r>
            <w:r w:rsidRPr="007F7EE4">
              <w:rPr>
                <w:rFonts w:hint="eastAsia"/>
                <w:sz w:val="15"/>
                <w:szCs w:val="15"/>
              </w:rPr>
              <w:t>，否则取</w:t>
            </w:r>
            <w:r w:rsidRPr="007F7EE4">
              <w:rPr>
                <w:rFonts w:hint="eastAsia"/>
                <w:sz w:val="15"/>
                <w:szCs w:val="15"/>
              </w:rPr>
              <w:t>0</w:t>
            </w:r>
          </w:p>
        </w:tc>
      </w:tr>
    </w:tbl>
    <w:p w14:paraId="50148374" w14:textId="77777777" w:rsidR="00D45CD8" w:rsidRPr="007F7EE4" w:rsidRDefault="00D45CD8">
      <w:pPr>
        <w:pStyle w:val="af6"/>
      </w:pPr>
    </w:p>
    <w:p w14:paraId="3E03D11B" w14:textId="77777777" w:rsidR="00D45CD8" w:rsidRPr="007F7EE4" w:rsidRDefault="00AC3F08">
      <w:pPr>
        <w:pStyle w:val="2"/>
      </w:pPr>
      <w:r w:rsidRPr="007F7EE4">
        <w:rPr>
          <w:rFonts w:hint="eastAsia"/>
        </w:rPr>
        <w:t>（三）模型设定</w:t>
      </w:r>
    </w:p>
    <w:p w14:paraId="3379DC17" w14:textId="77777777" w:rsidR="00D45CD8" w:rsidRPr="007F7EE4" w:rsidRDefault="00AC3F08">
      <w:pPr>
        <w:ind w:firstLine="420"/>
        <w:rPr>
          <w:rFonts w:cs="Times New Roman"/>
          <w:szCs w:val="21"/>
        </w:rPr>
      </w:pPr>
      <w:r w:rsidRPr="007F7EE4">
        <w:rPr>
          <w:rFonts w:cs="Times New Roman"/>
          <w:szCs w:val="21"/>
        </w:rPr>
        <w:t>本文设定模型（</w:t>
      </w:r>
      <w:r w:rsidRPr="007F7EE4">
        <w:rPr>
          <w:rFonts w:cs="Times New Roman"/>
          <w:szCs w:val="21"/>
        </w:rPr>
        <w:t>1</w:t>
      </w:r>
      <w:r w:rsidRPr="007F7EE4">
        <w:rPr>
          <w:rFonts w:cs="Times New Roman"/>
          <w:szCs w:val="21"/>
        </w:rPr>
        <w:t>）至模型（</w:t>
      </w:r>
      <w:r w:rsidRPr="007F7EE4">
        <w:rPr>
          <w:rFonts w:cs="Times New Roman" w:hint="eastAsia"/>
          <w:szCs w:val="21"/>
        </w:rPr>
        <w:t>2</w:t>
      </w:r>
      <w:r w:rsidRPr="007F7EE4">
        <w:rPr>
          <w:rFonts w:cs="Times New Roman"/>
          <w:szCs w:val="21"/>
        </w:rPr>
        <w:t>），分别用于检验假设</w:t>
      </w:r>
      <w:r w:rsidRPr="007F7EE4">
        <w:rPr>
          <w:rFonts w:cs="Times New Roman" w:hint="eastAsia"/>
          <w:szCs w:val="21"/>
        </w:rPr>
        <w:t>H1</w:t>
      </w:r>
      <w:r w:rsidRPr="007F7EE4">
        <w:rPr>
          <w:rFonts w:cs="Times New Roman"/>
          <w:szCs w:val="21"/>
        </w:rPr>
        <w:t>至假设</w:t>
      </w:r>
      <w:r w:rsidRPr="007F7EE4">
        <w:rPr>
          <w:rFonts w:cs="Times New Roman" w:hint="eastAsia"/>
          <w:szCs w:val="21"/>
        </w:rPr>
        <w:t>H2</w:t>
      </w:r>
      <w:r w:rsidRPr="007F7EE4">
        <w:rPr>
          <w:rFonts w:cs="Times New Roman" w:hint="eastAsia"/>
          <w:szCs w:val="21"/>
        </w:rPr>
        <w:t>，</w:t>
      </w:r>
      <w:r w:rsidRPr="007F7EE4">
        <w:rPr>
          <w:rFonts w:cs="Times New Roman"/>
          <w:szCs w:val="21"/>
        </w:rPr>
        <w:t>具体模型设定如下：</w:t>
      </w:r>
    </w:p>
    <w:p w14:paraId="64FD2BAE" w14:textId="77777777" w:rsidR="00D45CD8" w:rsidRPr="007F7EE4" w:rsidRDefault="00000000">
      <w:pPr>
        <w:ind w:firstLineChars="95" w:firstLine="199"/>
        <w:jc w:val="right"/>
        <w:rPr>
          <w:rFonts w:cs="Times New Roman"/>
          <w:szCs w:val="21"/>
        </w:rPr>
      </w:pPr>
      <m:oMath>
        <m:sSub>
          <m:sSubPr>
            <m:ctrlPr>
              <w:rPr>
                <w:rFonts w:ascii="Cambria Math" w:hAnsi="Cambria Math" w:cs="Times New Roman"/>
                <w:szCs w:val="24"/>
              </w:rPr>
            </m:ctrlPr>
          </m:sSubPr>
          <m:e>
            <m:r>
              <w:rPr>
                <w:rFonts w:ascii="Cambria Math" w:hAnsi="Cambria Math" w:cs="Times New Roman"/>
                <w:szCs w:val="24"/>
              </w:rPr>
              <m:t>Green</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CSR</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Control</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it</m:t>
            </m:r>
          </m:sub>
        </m:sSub>
      </m:oMath>
      <w:r w:rsidR="00AC3F08" w:rsidRPr="007F7EE4">
        <w:rPr>
          <w:rFonts w:cs="Times New Roman" w:hint="eastAsia"/>
          <w:szCs w:val="24"/>
        </w:rPr>
        <w:t xml:space="preserve"> </w:t>
      </w:r>
      <w:r w:rsidR="00AC3F08" w:rsidRPr="007F7EE4">
        <w:rPr>
          <w:rFonts w:cs="Times New Roman"/>
          <w:szCs w:val="24"/>
        </w:rPr>
        <w:t xml:space="preserve">                </w:t>
      </w:r>
      <w:r w:rsidR="00AC3F08" w:rsidRPr="007F7EE4">
        <w:rPr>
          <w:rFonts w:cs="Times New Roman"/>
          <w:szCs w:val="24"/>
        </w:rPr>
        <w:t>（</w:t>
      </w:r>
      <w:r w:rsidR="00AC3F08" w:rsidRPr="007F7EE4">
        <w:rPr>
          <w:rFonts w:cs="Times New Roman"/>
          <w:szCs w:val="24"/>
        </w:rPr>
        <w:t>1</w:t>
      </w:r>
      <w:r w:rsidR="00AC3F08" w:rsidRPr="007F7EE4">
        <w:rPr>
          <w:rFonts w:cs="Times New Roman"/>
          <w:szCs w:val="24"/>
        </w:rPr>
        <w:t>）</w:t>
      </w:r>
    </w:p>
    <w:p w14:paraId="5F819D6F" w14:textId="77777777" w:rsidR="00D45CD8" w:rsidRPr="007F7EE4" w:rsidRDefault="00000000">
      <w:pPr>
        <w:ind w:firstLine="420"/>
        <w:jc w:val="right"/>
        <w:rPr>
          <w:rFonts w:cs="Times New Roman"/>
          <w:szCs w:val="24"/>
        </w:rPr>
      </w:pPr>
      <m:oMath>
        <m:sSub>
          <m:sSubPr>
            <m:ctrlPr>
              <w:rPr>
                <w:rFonts w:ascii="Cambria Math" w:hAnsi="Cambria Math" w:cs="Times New Roman"/>
                <w:szCs w:val="24"/>
              </w:rPr>
            </m:ctrlPr>
          </m:sSubPr>
          <m:e>
            <m:r>
              <w:rPr>
                <w:rFonts w:ascii="Cambria Math" w:hAnsi="Cambria Math" w:cs="Times New Roman"/>
                <w:szCs w:val="24"/>
              </w:rPr>
              <m:t>Green</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CSR</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Media</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3</m:t>
            </m:r>
          </m:sub>
        </m:sSub>
        <m:sSub>
          <m:sSubPr>
            <m:ctrlPr>
              <w:rPr>
                <w:rFonts w:ascii="Cambria Math" w:hAnsi="Cambria Math" w:cs="Times New Roman"/>
                <w:szCs w:val="24"/>
              </w:rPr>
            </m:ctrlPr>
          </m:sSubPr>
          <m:e>
            <m:r>
              <w:rPr>
                <w:rFonts w:ascii="Cambria Math" w:hAnsi="Cambria Math" w:cs="Times New Roman"/>
                <w:szCs w:val="24"/>
              </w:rPr>
              <m:t>Media</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CSR</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Control</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it</m:t>
            </m:r>
          </m:sub>
        </m:sSub>
      </m:oMath>
      <w:r w:rsidR="00AC3F08" w:rsidRPr="007F7EE4">
        <w:rPr>
          <w:rFonts w:cs="Times New Roman" w:hint="eastAsia"/>
          <w:szCs w:val="24"/>
        </w:rPr>
        <w:t xml:space="preserve"> </w:t>
      </w:r>
      <w:r w:rsidR="00AC3F08" w:rsidRPr="007F7EE4">
        <w:rPr>
          <w:rFonts w:cs="Times New Roman"/>
          <w:szCs w:val="24"/>
        </w:rPr>
        <w:t>（</w:t>
      </w:r>
      <w:r w:rsidR="00AC3F08" w:rsidRPr="007F7EE4">
        <w:rPr>
          <w:rFonts w:cs="Times New Roman"/>
          <w:szCs w:val="24"/>
        </w:rPr>
        <w:t>2</w:t>
      </w:r>
      <w:r w:rsidR="00AC3F08" w:rsidRPr="007F7EE4">
        <w:rPr>
          <w:rFonts w:cs="Times New Roman"/>
          <w:szCs w:val="24"/>
        </w:rPr>
        <w:t>）</w:t>
      </w:r>
    </w:p>
    <w:p w14:paraId="0A818265" w14:textId="77777777" w:rsidR="00D45CD8" w:rsidRPr="007F7EE4" w:rsidRDefault="00000000">
      <w:pPr>
        <w:ind w:firstLine="420"/>
        <w:jc w:val="right"/>
        <w:rPr>
          <w:rFonts w:cs="Times New Roman"/>
          <w:szCs w:val="21"/>
        </w:rPr>
      </w:pPr>
      <m:oMath>
        <m:sSub>
          <m:sSubPr>
            <m:ctrlPr>
              <w:rPr>
                <w:rFonts w:ascii="Cambria Math" w:hAnsi="Cambria Math" w:cs="Times New Roman"/>
                <w:szCs w:val="21"/>
              </w:rPr>
            </m:ctrlPr>
          </m:sSubPr>
          <m:e>
            <m:r>
              <w:rPr>
                <w:rFonts w:ascii="Cambria Math" w:hAnsi="Cambria Math" w:cs="Times New Roman"/>
                <w:szCs w:val="21"/>
              </w:rPr>
              <m:t>EPI</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α</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α</m:t>
            </m:r>
          </m:e>
          <m:sub>
            <m:r>
              <w:rPr>
                <w:rFonts w:ascii="Cambria Math" w:hAnsi="Cambria Math" w:cs="Times New Roman"/>
                <w:szCs w:val="21"/>
              </w:rPr>
              <m:t>1</m:t>
            </m:r>
          </m:sub>
        </m:sSub>
        <m:sSub>
          <m:sSubPr>
            <m:ctrlPr>
              <w:rPr>
                <w:rFonts w:ascii="Cambria Math" w:hAnsi="Cambria Math" w:cs="Times New Roman"/>
                <w:szCs w:val="21"/>
              </w:rPr>
            </m:ctrlPr>
          </m:sSubPr>
          <m:e>
            <m:r>
              <w:rPr>
                <w:rFonts w:ascii="Cambria Math" w:hAnsi="Cambria Math" w:cs="Times New Roman"/>
                <w:szCs w:val="21"/>
              </w:rPr>
              <m:t>CSR</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i</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Control</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ε</m:t>
            </m:r>
          </m:e>
          <m:sub>
            <m:r>
              <w:rPr>
                <w:rFonts w:ascii="Cambria Math" w:hAnsi="Cambria Math" w:cs="Times New Roman"/>
                <w:szCs w:val="21"/>
              </w:rPr>
              <m:t>it</m:t>
            </m:r>
          </m:sub>
        </m:sSub>
      </m:oMath>
      <w:r w:rsidR="00AC3F08" w:rsidRPr="007F7EE4">
        <w:rPr>
          <w:rFonts w:cs="Times New Roman" w:hint="eastAsia"/>
          <w:szCs w:val="21"/>
        </w:rPr>
        <w:t xml:space="preserve"> </w:t>
      </w:r>
      <w:r w:rsidR="00AC3F08" w:rsidRPr="007F7EE4">
        <w:rPr>
          <w:rFonts w:cs="Times New Roman"/>
          <w:szCs w:val="21"/>
        </w:rPr>
        <w:t xml:space="preserve">                </w:t>
      </w:r>
      <w:r w:rsidR="00AC3F08" w:rsidRPr="007F7EE4">
        <w:rPr>
          <w:rFonts w:cs="Times New Roman"/>
          <w:szCs w:val="21"/>
        </w:rPr>
        <w:t>（</w:t>
      </w:r>
      <w:r w:rsidR="00AC3F08" w:rsidRPr="007F7EE4">
        <w:rPr>
          <w:rFonts w:cs="Times New Roman" w:hint="eastAsia"/>
          <w:szCs w:val="21"/>
        </w:rPr>
        <w:t>3</w:t>
      </w:r>
      <w:r w:rsidR="00AC3F08" w:rsidRPr="007F7EE4">
        <w:rPr>
          <w:rFonts w:cs="Times New Roman"/>
          <w:szCs w:val="21"/>
        </w:rPr>
        <w:t>）</w:t>
      </w:r>
    </w:p>
    <w:p w14:paraId="257412B7" w14:textId="77777777" w:rsidR="00D45CD8" w:rsidRPr="007F7EE4" w:rsidRDefault="00000000">
      <w:pPr>
        <w:ind w:firstLineChars="95" w:firstLine="199"/>
        <w:jc w:val="right"/>
        <w:rPr>
          <w:rFonts w:cs="Times New Roman"/>
          <w:szCs w:val="21"/>
        </w:rPr>
      </w:pPr>
      <m:oMath>
        <m:sSub>
          <m:sSubPr>
            <m:ctrlPr>
              <w:rPr>
                <w:rFonts w:ascii="Cambria Math" w:hAnsi="Cambria Math" w:cs="Times New Roman"/>
                <w:szCs w:val="24"/>
              </w:rPr>
            </m:ctrlPr>
          </m:sSubPr>
          <m:e>
            <m:r>
              <w:rPr>
                <w:rFonts w:ascii="Cambria Math" w:hAnsi="Cambria Math" w:cs="Times New Roman"/>
                <w:szCs w:val="24"/>
              </w:rPr>
              <m:t>Green</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CSR</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1"/>
              </w:rPr>
            </m:ctrlPr>
          </m:sSubPr>
          <m:e>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2</m:t>
                </m:r>
              </m:sub>
            </m:sSub>
            <m:r>
              <w:rPr>
                <w:rFonts w:ascii="Cambria Math" w:hAnsi="Cambria Math" w:cs="Times New Roman"/>
                <w:szCs w:val="21"/>
              </w:rPr>
              <m:t>EPI</m:t>
            </m:r>
          </m:e>
          <m:sub>
            <m:r>
              <w:rPr>
                <w:rFonts w:ascii="Cambria Math" w:hAnsi="Cambria Math" w:cs="Times New Roman"/>
                <w:szCs w:val="21"/>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Control</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it</m:t>
            </m:r>
          </m:sub>
        </m:sSub>
      </m:oMath>
      <w:r w:rsidR="00AC3F08" w:rsidRPr="007F7EE4">
        <w:rPr>
          <w:rFonts w:cs="Times New Roman" w:hint="eastAsia"/>
          <w:szCs w:val="24"/>
        </w:rPr>
        <w:t xml:space="preserve"> </w:t>
      </w:r>
      <w:r w:rsidR="00AC3F08" w:rsidRPr="007F7EE4">
        <w:rPr>
          <w:rFonts w:cs="Times New Roman"/>
          <w:szCs w:val="24"/>
        </w:rPr>
        <w:t xml:space="preserve">            </w:t>
      </w:r>
      <w:r w:rsidR="00AC3F08" w:rsidRPr="007F7EE4">
        <w:rPr>
          <w:rFonts w:cs="Times New Roman"/>
          <w:szCs w:val="24"/>
        </w:rPr>
        <w:t>（</w:t>
      </w:r>
      <w:r w:rsidR="00AC3F08" w:rsidRPr="007F7EE4">
        <w:rPr>
          <w:rFonts w:cs="Times New Roman" w:hint="eastAsia"/>
          <w:szCs w:val="24"/>
        </w:rPr>
        <w:t>4</w:t>
      </w:r>
      <w:r w:rsidR="00AC3F08" w:rsidRPr="007F7EE4">
        <w:rPr>
          <w:rFonts w:cs="Times New Roman"/>
          <w:szCs w:val="24"/>
        </w:rPr>
        <w:t>）</w:t>
      </w:r>
    </w:p>
    <w:p w14:paraId="70FECEE5" w14:textId="77777777" w:rsidR="00D45CD8" w:rsidRPr="007F7EE4" w:rsidRDefault="00AC3F08">
      <w:pPr>
        <w:ind w:firstLine="420"/>
      </w:pPr>
      <w:r w:rsidRPr="007F7EE4">
        <w:rPr>
          <w:rFonts w:cs="Times New Roman"/>
        </w:rPr>
        <w:t>其中，模型（</w:t>
      </w:r>
      <w:r w:rsidRPr="007F7EE4">
        <w:rPr>
          <w:rFonts w:cs="Times New Roman"/>
        </w:rPr>
        <w:t>1</w:t>
      </w:r>
      <w:r w:rsidRPr="007F7EE4">
        <w:rPr>
          <w:rFonts w:cs="Times New Roman"/>
        </w:rPr>
        <w:t>）主要是检验研究假设</w:t>
      </w:r>
      <w:r w:rsidRPr="007F7EE4">
        <w:rPr>
          <w:rFonts w:cs="Times New Roman"/>
        </w:rPr>
        <w:t>H1</w:t>
      </w:r>
      <w:r w:rsidRPr="007F7EE4">
        <w:rPr>
          <w:rFonts w:cs="Times New Roman"/>
        </w:rPr>
        <w:t>，即被解释变量为</w:t>
      </w:r>
      <w:r w:rsidRPr="007F7EE4">
        <w:rPr>
          <w:rFonts w:cs="Times New Roman" w:hint="eastAsia"/>
        </w:rPr>
        <w:t>企业绿色技术创新</w:t>
      </w:r>
      <w:r w:rsidRPr="007F7EE4">
        <w:rPr>
          <w:rFonts w:cs="Times New Roman"/>
        </w:rPr>
        <w:t>（</w:t>
      </w:r>
      <w:r w:rsidRPr="007F7EE4">
        <w:rPr>
          <w:rFonts w:cs="Times New Roman" w:hint="eastAsia"/>
        </w:rPr>
        <w:t>Green</w:t>
      </w:r>
      <w:r w:rsidRPr="007F7EE4">
        <w:rPr>
          <w:rFonts w:cs="Times New Roman"/>
        </w:rPr>
        <w:t>），解释变量为企业社会责任</w:t>
      </w:r>
      <w:r w:rsidRPr="007F7EE4">
        <w:rPr>
          <w:rFonts w:cs="Times New Roman" w:hint="eastAsia"/>
        </w:rPr>
        <w:t>（</w:t>
      </w:r>
      <w:r w:rsidRPr="007F7EE4">
        <w:rPr>
          <w:rFonts w:cs="Times New Roman" w:hint="eastAsia"/>
        </w:rPr>
        <w:t>CSR</w:t>
      </w:r>
      <w:r w:rsidRPr="007F7EE4">
        <w:rPr>
          <w:rFonts w:cs="Times New Roman" w:hint="eastAsia"/>
        </w:rPr>
        <w:t>）</w:t>
      </w:r>
      <w:r w:rsidRPr="007F7EE4">
        <w:rPr>
          <w:rFonts w:cs="Times New Roman"/>
        </w:rPr>
        <w:t>；模型（</w:t>
      </w:r>
      <w:r w:rsidRPr="007F7EE4">
        <w:rPr>
          <w:rFonts w:cs="Times New Roman"/>
        </w:rPr>
        <w:t>2</w:t>
      </w:r>
      <w:r w:rsidRPr="007F7EE4">
        <w:rPr>
          <w:rFonts w:cs="Times New Roman"/>
        </w:rPr>
        <w:t>）的被解释变量是</w:t>
      </w:r>
      <w:r w:rsidRPr="007F7EE4">
        <w:rPr>
          <w:rFonts w:cs="Times New Roman" w:hint="eastAsia"/>
        </w:rPr>
        <w:t>企业</w:t>
      </w:r>
      <w:r w:rsidRPr="007F7EE4">
        <w:rPr>
          <w:rFonts w:cs="Times New Roman"/>
        </w:rPr>
        <w:t>绿色技术创新，解释变量是为企业社会责任（</w:t>
      </w:r>
      <w:r w:rsidRPr="007F7EE4">
        <w:rPr>
          <w:rFonts w:cs="Times New Roman" w:hint="eastAsia"/>
        </w:rPr>
        <w:t>CSR</w:t>
      </w:r>
      <w:r w:rsidRPr="007F7EE4">
        <w:rPr>
          <w:rFonts w:cs="Times New Roman"/>
        </w:rPr>
        <w:t>），调节变量是</w:t>
      </w:r>
      <w:r w:rsidRPr="007F7EE4">
        <w:rPr>
          <w:rFonts w:cs="Times New Roman" w:hint="eastAsia"/>
        </w:rPr>
        <w:t>媒体关注</w:t>
      </w:r>
      <w:r w:rsidRPr="007F7EE4">
        <w:rPr>
          <w:rFonts w:cs="Times New Roman"/>
        </w:rPr>
        <w:t>（</w:t>
      </w:r>
      <w:r w:rsidRPr="007F7EE4">
        <w:rPr>
          <w:rFonts w:cs="Times New Roman"/>
        </w:rPr>
        <w:t>Media</w:t>
      </w:r>
      <w:r w:rsidRPr="007F7EE4">
        <w:rPr>
          <w:rFonts w:cs="Times New Roman"/>
        </w:rPr>
        <w:t>）</w:t>
      </w:r>
      <w:r w:rsidRPr="007F7EE4">
        <w:rPr>
          <w:rFonts w:cs="Times New Roman" w:hint="eastAsia"/>
        </w:rPr>
        <w:t>，</w:t>
      </w:r>
      <w:r w:rsidRPr="007F7EE4">
        <w:rPr>
          <w:rFonts w:cs="Times New Roman"/>
        </w:rPr>
        <w:t>包括</w:t>
      </w:r>
      <w:r w:rsidRPr="007F7EE4">
        <w:rPr>
          <w:rFonts w:cs="Times New Roman" w:hint="eastAsia"/>
        </w:rPr>
        <w:t>包括总媒体关注（</w:t>
      </w:r>
      <w:proofErr w:type="spellStart"/>
      <w:r w:rsidRPr="007F7EE4">
        <w:rPr>
          <w:rFonts w:cs="Times New Roman" w:hint="eastAsia"/>
        </w:rPr>
        <w:t>lnMedia</w:t>
      </w:r>
      <w:proofErr w:type="spellEnd"/>
      <w:r w:rsidRPr="007F7EE4">
        <w:rPr>
          <w:rFonts w:cs="Times New Roman" w:hint="eastAsia"/>
        </w:rPr>
        <w:t>）、政策类媒体关注（</w:t>
      </w:r>
      <w:proofErr w:type="spellStart"/>
      <w:r w:rsidRPr="007F7EE4">
        <w:rPr>
          <w:rFonts w:cs="Times New Roman"/>
        </w:rPr>
        <w:t>lnMediaA</w:t>
      </w:r>
      <w:proofErr w:type="spellEnd"/>
      <w:r w:rsidRPr="007F7EE4">
        <w:rPr>
          <w:rFonts w:cs="Times New Roman" w:hint="eastAsia"/>
        </w:rPr>
        <w:t>）、市场类媒体关注（</w:t>
      </w:r>
      <w:proofErr w:type="spellStart"/>
      <w:r w:rsidRPr="007F7EE4">
        <w:rPr>
          <w:rFonts w:cs="Times New Roman"/>
        </w:rPr>
        <w:t>lnMediaM</w:t>
      </w:r>
      <w:proofErr w:type="spellEnd"/>
      <w:r w:rsidRPr="007F7EE4">
        <w:rPr>
          <w:rFonts w:cs="Times New Roman" w:hint="eastAsia"/>
        </w:rPr>
        <w:t>）</w:t>
      </w:r>
      <w:r w:rsidRPr="007F7EE4">
        <w:rPr>
          <w:rFonts w:cs="Times New Roman"/>
        </w:rPr>
        <w:t>，进而检验本文提出的研究假设</w:t>
      </w:r>
      <w:r w:rsidRPr="007F7EE4">
        <w:rPr>
          <w:rFonts w:cs="Times New Roman"/>
        </w:rPr>
        <w:t>H2</w:t>
      </w:r>
      <w:r w:rsidRPr="007F7EE4">
        <w:rPr>
          <w:rFonts w:cs="Times New Roman" w:hint="eastAsia"/>
        </w:rPr>
        <w:t>；模型（</w:t>
      </w:r>
      <w:r w:rsidRPr="007F7EE4">
        <w:rPr>
          <w:rFonts w:cs="Times New Roman" w:hint="eastAsia"/>
        </w:rPr>
        <w:t>3</w:t>
      </w:r>
      <w:r w:rsidRPr="007F7EE4">
        <w:rPr>
          <w:rFonts w:cs="Times New Roman" w:hint="eastAsia"/>
        </w:rPr>
        <w:t>）</w:t>
      </w:r>
      <w:r w:rsidRPr="007F7EE4">
        <w:rPr>
          <w:rFonts w:cs="Times New Roman" w:hint="eastAsia"/>
        </w:rPr>
        <w:t>-</w:t>
      </w:r>
      <w:r w:rsidRPr="007F7EE4">
        <w:rPr>
          <w:rFonts w:cs="Times New Roman" w:hint="eastAsia"/>
        </w:rPr>
        <w:t>（</w:t>
      </w:r>
      <w:r w:rsidRPr="007F7EE4">
        <w:rPr>
          <w:rFonts w:cs="Times New Roman" w:hint="eastAsia"/>
        </w:rPr>
        <w:t>4</w:t>
      </w:r>
      <w:r w:rsidRPr="007F7EE4">
        <w:rPr>
          <w:rFonts w:cs="Times New Roman" w:hint="eastAsia"/>
        </w:rPr>
        <w:t>）检验企业环保投入在企业社会责任与企业绿色技术创新之间的中介效应，其中模型（</w:t>
      </w:r>
      <w:r w:rsidRPr="007F7EE4">
        <w:rPr>
          <w:rFonts w:cs="Times New Roman" w:hint="eastAsia"/>
        </w:rPr>
        <w:t>3</w:t>
      </w:r>
      <w:r w:rsidRPr="007F7EE4">
        <w:rPr>
          <w:rFonts w:cs="Times New Roman" w:hint="eastAsia"/>
        </w:rPr>
        <w:t>）的被解释变量是环保投入（</w:t>
      </w:r>
      <w:r w:rsidRPr="007F7EE4">
        <w:rPr>
          <w:rFonts w:cs="Times New Roman" w:hint="eastAsia"/>
        </w:rPr>
        <w:t>EPI</w:t>
      </w:r>
      <w:r w:rsidRPr="007F7EE4">
        <w:rPr>
          <w:rFonts w:cs="Times New Roman" w:hint="eastAsia"/>
        </w:rPr>
        <w:t>），解释变量是企业社会责任（</w:t>
      </w:r>
      <w:r w:rsidRPr="007F7EE4">
        <w:rPr>
          <w:rFonts w:cs="Times New Roman" w:hint="eastAsia"/>
        </w:rPr>
        <w:t>CSR</w:t>
      </w:r>
      <w:r w:rsidRPr="007F7EE4">
        <w:rPr>
          <w:rFonts w:cs="Times New Roman" w:hint="eastAsia"/>
        </w:rPr>
        <w:t>）；模型（</w:t>
      </w:r>
      <w:r w:rsidRPr="007F7EE4">
        <w:rPr>
          <w:rFonts w:cs="Times New Roman" w:hint="eastAsia"/>
        </w:rPr>
        <w:t>4</w:t>
      </w:r>
      <w:r w:rsidRPr="007F7EE4">
        <w:rPr>
          <w:rFonts w:cs="Times New Roman" w:hint="eastAsia"/>
        </w:rPr>
        <w:t>）的被解释变量是企业绿色技术创新，解释变量是企业社会责任与企业环保投入，模型（</w:t>
      </w:r>
      <w:r w:rsidRPr="007F7EE4">
        <w:rPr>
          <w:rFonts w:cs="Times New Roman" w:hint="eastAsia"/>
        </w:rPr>
        <w:t>1</w:t>
      </w:r>
      <w:r w:rsidRPr="007F7EE4">
        <w:rPr>
          <w:rFonts w:cs="Times New Roman" w:hint="eastAsia"/>
        </w:rPr>
        <w:t>）</w:t>
      </w:r>
      <w:r w:rsidRPr="007F7EE4">
        <w:rPr>
          <w:rFonts w:cs="Times New Roman" w:hint="eastAsia"/>
        </w:rPr>
        <w:t>-</w:t>
      </w:r>
      <w:r w:rsidRPr="007F7EE4">
        <w:rPr>
          <w:rFonts w:cs="Times New Roman" w:hint="eastAsia"/>
        </w:rPr>
        <w:t>（</w:t>
      </w:r>
      <w:r w:rsidRPr="007F7EE4">
        <w:rPr>
          <w:rFonts w:cs="Times New Roman" w:hint="eastAsia"/>
        </w:rPr>
        <w:t>4</w:t>
      </w:r>
      <w:r w:rsidRPr="007F7EE4">
        <w:rPr>
          <w:rFonts w:cs="Times New Roman" w:hint="eastAsia"/>
        </w:rPr>
        <w:t>）的</w:t>
      </w:r>
      <m:oMath>
        <m:sSub>
          <m:sSubPr>
            <m:ctrlPr>
              <w:rPr>
                <w:rFonts w:ascii="Cambria Math" w:hAnsi="Cambria Math" w:cs="Times New Roman"/>
                <w:szCs w:val="24"/>
              </w:rPr>
            </m:ctrlPr>
          </m:sSubPr>
          <m:e>
            <m:r>
              <w:rPr>
                <w:rFonts w:ascii="Cambria Math" w:hAnsi="Cambria Math" w:cs="Times New Roman"/>
                <w:szCs w:val="24"/>
              </w:rPr>
              <m:t>Control</m:t>
            </m:r>
          </m:e>
          <m:sub>
            <m:r>
              <w:rPr>
                <w:rFonts w:ascii="Cambria Math" w:hAnsi="Cambria Math" w:cs="Times New Roman"/>
                <w:szCs w:val="24"/>
              </w:rPr>
              <m:t>it</m:t>
            </m:r>
          </m:sub>
        </m:sSub>
      </m:oMath>
      <w:r w:rsidRPr="007F7EE4">
        <w:rPr>
          <w:rFonts w:cs="Times New Roman"/>
          <w:szCs w:val="24"/>
        </w:rPr>
        <w:t>为本文选取的控制变量</w:t>
      </w:r>
      <w:r w:rsidR="00163351" w:rsidRPr="007F7EE4">
        <w:rPr>
          <w:rFonts w:cs="Times New Roman" w:hint="eastAsia"/>
          <w:szCs w:val="24"/>
        </w:rPr>
        <w:t>，ε为模型的残差项，</w:t>
      </w:r>
      <w:proofErr w:type="spellStart"/>
      <w:r w:rsidR="00163351" w:rsidRPr="007F7EE4">
        <w:rPr>
          <w:rFonts w:cs="Times New Roman" w:hint="eastAsia"/>
          <w:szCs w:val="24"/>
        </w:rPr>
        <w:t>i</w:t>
      </w:r>
      <w:proofErr w:type="spellEnd"/>
      <w:r w:rsidR="00163351" w:rsidRPr="007F7EE4">
        <w:rPr>
          <w:rFonts w:cs="Times New Roman" w:hint="eastAsia"/>
          <w:szCs w:val="24"/>
        </w:rPr>
        <w:t>为企业，</w:t>
      </w:r>
      <w:r w:rsidR="00163351" w:rsidRPr="007F7EE4">
        <w:rPr>
          <w:rFonts w:cs="Times New Roman" w:hint="eastAsia"/>
          <w:szCs w:val="24"/>
        </w:rPr>
        <w:t>t</w:t>
      </w:r>
      <w:r w:rsidR="00163351" w:rsidRPr="007F7EE4">
        <w:rPr>
          <w:rFonts w:cs="Times New Roman" w:hint="eastAsia"/>
          <w:szCs w:val="24"/>
        </w:rPr>
        <w:t>为时间</w:t>
      </w:r>
      <w:r w:rsidRPr="007F7EE4">
        <w:rPr>
          <w:rFonts w:cs="Times New Roman" w:hint="eastAsia"/>
          <w:szCs w:val="24"/>
        </w:rPr>
        <w:t>。</w:t>
      </w:r>
    </w:p>
    <w:p w14:paraId="7A540DEA" w14:textId="77777777" w:rsidR="00D45CD8" w:rsidRPr="007F7EE4" w:rsidRDefault="00AC3F08">
      <w:pPr>
        <w:pStyle w:val="1"/>
        <w:jc w:val="center"/>
        <w:rPr>
          <w:b/>
        </w:rPr>
      </w:pPr>
      <w:r w:rsidRPr="007F7EE4">
        <w:rPr>
          <w:rFonts w:hint="eastAsia"/>
          <w:b/>
        </w:rPr>
        <w:t>四、实证结果及解释</w:t>
      </w:r>
    </w:p>
    <w:p w14:paraId="05A6CB6A" w14:textId="77777777" w:rsidR="00D45CD8" w:rsidRPr="007F7EE4" w:rsidRDefault="00AC3F08">
      <w:pPr>
        <w:pStyle w:val="2"/>
      </w:pPr>
      <w:r w:rsidRPr="007F7EE4">
        <w:rPr>
          <w:rFonts w:hint="eastAsia"/>
        </w:rPr>
        <w:t>（一）描述性统计分析</w:t>
      </w:r>
    </w:p>
    <w:p w14:paraId="6AD6494B" w14:textId="77777777" w:rsidR="00D45CD8" w:rsidRPr="007F7EE4" w:rsidRDefault="00AC3F08">
      <w:pPr>
        <w:ind w:firstLine="420"/>
      </w:pPr>
      <w:r w:rsidRPr="007F7EE4">
        <w:rPr>
          <w:rFonts w:cs="Times New Roman"/>
          <w:kern w:val="0"/>
          <w:szCs w:val="21"/>
        </w:rPr>
        <w:t>表</w:t>
      </w:r>
      <w:r w:rsidRPr="007F7EE4">
        <w:rPr>
          <w:rFonts w:cs="Times New Roman"/>
          <w:kern w:val="0"/>
          <w:szCs w:val="21"/>
        </w:rPr>
        <w:t>2</w:t>
      </w:r>
      <w:r w:rsidRPr="007F7EE4">
        <w:rPr>
          <w:rFonts w:cs="Times New Roman"/>
          <w:kern w:val="0"/>
          <w:szCs w:val="21"/>
        </w:rPr>
        <w:t>报告了主要变量的描述性统计结果。从表</w:t>
      </w:r>
      <w:r w:rsidRPr="007F7EE4">
        <w:rPr>
          <w:rFonts w:cs="Times New Roman" w:hint="eastAsia"/>
          <w:kern w:val="0"/>
          <w:szCs w:val="21"/>
        </w:rPr>
        <w:t>2</w:t>
      </w:r>
      <w:r w:rsidRPr="007F7EE4">
        <w:rPr>
          <w:rFonts w:cs="Times New Roman"/>
          <w:kern w:val="0"/>
          <w:szCs w:val="21"/>
        </w:rPr>
        <w:t>中可以看出，在解释变量和讯企业社会责任绩效（</w:t>
      </w:r>
      <w:proofErr w:type="spellStart"/>
      <w:r w:rsidRPr="007F7EE4">
        <w:rPr>
          <w:rFonts w:cs="Times New Roman" w:hint="eastAsia"/>
          <w:kern w:val="0"/>
          <w:szCs w:val="21"/>
        </w:rPr>
        <w:t>LnCSR</w:t>
      </w:r>
      <w:proofErr w:type="spellEnd"/>
      <w:r w:rsidRPr="007F7EE4">
        <w:rPr>
          <w:rFonts w:cs="Times New Roman"/>
          <w:kern w:val="0"/>
          <w:szCs w:val="21"/>
        </w:rPr>
        <w:t>）的均值为</w:t>
      </w:r>
      <w:r w:rsidRPr="007F7EE4">
        <w:rPr>
          <w:rFonts w:cs="Times New Roman" w:hint="eastAsia"/>
          <w:kern w:val="0"/>
          <w:szCs w:val="21"/>
        </w:rPr>
        <w:t>3.100</w:t>
      </w:r>
      <w:r w:rsidRPr="007F7EE4">
        <w:rPr>
          <w:rFonts w:cs="Times New Roman"/>
          <w:kern w:val="0"/>
          <w:szCs w:val="21"/>
        </w:rPr>
        <w:t>，最大值为</w:t>
      </w:r>
      <w:r w:rsidRPr="007F7EE4">
        <w:rPr>
          <w:rFonts w:cs="Times New Roman" w:hint="eastAsia"/>
          <w:kern w:val="0"/>
          <w:szCs w:val="21"/>
        </w:rPr>
        <w:t>4.331</w:t>
      </w:r>
      <w:r w:rsidRPr="007F7EE4">
        <w:rPr>
          <w:rFonts w:cs="Times New Roman"/>
          <w:kern w:val="0"/>
          <w:szCs w:val="21"/>
        </w:rPr>
        <w:t>，标准差为</w:t>
      </w:r>
      <w:r w:rsidRPr="007F7EE4">
        <w:rPr>
          <w:rFonts w:cs="Times New Roman" w:hint="eastAsia"/>
          <w:kern w:val="0"/>
          <w:szCs w:val="21"/>
        </w:rPr>
        <w:t>0.679</w:t>
      </w:r>
      <w:r w:rsidRPr="007F7EE4">
        <w:rPr>
          <w:rFonts w:cs="Times New Roman"/>
          <w:kern w:val="0"/>
          <w:szCs w:val="21"/>
        </w:rPr>
        <w:t>，足以说明本研究中的样本企业中企业社会责任绩效表现具有较大的差异；被解释变量</w:t>
      </w:r>
      <w:r w:rsidRPr="007F7EE4">
        <w:rPr>
          <w:rFonts w:cs="Times New Roman" w:hint="eastAsia"/>
          <w:kern w:val="0"/>
          <w:szCs w:val="21"/>
        </w:rPr>
        <w:t>企业绿色技术创新中，企业绿色专利申请与绿色专利授权的均值分别为</w:t>
      </w:r>
      <w:r w:rsidRPr="007F7EE4">
        <w:rPr>
          <w:rFonts w:cs="Times New Roman" w:hint="eastAsia"/>
          <w:kern w:val="0"/>
          <w:szCs w:val="21"/>
        </w:rPr>
        <w:t>0.792</w:t>
      </w:r>
      <w:r w:rsidRPr="007F7EE4">
        <w:rPr>
          <w:rFonts w:cs="Times New Roman" w:hint="eastAsia"/>
          <w:kern w:val="0"/>
          <w:szCs w:val="21"/>
        </w:rPr>
        <w:t>和</w:t>
      </w:r>
      <w:r w:rsidRPr="007F7EE4">
        <w:rPr>
          <w:rFonts w:cs="Times New Roman" w:hint="eastAsia"/>
          <w:kern w:val="0"/>
          <w:szCs w:val="21"/>
        </w:rPr>
        <w:t>0.647</w:t>
      </w:r>
      <w:r w:rsidRPr="007F7EE4">
        <w:rPr>
          <w:rFonts w:cs="Times New Roman" w:hint="eastAsia"/>
          <w:kern w:val="0"/>
          <w:szCs w:val="21"/>
        </w:rPr>
        <w:t>，标准差为</w:t>
      </w:r>
      <w:r w:rsidRPr="007F7EE4">
        <w:rPr>
          <w:rFonts w:cs="Times New Roman" w:hint="eastAsia"/>
          <w:kern w:val="0"/>
          <w:szCs w:val="21"/>
        </w:rPr>
        <w:t>1.138</w:t>
      </w:r>
      <w:r w:rsidRPr="007F7EE4">
        <w:rPr>
          <w:rFonts w:cs="Times New Roman" w:hint="eastAsia"/>
          <w:kern w:val="0"/>
          <w:szCs w:val="21"/>
        </w:rPr>
        <w:t>和</w:t>
      </w:r>
      <w:r w:rsidRPr="007F7EE4">
        <w:rPr>
          <w:rFonts w:cs="Times New Roman" w:hint="eastAsia"/>
          <w:kern w:val="0"/>
          <w:szCs w:val="21"/>
        </w:rPr>
        <w:t>0.997</w:t>
      </w:r>
      <w:r w:rsidRPr="007F7EE4">
        <w:rPr>
          <w:rFonts w:cs="Times New Roman" w:hint="eastAsia"/>
          <w:kern w:val="0"/>
          <w:szCs w:val="21"/>
        </w:rPr>
        <w:t>，说明不管是绿色专利申请还是绿色专利授权，都呈现出较大程度的差异性，且绿色专利申请与授权的中位数为</w:t>
      </w:r>
      <w:r w:rsidRPr="007F7EE4">
        <w:rPr>
          <w:rFonts w:cs="Times New Roman" w:hint="eastAsia"/>
          <w:kern w:val="0"/>
          <w:szCs w:val="21"/>
        </w:rPr>
        <w:t>0</w:t>
      </w:r>
      <w:r w:rsidRPr="007F7EE4">
        <w:rPr>
          <w:rFonts w:cs="Times New Roman" w:hint="eastAsia"/>
          <w:kern w:val="0"/>
          <w:szCs w:val="21"/>
        </w:rPr>
        <w:t>，说明上市公司中存在较大程度的样本缺乏绿色专利申请与授权，即上市企业绿色技术创新程度依然偏低，总体上依然处于传统要素驱动向绿色技术创新要素驱动的转型期。调节变量中，政府导向型媒体关注与市场导向型媒体关注的均值分别为</w:t>
      </w:r>
      <w:r w:rsidRPr="007F7EE4">
        <w:rPr>
          <w:rFonts w:cs="Times New Roman" w:hint="eastAsia"/>
          <w:kern w:val="0"/>
          <w:szCs w:val="21"/>
        </w:rPr>
        <w:t>1.565</w:t>
      </w:r>
      <w:r w:rsidRPr="007F7EE4">
        <w:rPr>
          <w:rFonts w:cs="Times New Roman" w:hint="eastAsia"/>
          <w:kern w:val="0"/>
          <w:szCs w:val="21"/>
        </w:rPr>
        <w:t>和</w:t>
      </w:r>
      <w:r w:rsidRPr="007F7EE4">
        <w:rPr>
          <w:rFonts w:cs="Times New Roman" w:hint="eastAsia"/>
          <w:kern w:val="0"/>
          <w:szCs w:val="21"/>
        </w:rPr>
        <w:t>3.159</w:t>
      </w:r>
      <w:r w:rsidRPr="007F7EE4">
        <w:rPr>
          <w:rFonts w:cs="Times New Roman" w:hint="eastAsia"/>
          <w:kern w:val="0"/>
          <w:szCs w:val="21"/>
        </w:rPr>
        <w:t>，其标准差分</w:t>
      </w:r>
      <w:r w:rsidRPr="007F7EE4">
        <w:rPr>
          <w:rFonts w:cs="Times New Roman" w:hint="eastAsia"/>
          <w:kern w:val="0"/>
          <w:szCs w:val="21"/>
        </w:rPr>
        <w:t>1.094</w:t>
      </w:r>
      <w:r w:rsidRPr="007F7EE4">
        <w:rPr>
          <w:rFonts w:cs="Times New Roman" w:hint="eastAsia"/>
          <w:kern w:val="0"/>
          <w:szCs w:val="21"/>
        </w:rPr>
        <w:t>和</w:t>
      </w:r>
      <w:r w:rsidRPr="007F7EE4">
        <w:rPr>
          <w:rFonts w:cs="Times New Roman" w:hint="eastAsia"/>
          <w:kern w:val="0"/>
          <w:szCs w:val="21"/>
        </w:rPr>
        <w:t>1.379</w:t>
      </w:r>
      <w:r w:rsidRPr="007F7EE4">
        <w:rPr>
          <w:rFonts w:cs="Times New Roman" w:hint="eastAsia"/>
          <w:kern w:val="0"/>
          <w:szCs w:val="21"/>
        </w:rPr>
        <w:t>，总体上政府导向型媒体关注与市场导向型媒体关注的差异性较大，说明不同上市企业其在运营管理过程中获得媒体报道的差异性较大。中介变量企</w:t>
      </w:r>
      <w:r w:rsidRPr="007F7EE4">
        <w:rPr>
          <w:rFonts w:cs="Times New Roman" w:hint="eastAsia"/>
          <w:kern w:val="0"/>
          <w:szCs w:val="21"/>
        </w:rPr>
        <w:lastRenderedPageBreak/>
        <w:t>业环保投入（</w:t>
      </w:r>
      <w:r w:rsidRPr="007F7EE4">
        <w:rPr>
          <w:rFonts w:cs="Times New Roman" w:hint="eastAsia"/>
          <w:kern w:val="0"/>
          <w:szCs w:val="21"/>
        </w:rPr>
        <w:t>EPI</w:t>
      </w:r>
      <w:r w:rsidRPr="007F7EE4">
        <w:rPr>
          <w:rFonts w:cs="Times New Roman" w:hint="eastAsia"/>
          <w:kern w:val="0"/>
          <w:szCs w:val="21"/>
        </w:rPr>
        <w:t>）的均值为</w:t>
      </w:r>
      <w:r w:rsidRPr="007F7EE4">
        <w:rPr>
          <w:rFonts w:cs="Times New Roman" w:hint="eastAsia"/>
          <w:kern w:val="0"/>
          <w:szCs w:val="21"/>
        </w:rPr>
        <w:t>0.168</w:t>
      </w:r>
      <w:r w:rsidRPr="007F7EE4">
        <w:rPr>
          <w:rFonts w:cs="Times New Roman" w:hint="eastAsia"/>
          <w:kern w:val="0"/>
          <w:szCs w:val="21"/>
        </w:rPr>
        <w:t>，标准差为</w:t>
      </w:r>
      <w:r w:rsidRPr="007F7EE4">
        <w:rPr>
          <w:rFonts w:cs="Times New Roman" w:hint="eastAsia"/>
          <w:kern w:val="0"/>
          <w:szCs w:val="21"/>
        </w:rPr>
        <w:t>1.129</w:t>
      </w:r>
      <w:r w:rsidRPr="007F7EE4">
        <w:rPr>
          <w:rFonts w:cs="Times New Roman" w:hint="eastAsia"/>
          <w:kern w:val="0"/>
          <w:szCs w:val="21"/>
        </w:rPr>
        <w:t>，说明上市公司的环保投入依然存在较大程度的差异性，从中位数来看大量的上市企业缺乏相应的环保投入。其它控制变量中企业规模、年龄以及公司成长性等分布特征不尽相同，且样本中的国有企业均值为</w:t>
      </w:r>
      <w:r w:rsidRPr="007F7EE4">
        <w:rPr>
          <w:rFonts w:cs="Times New Roman" w:hint="eastAsia"/>
          <w:kern w:val="0"/>
          <w:szCs w:val="21"/>
        </w:rPr>
        <w:t>0.381</w:t>
      </w:r>
      <w:r w:rsidRPr="007F7EE4">
        <w:rPr>
          <w:rFonts w:cs="Times New Roman" w:hint="eastAsia"/>
          <w:kern w:val="0"/>
          <w:szCs w:val="21"/>
        </w:rPr>
        <w:t>，说明样本中大部分为民营企业。</w:t>
      </w:r>
    </w:p>
    <w:p w14:paraId="39C6AD65"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t xml:space="preserve">2 </w:t>
      </w:r>
      <w:r w:rsidRPr="007F7EE4">
        <w:rPr>
          <w:rFonts w:hint="eastAsia"/>
        </w:rPr>
        <w:t>描述性统计</w:t>
      </w:r>
    </w:p>
    <w:p w14:paraId="15F6CBF1" w14:textId="77777777" w:rsidR="00D45CD8" w:rsidRPr="007F7EE4" w:rsidRDefault="00D45CD8">
      <w:pPr>
        <w:pStyle w:val="TableEHeading"/>
        <w:numPr>
          <w:ilvl w:val="0"/>
          <w:numId w:val="0"/>
        </w:numPr>
        <w:rPr>
          <w:b w:val="0"/>
          <w:bCs w:val="0"/>
        </w:rPr>
      </w:pPr>
    </w:p>
    <w:tbl>
      <w:tblPr>
        <w:tblStyle w:val="af1"/>
        <w:tblW w:w="85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0"/>
        <w:gridCol w:w="910"/>
        <w:gridCol w:w="914"/>
        <w:gridCol w:w="912"/>
        <w:gridCol w:w="914"/>
        <w:gridCol w:w="914"/>
        <w:gridCol w:w="912"/>
        <w:gridCol w:w="914"/>
        <w:gridCol w:w="912"/>
      </w:tblGrid>
      <w:tr w:rsidR="007F7EE4" w:rsidRPr="007F7EE4" w14:paraId="15F0C70A" w14:textId="77777777">
        <w:tc>
          <w:tcPr>
            <w:tcW w:w="1220" w:type="dxa"/>
            <w:tcBorders>
              <w:top w:val="single" w:sz="4" w:space="0" w:color="auto"/>
              <w:bottom w:val="single" w:sz="4" w:space="0" w:color="auto"/>
            </w:tcBorders>
            <w:vAlign w:val="center"/>
          </w:tcPr>
          <w:p w14:paraId="37FAA4A2" w14:textId="77777777" w:rsidR="00D45CD8" w:rsidRPr="007F7EE4" w:rsidRDefault="00AC3F08">
            <w:pPr>
              <w:pStyle w:val="af8"/>
              <w:rPr>
                <w:sz w:val="15"/>
                <w:szCs w:val="15"/>
              </w:rPr>
            </w:pPr>
            <w:r w:rsidRPr="007F7EE4">
              <w:rPr>
                <w:rFonts w:hint="eastAsia"/>
                <w:sz w:val="15"/>
                <w:szCs w:val="15"/>
              </w:rPr>
              <w:t>变量</w:t>
            </w:r>
          </w:p>
        </w:tc>
        <w:tc>
          <w:tcPr>
            <w:tcW w:w="910" w:type="dxa"/>
            <w:tcBorders>
              <w:top w:val="single" w:sz="4" w:space="0" w:color="auto"/>
              <w:bottom w:val="single" w:sz="4" w:space="0" w:color="auto"/>
            </w:tcBorders>
            <w:vAlign w:val="center"/>
          </w:tcPr>
          <w:p w14:paraId="258AAAA7" w14:textId="77777777" w:rsidR="00D45CD8" w:rsidRPr="007F7EE4" w:rsidRDefault="00AC3F08">
            <w:pPr>
              <w:pStyle w:val="af8"/>
              <w:rPr>
                <w:sz w:val="15"/>
                <w:szCs w:val="15"/>
              </w:rPr>
            </w:pPr>
            <w:r w:rsidRPr="007F7EE4">
              <w:rPr>
                <w:rFonts w:hint="eastAsia"/>
                <w:sz w:val="15"/>
                <w:szCs w:val="15"/>
              </w:rPr>
              <w:t>样本</w:t>
            </w:r>
          </w:p>
        </w:tc>
        <w:tc>
          <w:tcPr>
            <w:tcW w:w="914" w:type="dxa"/>
            <w:tcBorders>
              <w:top w:val="single" w:sz="4" w:space="0" w:color="auto"/>
              <w:bottom w:val="single" w:sz="4" w:space="0" w:color="auto"/>
            </w:tcBorders>
            <w:vAlign w:val="center"/>
          </w:tcPr>
          <w:p w14:paraId="53C18D4D" w14:textId="77777777" w:rsidR="00D45CD8" w:rsidRPr="007F7EE4" w:rsidRDefault="00AC3F08">
            <w:pPr>
              <w:pStyle w:val="af8"/>
              <w:rPr>
                <w:sz w:val="15"/>
                <w:szCs w:val="15"/>
              </w:rPr>
            </w:pPr>
            <w:r w:rsidRPr="007F7EE4">
              <w:rPr>
                <w:rFonts w:hint="eastAsia"/>
                <w:sz w:val="15"/>
                <w:szCs w:val="15"/>
              </w:rPr>
              <w:t>均值</w:t>
            </w:r>
          </w:p>
        </w:tc>
        <w:tc>
          <w:tcPr>
            <w:tcW w:w="912" w:type="dxa"/>
            <w:tcBorders>
              <w:top w:val="single" w:sz="4" w:space="0" w:color="auto"/>
              <w:bottom w:val="single" w:sz="4" w:space="0" w:color="auto"/>
            </w:tcBorders>
            <w:vAlign w:val="center"/>
          </w:tcPr>
          <w:p w14:paraId="4356AB7F" w14:textId="77777777" w:rsidR="00D45CD8" w:rsidRPr="007F7EE4" w:rsidRDefault="00AC3F08">
            <w:pPr>
              <w:pStyle w:val="af8"/>
              <w:rPr>
                <w:sz w:val="15"/>
                <w:szCs w:val="15"/>
              </w:rPr>
            </w:pPr>
            <w:r w:rsidRPr="007F7EE4">
              <w:rPr>
                <w:rFonts w:hint="eastAsia"/>
                <w:sz w:val="15"/>
                <w:szCs w:val="15"/>
              </w:rPr>
              <w:t>标准差</w:t>
            </w:r>
          </w:p>
        </w:tc>
        <w:tc>
          <w:tcPr>
            <w:tcW w:w="914" w:type="dxa"/>
            <w:tcBorders>
              <w:top w:val="single" w:sz="4" w:space="0" w:color="auto"/>
              <w:bottom w:val="single" w:sz="4" w:space="0" w:color="auto"/>
            </w:tcBorders>
            <w:vAlign w:val="center"/>
          </w:tcPr>
          <w:p w14:paraId="6EFE0FE2" w14:textId="77777777" w:rsidR="00D45CD8" w:rsidRPr="007F7EE4" w:rsidRDefault="00AC3F08">
            <w:pPr>
              <w:pStyle w:val="af8"/>
              <w:rPr>
                <w:sz w:val="15"/>
                <w:szCs w:val="15"/>
              </w:rPr>
            </w:pPr>
            <w:r w:rsidRPr="007F7EE4">
              <w:rPr>
                <w:rFonts w:hint="eastAsia"/>
                <w:sz w:val="15"/>
                <w:szCs w:val="15"/>
              </w:rPr>
              <w:t>最小值</w:t>
            </w:r>
          </w:p>
        </w:tc>
        <w:tc>
          <w:tcPr>
            <w:tcW w:w="914" w:type="dxa"/>
            <w:tcBorders>
              <w:top w:val="single" w:sz="4" w:space="0" w:color="auto"/>
              <w:bottom w:val="single" w:sz="4" w:space="0" w:color="auto"/>
            </w:tcBorders>
            <w:vAlign w:val="center"/>
          </w:tcPr>
          <w:p w14:paraId="23B44EC2" w14:textId="77777777" w:rsidR="00D45CD8" w:rsidRPr="007F7EE4" w:rsidRDefault="00AC3F08">
            <w:pPr>
              <w:pStyle w:val="af8"/>
              <w:rPr>
                <w:sz w:val="15"/>
                <w:szCs w:val="15"/>
              </w:rPr>
            </w:pPr>
            <w:r w:rsidRPr="007F7EE4">
              <w:rPr>
                <w:sz w:val="15"/>
                <w:szCs w:val="15"/>
              </w:rPr>
              <w:t>P25</w:t>
            </w:r>
          </w:p>
        </w:tc>
        <w:tc>
          <w:tcPr>
            <w:tcW w:w="912" w:type="dxa"/>
            <w:tcBorders>
              <w:top w:val="single" w:sz="4" w:space="0" w:color="auto"/>
              <w:bottom w:val="single" w:sz="4" w:space="0" w:color="auto"/>
            </w:tcBorders>
            <w:vAlign w:val="center"/>
          </w:tcPr>
          <w:p w14:paraId="573E337B" w14:textId="77777777" w:rsidR="00D45CD8" w:rsidRPr="007F7EE4" w:rsidRDefault="00AC3F08">
            <w:pPr>
              <w:pStyle w:val="af8"/>
              <w:rPr>
                <w:sz w:val="15"/>
                <w:szCs w:val="15"/>
              </w:rPr>
            </w:pPr>
            <w:r w:rsidRPr="007F7EE4">
              <w:rPr>
                <w:rFonts w:hint="eastAsia"/>
                <w:sz w:val="15"/>
                <w:szCs w:val="15"/>
              </w:rPr>
              <w:t>中位数</w:t>
            </w:r>
          </w:p>
        </w:tc>
        <w:tc>
          <w:tcPr>
            <w:tcW w:w="914" w:type="dxa"/>
            <w:tcBorders>
              <w:top w:val="single" w:sz="4" w:space="0" w:color="auto"/>
              <w:bottom w:val="single" w:sz="4" w:space="0" w:color="auto"/>
            </w:tcBorders>
            <w:vAlign w:val="center"/>
          </w:tcPr>
          <w:p w14:paraId="0849C8B5" w14:textId="77777777" w:rsidR="00D45CD8" w:rsidRPr="007F7EE4" w:rsidRDefault="00AC3F08">
            <w:pPr>
              <w:pStyle w:val="af8"/>
              <w:rPr>
                <w:sz w:val="15"/>
                <w:szCs w:val="15"/>
              </w:rPr>
            </w:pPr>
            <w:r w:rsidRPr="007F7EE4">
              <w:rPr>
                <w:sz w:val="15"/>
                <w:szCs w:val="15"/>
              </w:rPr>
              <w:t>P</w:t>
            </w:r>
            <w:r w:rsidRPr="007F7EE4">
              <w:rPr>
                <w:rFonts w:hint="eastAsia"/>
                <w:sz w:val="15"/>
                <w:szCs w:val="15"/>
              </w:rPr>
              <w:t>75</w:t>
            </w:r>
          </w:p>
        </w:tc>
        <w:tc>
          <w:tcPr>
            <w:tcW w:w="912" w:type="dxa"/>
            <w:tcBorders>
              <w:top w:val="single" w:sz="4" w:space="0" w:color="auto"/>
              <w:bottom w:val="single" w:sz="4" w:space="0" w:color="auto"/>
            </w:tcBorders>
            <w:vAlign w:val="center"/>
          </w:tcPr>
          <w:p w14:paraId="11A58520" w14:textId="77777777" w:rsidR="00D45CD8" w:rsidRPr="007F7EE4" w:rsidRDefault="00AC3F08">
            <w:pPr>
              <w:pStyle w:val="af8"/>
              <w:rPr>
                <w:sz w:val="15"/>
                <w:szCs w:val="15"/>
              </w:rPr>
            </w:pPr>
            <w:r w:rsidRPr="007F7EE4">
              <w:rPr>
                <w:rFonts w:hint="eastAsia"/>
                <w:sz w:val="15"/>
                <w:szCs w:val="15"/>
              </w:rPr>
              <w:t>最大值</w:t>
            </w:r>
          </w:p>
        </w:tc>
      </w:tr>
      <w:tr w:rsidR="007F7EE4" w:rsidRPr="007F7EE4" w14:paraId="0B310211" w14:textId="77777777">
        <w:tc>
          <w:tcPr>
            <w:tcW w:w="1220" w:type="dxa"/>
            <w:tcBorders>
              <w:top w:val="single" w:sz="4" w:space="0" w:color="auto"/>
            </w:tcBorders>
            <w:vAlign w:val="center"/>
          </w:tcPr>
          <w:p w14:paraId="511076C4" w14:textId="77777777" w:rsidR="00D45CD8" w:rsidRPr="007F7EE4" w:rsidRDefault="00AC3F08">
            <w:pPr>
              <w:pStyle w:val="af8"/>
              <w:rPr>
                <w:sz w:val="15"/>
                <w:szCs w:val="15"/>
              </w:rPr>
            </w:pPr>
            <w:proofErr w:type="spellStart"/>
            <w:r w:rsidRPr="007F7EE4">
              <w:rPr>
                <w:sz w:val="15"/>
                <w:szCs w:val="15"/>
              </w:rPr>
              <w:t>lnAGreen</w:t>
            </w:r>
            <w:proofErr w:type="spellEnd"/>
          </w:p>
        </w:tc>
        <w:tc>
          <w:tcPr>
            <w:tcW w:w="910" w:type="dxa"/>
            <w:tcBorders>
              <w:top w:val="single" w:sz="4" w:space="0" w:color="auto"/>
            </w:tcBorders>
            <w:vAlign w:val="center"/>
          </w:tcPr>
          <w:p w14:paraId="7FA91684" w14:textId="77777777" w:rsidR="00D45CD8" w:rsidRPr="007F7EE4" w:rsidRDefault="00AC3F08">
            <w:pPr>
              <w:pStyle w:val="af8"/>
              <w:rPr>
                <w:sz w:val="15"/>
                <w:szCs w:val="15"/>
              </w:rPr>
            </w:pPr>
            <w:r w:rsidRPr="007F7EE4">
              <w:rPr>
                <w:sz w:val="15"/>
                <w:szCs w:val="15"/>
              </w:rPr>
              <w:t>22417</w:t>
            </w:r>
          </w:p>
        </w:tc>
        <w:tc>
          <w:tcPr>
            <w:tcW w:w="914" w:type="dxa"/>
            <w:tcBorders>
              <w:top w:val="single" w:sz="4" w:space="0" w:color="auto"/>
            </w:tcBorders>
            <w:vAlign w:val="center"/>
          </w:tcPr>
          <w:p w14:paraId="14D1B394" w14:textId="77777777" w:rsidR="00D45CD8" w:rsidRPr="007F7EE4" w:rsidRDefault="00AC3F08">
            <w:pPr>
              <w:pStyle w:val="af8"/>
              <w:rPr>
                <w:sz w:val="15"/>
                <w:szCs w:val="15"/>
              </w:rPr>
            </w:pPr>
            <w:r w:rsidRPr="007F7EE4">
              <w:rPr>
                <w:sz w:val="15"/>
                <w:szCs w:val="15"/>
              </w:rPr>
              <w:t>0.792</w:t>
            </w:r>
          </w:p>
        </w:tc>
        <w:tc>
          <w:tcPr>
            <w:tcW w:w="912" w:type="dxa"/>
            <w:tcBorders>
              <w:top w:val="single" w:sz="4" w:space="0" w:color="auto"/>
            </w:tcBorders>
            <w:vAlign w:val="center"/>
          </w:tcPr>
          <w:p w14:paraId="4BE2DE5A" w14:textId="77777777" w:rsidR="00D45CD8" w:rsidRPr="007F7EE4" w:rsidRDefault="00AC3F08">
            <w:pPr>
              <w:pStyle w:val="af8"/>
              <w:rPr>
                <w:sz w:val="15"/>
                <w:szCs w:val="15"/>
              </w:rPr>
            </w:pPr>
            <w:r w:rsidRPr="007F7EE4">
              <w:rPr>
                <w:sz w:val="15"/>
                <w:szCs w:val="15"/>
              </w:rPr>
              <w:t>1.138</w:t>
            </w:r>
          </w:p>
        </w:tc>
        <w:tc>
          <w:tcPr>
            <w:tcW w:w="914" w:type="dxa"/>
            <w:tcBorders>
              <w:top w:val="single" w:sz="4" w:space="0" w:color="auto"/>
            </w:tcBorders>
            <w:vAlign w:val="center"/>
          </w:tcPr>
          <w:p w14:paraId="5978F544" w14:textId="77777777" w:rsidR="00D45CD8" w:rsidRPr="007F7EE4" w:rsidRDefault="00AC3F08">
            <w:pPr>
              <w:pStyle w:val="af8"/>
              <w:rPr>
                <w:sz w:val="15"/>
                <w:szCs w:val="15"/>
              </w:rPr>
            </w:pPr>
            <w:r w:rsidRPr="007F7EE4">
              <w:rPr>
                <w:sz w:val="15"/>
                <w:szCs w:val="15"/>
              </w:rPr>
              <w:t>0.000</w:t>
            </w:r>
          </w:p>
        </w:tc>
        <w:tc>
          <w:tcPr>
            <w:tcW w:w="914" w:type="dxa"/>
            <w:tcBorders>
              <w:top w:val="single" w:sz="4" w:space="0" w:color="auto"/>
            </w:tcBorders>
            <w:vAlign w:val="center"/>
          </w:tcPr>
          <w:p w14:paraId="106611FD" w14:textId="77777777" w:rsidR="00D45CD8" w:rsidRPr="007F7EE4" w:rsidRDefault="00AC3F08">
            <w:pPr>
              <w:pStyle w:val="af8"/>
              <w:rPr>
                <w:sz w:val="15"/>
                <w:szCs w:val="15"/>
              </w:rPr>
            </w:pPr>
            <w:r w:rsidRPr="007F7EE4">
              <w:rPr>
                <w:sz w:val="15"/>
                <w:szCs w:val="15"/>
              </w:rPr>
              <w:t>0.000</w:t>
            </w:r>
          </w:p>
        </w:tc>
        <w:tc>
          <w:tcPr>
            <w:tcW w:w="912" w:type="dxa"/>
            <w:tcBorders>
              <w:top w:val="single" w:sz="4" w:space="0" w:color="auto"/>
            </w:tcBorders>
            <w:vAlign w:val="center"/>
          </w:tcPr>
          <w:p w14:paraId="36CCDA0C" w14:textId="77777777" w:rsidR="00D45CD8" w:rsidRPr="007F7EE4" w:rsidRDefault="00AC3F08">
            <w:pPr>
              <w:pStyle w:val="af8"/>
              <w:rPr>
                <w:sz w:val="15"/>
                <w:szCs w:val="15"/>
              </w:rPr>
            </w:pPr>
            <w:r w:rsidRPr="007F7EE4">
              <w:rPr>
                <w:sz w:val="15"/>
                <w:szCs w:val="15"/>
              </w:rPr>
              <w:t>0.000</w:t>
            </w:r>
          </w:p>
        </w:tc>
        <w:tc>
          <w:tcPr>
            <w:tcW w:w="914" w:type="dxa"/>
            <w:tcBorders>
              <w:top w:val="single" w:sz="4" w:space="0" w:color="auto"/>
            </w:tcBorders>
            <w:vAlign w:val="center"/>
          </w:tcPr>
          <w:p w14:paraId="6BD5CE9B" w14:textId="77777777" w:rsidR="00D45CD8" w:rsidRPr="007F7EE4" w:rsidRDefault="00AC3F08">
            <w:pPr>
              <w:pStyle w:val="af8"/>
              <w:rPr>
                <w:sz w:val="15"/>
                <w:szCs w:val="15"/>
              </w:rPr>
            </w:pPr>
            <w:r w:rsidRPr="007F7EE4">
              <w:rPr>
                <w:sz w:val="15"/>
                <w:szCs w:val="15"/>
              </w:rPr>
              <w:t>1.386</w:t>
            </w:r>
          </w:p>
        </w:tc>
        <w:tc>
          <w:tcPr>
            <w:tcW w:w="912" w:type="dxa"/>
            <w:tcBorders>
              <w:top w:val="single" w:sz="4" w:space="0" w:color="auto"/>
            </w:tcBorders>
            <w:vAlign w:val="center"/>
          </w:tcPr>
          <w:p w14:paraId="0463FEC2" w14:textId="77777777" w:rsidR="00D45CD8" w:rsidRPr="007F7EE4" w:rsidRDefault="00AC3F08">
            <w:pPr>
              <w:pStyle w:val="af8"/>
              <w:rPr>
                <w:sz w:val="15"/>
                <w:szCs w:val="15"/>
              </w:rPr>
            </w:pPr>
            <w:r w:rsidRPr="007F7EE4">
              <w:rPr>
                <w:sz w:val="15"/>
                <w:szCs w:val="15"/>
              </w:rPr>
              <w:t>4.635</w:t>
            </w:r>
          </w:p>
        </w:tc>
      </w:tr>
      <w:tr w:rsidR="007F7EE4" w:rsidRPr="007F7EE4" w14:paraId="257CBD9A" w14:textId="77777777">
        <w:tc>
          <w:tcPr>
            <w:tcW w:w="1220" w:type="dxa"/>
            <w:vAlign w:val="center"/>
          </w:tcPr>
          <w:p w14:paraId="7228F261" w14:textId="77777777" w:rsidR="00D45CD8" w:rsidRPr="007F7EE4" w:rsidRDefault="00AC3F08">
            <w:pPr>
              <w:pStyle w:val="af8"/>
              <w:rPr>
                <w:sz w:val="15"/>
                <w:szCs w:val="15"/>
              </w:rPr>
            </w:pPr>
            <w:proofErr w:type="spellStart"/>
            <w:r w:rsidRPr="007F7EE4">
              <w:rPr>
                <w:sz w:val="15"/>
                <w:szCs w:val="15"/>
              </w:rPr>
              <w:t>lnGGreen</w:t>
            </w:r>
            <w:proofErr w:type="spellEnd"/>
          </w:p>
        </w:tc>
        <w:tc>
          <w:tcPr>
            <w:tcW w:w="910" w:type="dxa"/>
            <w:vAlign w:val="center"/>
          </w:tcPr>
          <w:p w14:paraId="27E779E3" w14:textId="77777777" w:rsidR="00D45CD8" w:rsidRPr="007F7EE4" w:rsidRDefault="00AC3F08">
            <w:pPr>
              <w:pStyle w:val="af8"/>
              <w:rPr>
                <w:sz w:val="15"/>
                <w:szCs w:val="15"/>
              </w:rPr>
            </w:pPr>
            <w:r w:rsidRPr="007F7EE4">
              <w:rPr>
                <w:sz w:val="15"/>
                <w:szCs w:val="15"/>
              </w:rPr>
              <w:t>22417</w:t>
            </w:r>
          </w:p>
        </w:tc>
        <w:tc>
          <w:tcPr>
            <w:tcW w:w="914" w:type="dxa"/>
            <w:vAlign w:val="center"/>
          </w:tcPr>
          <w:p w14:paraId="763BBCAC" w14:textId="77777777" w:rsidR="00D45CD8" w:rsidRPr="007F7EE4" w:rsidRDefault="00AC3F08">
            <w:pPr>
              <w:pStyle w:val="af8"/>
              <w:rPr>
                <w:sz w:val="15"/>
                <w:szCs w:val="15"/>
              </w:rPr>
            </w:pPr>
            <w:r w:rsidRPr="007F7EE4">
              <w:rPr>
                <w:sz w:val="15"/>
                <w:szCs w:val="15"/>
              </w:rPr>
              <w:t>0.647</w:t>
            </w:r>
          </w:p>
        </w:tc>
        <w:tc>
          <w:tcPr>
            <w:tcW w:w="912" w:type="dxa"/>
            <w:vAlign w:val="center"/>
          </w:tcPr>
          <w:p w14:paraId="6CC21010" w14:textId="77777777" w:rsidR="00D45CD8" w:rsidRPr="007F7EE4" w:rsidRDefault="00AC3F08">
            <w:pPr>
              <w:pStyle w:val="af8"/>
              <w:rPr>
                <w:sz w:val="15"/>
                <w:szCs w:val="15"/>
              </w:rPr>
            </w:pPr>
            <w:r w:rsidRPr="007F7EE4">
              <w:rPr>
                <w:sz w:val="15"/>
                <w:szCs w:val="15"/>
              </w:rPr>
              <w:t>0.997</w:t>
            </w:r>
          </w:p>
        </w:tc>
        <w:tc>
          <w:tcPr>
            <w:tcW w:w="914" w:type="dxa"/>
            <w:vAlign w:val="center"/>
          </w:tcPr>
          <w:p w14:paraId="6BEF2022" w14:textId="77777777" w:rsidR="00D45CD8" w:rsidRPr="007F7EE4" w:rsidRDefault="00AC3F08">
            <w:pPr>
              <w:pStyle w:val="af8"/>
              <w:rPr>
                <w:sz w:val="15"/>
                <w:szCs w:val="15"/>
              </w:rPr>
            </w:pPr>
            <w:r w:rsidRPr="007F7EE4">
              <w:rPr>
                <w:sz w:val="15"/>
                <w:szCs w:val="15"/>
              </w:rPr>
              <w:t>0.000</w:t>
            </w:r>
          </w:p>
        </w:tc>
        <w:tc>
          <w:tcPr>
            <w:tcW w:w="914" w:type="dxa"/>
            <w:vAlign w:val="center"/>
          </w:tcPr>
          <w:p w14:paraId="4FB0AEF6" w14:textId="77777777" w:rsidR="00D45CD8" w:rsidRPr="007F7EE4" w:rsidRDefault="00AC3F08">
            <w:pPr>
              <w:pStyle w:val="af8"/>
              <w:rPr>
                <w:sz w:val="15"/>
                <w:szCs w:val="15"/>
              </w:rPr>
            </w:pPr>
            <w:r w:rsidRPr="007F7EE4">
              <w:rPr>
                <w:sz w:val="15"/>
                <w:szCs w:val="15"/>
              </w:rPr>
              <w:t>0.000</w:t>
            </w:r>
          </w:p>
        </w:tc>
        <w:tc>
          <w:tcPr>
            <w:tcW w:w="912" w:type="dxa"/>
            <w:vAlign w:val="center"/>
          </w:tcPr>
          <w:p w14:paraId="483501E3" w14:textId="77777777" w:rsidR="00D45CD8" w:rsidRPr="007F7EE4" w:rsidRDefault="00AC3F08">
            <w:pPr>
              <w:pStyle w:val="af8"/>
              <w:rPr>
                <w:sz w:val="15"/>
                <w:szCs w:val="15"/>
              </w:rPr>
            </w:pPr>
            <w:r w:rsidRPr="007F7EE4">
              <w:rPr>
                <w:sz w:val="15"/>
                <w:szCs w:val="15"/>
              </w:rPr>
              <w:t>0.000</w:t>
            </w:r>
          </w:p>
        </w:tc>
        <w:tc>
          <w:tcPr>
            <w:tcW w:w="914" w:type="dxa"/>
            <w:vAlign w:val="center"/>
          </w:tcPr>
          <w:p w14:paraId="3496383C" w14:textId="77777777" w:rsidR="00D45CD8" w:rsidRPr="007F7EE4" w:rsidRDefault="00AC3F08">
            <w:pPr>
              <w:pStyle w:val="af8"/>
              <w:rPr>
                <w:sz w:val="15"/>
                <w:szCs w:val="15"/>
              </w:rPr>
            </w:pPr>
            <w:r w:rsidRPr="007F7EE4">
              <w:rPr>
                <w:sz w:val="15"/>
                <w:szCs w:val="15"/>
              </w:rPr>
              <w:t>1.099</w:t>
            </w:r>
          </w:p>
        </w:tc>
        <w:tc>
          <w:tcPr>
            <w:tcW w:w="912" w:type="dxa"/>
            <w:vAlign w:val="center"/>
          </w:tcPr>
          <w:p w14:paraId="01F81650" w14:textId="77777777" w:rsidR="00D45CD8" w:rsidRPr="007F7EE4" w:rsidRDefault="00AC3F08">
            <w:pPr>
              <w:pStyle w:val="af8"/>
              <w:rPr>
                <w:sz w:val="15"/>
                <w:szCs w:val="15"/>
              </w:rPr>
            </w:pPr>
            <w:r w:rsidRPr="007F7EE4">
              <w:rPr>
                <w:sz w:val="15"/>
                <w:szCs w:val="15"/>
              </w:rPr>
              <w:t>4.143</w:t>
            </w:r>
          </w:p>
        </w:tc>
      </w:tr>
      <w:tr w:rsidR="007F7EE4" w:rsidRPr="007F7EE4" w14:paraId="5D1C559B" w14:textId="77777777">
        <w:tc>
          <w:tcPr>
            <w:tcW w:w="1220" w:type="dxa"/>
            <w:vAlign w:val="center"/>
          </w:tcPr>
          <w:p w14:paraId="3D827BD0" w14:textId="77777777" w:rsidR="00D45CD8" w:rsidRPr="007F7EE4" w:rsidRDefault="00AC3F08">
            <w:pPr>
              <w:pStyle w:val="af8"/>
              <w:rPr>
                <w:sz w:val="15"/>
                <w:szCs w:val="15"/>
              </w:rPr>
            </w:pPr>
            <w:proofErr w:type="spellStart"/>
            <w:r w:rsidRPr="007F7EE4">
              <w:rPr>
                <w:sz w:val="15"/>
                <w:szCs w:val="15"/>
              </w:rPr>
              <w:t>lnCSR</w:t>
            </w:r>
            <w:proofErr w:type="spellEnd"/>
          </w:p>
        </w:tc>
        <w:tc>
          <w:tcPr>
            <w:tcW w:w="910" w:type="dxa"/>
            <w:vAlign w:val="center"/>
          </w:tcPr>
          <w:p w14:paraId="51D4B440" w14:textId="77777777" w:rsidR="00D45CD8" w:rsidRPr="007F7EE4" w:rsidRDefault="00AC3F08">
            <w:pPr>
              <w:pStyle w:val="af8"/>
              <w:rPr>
                <w:sz w:val="15"/>
                <w:szCs w:val="15"/>
              </w:rPr>
            </w:pPr>
            <w:r w:rsidRPr="007F7EE4">
              <w:rPr>
                <w:sz w:val="15"/>
                <w:szCs w:val="15"/>
              </w:rPr>
              <w:t>22417</w:t>
            </w:r>
          </w:p>
        </w:tc>
        <w:tc>
          <w:tcPr>
            <w:tcW w:w="914" w:type="dxa"/>
            <w:vAlign w:val="center"/>
          </w:tcPr>
          <w:p w14:paraId="6813E559" w14:textId="77777777" w:rsidR="00D45CD8" w:rsidRPr="007F7EE4" w:rsidRDefault="00AC3F08">
            <w:pPr>
              <w:pStyle w:val="af8"/>
              <w:rPr>
                <w:sz w:val="15"/>
                <w:szCs w:val="15"/>
              </w:rPr>
            </w:pPr>
            <w:r w:rsidRPr="007F7EE4">
              <w:rPr>
                <w:sz w:val="15"/>
                <w:szCs w:val="15"/>
              </w:rPr>
              <w:t>3.100</w:t>
            </w:r>
          </w:p>
        </w:tc>
        <w:tc>
          <w:tcPr>
            <w:tcW w:w="912" w:type="dxa"/>
            <w:vAlign w:val="center"/>
          </w:tcPr>
          <w:p w14:paraId="5E5268F6" w14:textId="77777777" w:rsidR="00D45CD8" w:rsidRPr="007F7EE4" w:rsidRDefault="00AC3F08">
            <w:pPr>
              <w:pStyle w:val="af8"/>
              <w:rPr>
                <w:sz w:val="15"/>
                <w:szCs w:val="15"/>
              </w:rPr>
            </w:pPr>
            <w:r w:rsidRPr="007F7EE4">
              <w:rPr>
                <w:sz w:val="15"/>
                <w:szCs w:val="15"/>
              </w:rPr>
              <w:t>0.679</w:t>
            </w:r>
          </w:p>
        </w:tc>
        <w:tc>
          <w:tcPr>
            <w:tcW w:w="914" w:type="dxa"/>
            <w:vAlign w:val="center"/>
          </w:tcPr>
          <w:p w14:paraId="1A919935" w14:textId="77777777" w:rsidR="00D45CD8" w:rsidRPr="007F7EE4" w:rsidRDefault="00AC3F08">
            <w:pPr>
              <w:pStyle w:val="af8"/>
              <w:rPr>
                <w:sz w:val="15"/>
                <w:szCs w:val="15"/>
              </w:rPr>
            </w:pPr>
            <w:r w:rsidRPr="007F7EE4">
              <w:rPr>
                <w:sz w:val="15"/>
                <w:szCs w:val="15"/>
              </w:rPr>
              <w:t>0.140</w:t>
            </w:r>
          </w:p>
        </w:tc>
        <w:tc>
          <w:tcPr>
            <w:tcW w:w="914" w:type="dxa"/>
            <w:vAlign w:val="center"/>
          </w:tcPr>
          <w:p w14:paraId="5EAF590C" w14:textId="77777777" w:rsidR="00D45CD8" w:rsidRPr="007F7EE4" w:rsidRDefault="00AC3F08">
            <w:pPr>
              <w:pStyle w:val="af8"/>
              <w:rPr>
                <w:sz w:val="15"/>
                <w:szCs w:val="15"/>
              </w:rPr>
            </w:pPr>
            <w:r w:rsidRPr="007F7EE4">
              <w:rPr>
                <w:sz w:val="15"/>
                <w:szCs w:val="15"/>
              </w:rPr>
              <w:t>2.896</w:t>
            </w:r>
          </w:p>
        </w:tc>
        <w:tc>
          <w:tcPr>
            <w:tcW w:w="912" w:type="dxa"/>
            <w:vAlign w:val="center"/>
          </w:tcPr>
          <w:p w14:paraId="07F8168D" w14:textId="77777777" w:rsidR="00D45CD8" w:rsidRPr="007F7EE4" w:rsidRDefault="00AC3F08">
            <w:pPr>
              <w:pStyle w:val="af8"/>
              <w:rPr>
                <w:sz w:val="15"/>
                <w:szCs w:val="15"/>
              </w:rPr>
            </w:pPr>
            <w:r w:rsidRPr="007F7EE4">
              <w:rPr>
                <w:sz w:val="15"/>
                <w:szCs w:val="15"/>
              </w:rPr>
              <w:t>3.152</w:t>
            </w:r>
          </w:p>
        </w:tc>
        <w:tc>
          <w:tcPr>
            <w:tcW w:w="914" w:type="dxa"/>
            <w:vAlign w:val="center"/>
          </w:tcPr>
          <w:p w14:paraId="5385D5FF" w14:textId="77777777" w:rsidR="00D45CD8" w:rsidRPr="007F7EE4" w:rsidRDefault="00AC3F08">
            <w:pPr>
              <w:pStyle w:val="af8"/>
              <w:rPr>
                <w:sz w:val="15"/>
                <w:szCs w:val="15"/>
              </w:rPr>
            </w:pPr>
            <w:r w:rsidRPr="007F7EE4">
              <w:rPr>
                <w:sz w:val="15"/>
                <w:szCs w:val="15"/>
              </w:rPr>
              <w:t>3.371</w:t>
            </w:r>
          </w:p>
        </w:tc>
        <w:tc>
          <w:tcPr>
            <w:tcW w:w="912" w:type="dxa"/>
            <w:vAlign w:val="center"/>
          </w:tcPr>
          <w:p w14:paraId="506F6902" w14:textId="77777777" w:rsidR="00D45CD8" w:rsidRPr="007F7EE4" w:rsidRDefault="00AC3F08">
            <w:pPr>
              <w:pStyle w:val="af8"/>
              <w:rPr>
                <w:sz w:val="15"/>
                <w:szCs w:val="15"/>
              </w:rPr>
            </w:pPr>
            <w:r w:rsidRPr="007F7EE4">
              <w:rPr>
                <w:sz w:val="15"/>
                <w:szCs w:val="15"/>
              </w:rPr>
              <w:t>4.331</w:t>
            </w:r>
          </w:p>
        </w:tc>
      </w:tr>
      <w:tr w:rsidR="007F7EE4" w:rsidRPr="007F7EE4" w14:paraId="64843D60" w14:textId="77777777">
        <w:tc>
          <w:tcPr>
            <w:tcW w:w="1220" w:type="dxa"/>
            <w:vAlign w:val="center"/>
          </w:tcPr>
          <w:p w14:paraId="230CFA05" w14:textId="77777777" w:rsidR="00D45CD8" w:rsidRPr="007F7EE4" w:rsidRDefault="00AC3F08">
            <w:pPr>
              <w:pStyle w:val="af8"/>
              <w:rPr>
                <w:sz w:val="15"/>
                <w:szCs w:val="15"/>
              </w:rPr>
            </w:pPr>
            <w:proofErr w:type="spellStart"/>
            <w:r w:rsidRPr="007F7EE4">
              <w:rPr>
                <w:sz w:val="15"/>
                <w:szCs w:val="15"/>
              </w:rPr>
              <w:t>lnSize</w:t>
            </w:r>
            <w:proofErr w:type="spellEnd"/>
          </w:p>
        </w:tc>
        <w:tc>
          <w:tcPr>
            <w:tcW w:w="910" w:type="dxa"/>
            <w:vAlign w:val="center"/>
          </w:tcPr>
          <w:p w14:paraId="43E05C12" w14:textId="77777777" w:rsidR="00D45CD8" w:rsidRPr="007F7EE4" w:rsidRDefault="00AC3F08">
            <w:pPr>
              <w:pStyle w:val="af8"/>
              <w:rPr>
                <w:sz w:val="15"/>
                <w:szCs w:val="15"/>
              </w:rPr>
            </w:pPr>
            <w:r w:rsidRPr="007F7EE4">
              <w:rPr>
                <w:sz w:val="15"/>
                <w:szCs w:val="15"/>
              </w:rPr>
              <w:t>22417</w:t>
            </w:r>
          </w:p>
        </w:tc>
        <w:tc>
          <w:tcPr>
            <w:tcW w:w="914" w:type="dxa"/>
            <w:vAlign w:val="center"/>
          </w:tcPr>
          <w:p w14:paraId="1138F89B" w14:textId="77777777" w:rsidR="00D45CD8" w:rsidRPr="007F7EE4" w:rsidRDefault="00AC3F08">
            <w:pPr>
              <w:pStyle w:val="af8"/>
              <w:rPr>
                <w:sz w:val="15"/>
                <w:szCs w:val="15"/>
              </w:rPr>
            </w:pPr>
            <w:r w:rsidRPr="007F7EE4">
              <w:rPr>
                <w:sz w:val="15"/>
                <w:szCs w:val="15"/>
              </w:rPr>
              <w:t>7.699</w:t>
            </w:r>
          </w:p>
        </w:tc>
        <w:tc>
          <w:tcPr>
            <w:tcW w:w="912" w:type="dxa"/>
            <w:vAlign w:val="center"/>
          </w:tcPr>
          <w:p w14:paraId="51A61285" w14:textId="77777777" w:rsidR="00D45CD8" w:rsidRPr="007F7EE4" w:rsidRDefault="00AC3F08">
            <w:pPr>
              <w:pStyle w:val="af8"/>
              <w:rPr>
                <w:sz w:val="15"/>
                <w:szCs w:val="15"/>
              </w:rPr>
            </w:pPr>
            <w:r w:rsidRPr="007F7EE4">
              <w:rPr>
                <w:sz w:val="15"/>
                <w:szCs w:val="15"/>
              </w:rPr>
              <w:t>1.260</w:t>
            </w:r>
          </w:p>
        </w:tc>
        <w:tc>
          <w:tcPr>
            <w:tcW w:w="914" w:type="dxa"/>
            <w:vAlign w:val="center"/>
          </w:tcPr>
          <w:p w14:paraId="6B216BB4" w14:textId="77777777" w:rsidR="00D45CD8" w:rsidRPr="007F7EE4" w:rsidRDefault="00AC3F08">
            <w:pPr>
              <w:pStyle w:val="af8"/>
              <w:rPr>
                <w:sz w:val="15"/>
                <w:szCs w:val="15"/>
              </w:rPr>
            </w:pPr>
            <w:r w:rsidRPr="007F7EE4">
              <w:rPr>
                <w:sz w:val="15"/>
                <w:szCs w:val="15"/>
              </w:rPr>
              <w:t>4.575</w:t>
            </w:r>
          </w:p>
        </w:tc>
        <w:tc>
          <w:tcPr>
            <w:tcW w:w="914" w:type="dxa"/>
            <w:vAlign w:val="center"/>
          </w:tcPr>
          <w:p w14:paraId="7C2DCE1A" w14:textId="77777777" w:rsidR="00D45CD8" w:rsidRPr="007F7EE4" w:rsidRDefault="00AC3F08">
            <w:pPr>
              <w:pStyle w:val="af8"/>
              <w:rPr>
                <w:sz w:val="15"/>
                <w:szCs w:val="15"/>
              </w:rPr>
            </w:pPr>
            <w:r w:rsidRPr="007F7EE4">
              <w:rPr>
                <w:sz w:val="15"/>
                <w:szCs w:val="15"/>
              </w:rPr>
              <w:t>6.850</w:t>
            </w:r>
          </w:p>
        </w:tc>
        <w:tc>
          <w:tcPr>
            <w:tcW w:w="912" w:type="dxa"/>
            <w:vAlign w:val="center"/>
          </w:tcPr>
          <w:p w14:paraId="0448A313" w14:textId="77777777" w:rsidR="00D45CD8" w:rsidRPr="007F7EE4" w:rsidRDefault="00AC3F08">
            <w:pPr>
              <w:pStyle w:val="af8"/>
              <w:rPr>
                <w:sz w:val="15"/>
                <w:szCs w:val="15"/>
              </w:rPr>
            </w:pPr>
            <w:r w:rsidRPr="007F7EE4">
              <w:rPr>
                <w:sz w:val="15"/>
                <w:szCs w:val="15"/>
              </w:rPr>
              <w:t>7.634</w:t>
            </w:r>
          </w:p>
        </w:tc>
        <w:tc>
          <w:tcPr>
            <w:tcW w:w="914" w:type="dxa"/>
            <w:vAlign w:val="center"/>
          </w:tcPr>
          <w:p w14:paraId="71A4CB78" w14:textId="77777777" w:rsidR="00D45CD8" w:rsidRPr="007F7EE4" w:rsidRDefault="00AC3F08">
            <w:pPr>
              <w:pStyle w:val="af8"/>
              <w:rPr>
                <w:sz w:val="15"/>
                <w:szCs w:val="15"/>
              </w:rPr>
            </w:pPr>
            <w:r w:rsidRPr="007F7EE4">
              <w:rPr>
                <w:sz w:val="15"/>
                <w:szCs w:val="15"/>
              </w:rPr>
              <w:t>8.477</w:t>
            </w:r>
          </w:p>
        </w:tc>
        <w:tc>
          <w:tcPr>
            <w:tcW w:w="912" w:type="dxa"/>
            <w:vAlign w:val="center"/>
          </w:tcPr>
          <w:p w14:paraId="5A1EA3F1" w14:textId="77777777" w:rsidR="00D45CD8" w:rsidRPr="007F7EE4" w:rsidRDefault="00AC3F08">
            <w:pPr>
              <w:pStyle w:val="af8"/>
              <w:rPr>
                <w:sz w:val="15"/>
                <w:szCs w:val="15"/>
              </w:rPr>
            </w:pPr>
            <w:r w:rsidRPr="007F7EE4">
              <w:rPr>
                <w:sz w:val="15"/>
                <w:szCs w:val="15"/>
              </w:rPr>
              <w:t>11.164</w:t>
            </w:r>
          </w:p>
        </w:tc>
      </w:tr>
      <w:tr w:rsidR="007F7EE4" w:rsidRPr="007F7EE4" w14:paraId="46EEC605" w14:textId="77777777">
        <w:tc>
          <w:tcPr>
            <w:tcW w:w="1220" w:type="dxa"/>
            <w:vAlign w:val="center"/>
          </w:tcPr>
          <w:p w14:paraId="40336A23" w14:textId="77777777" w:rsidR="00D45CD8" w:rsidRPr="007F7EE4" w:rsidRDefault="00AC3F08">
            <w:pPr>
              <w:pStyle w:val="af8"/>
              <w:rPr>
                <w:sz w:val="15"/>
                <w:szCs w:val="15"/>
              </w:rPr>
            </w:pPr>
            <w:r w:rsidRPr="007F7EE4">
              <w:rPr>
                <w:sz w:val="15"/>
                <w:szCs w:val="15"/>
              </w:rPr>
              <w:t>Leverage</w:t>
            </w:r>
          </w:p>
        </w:tc>
        <w:tc>
          <w:tcPr>
            <w:tcW w:w="910" w:type="dxa"/>
            <w:vAlign w:val="center"/>
          </w:tcPr>
          <w:p w14:paraId="0F7B8786" w14:textId="77777777" w:rsidR="00D45CD8" w:rsidRPr="007F7EE4" w:rsidRDefault="00AC3F08">
            <w:pPr>
              <w:pStyle w:val="af8"/>
              <w:rPr>
                <w:sz w:val="15"/>
                <w:szCs w:val="15"/>
              </w:rPr>
            </w:pPr>
            <w:r w:rsidRPr="007F7EE4">
              <w:rPr>
                <w:sz w:val="15"/>
                <w:szCs w:val="15"/>
              </w:rPr>
              <w:t>22417</w:t>
            </w:r>
          </w:p>
        </w:tc>
        <w:tc>
          <w:tcPr>
            <w:tcW w:w="914" w:type="dxa"/>
            <w:vAlign w:val="center"/>
          </w:tcPr>
          <w:p w14:paraId="110AEC1C" w14:textId="77777777" w:rsidR="00D45CD8" w:rsidRPr="007F7EE4" w:rsidRDefault="00AC3F08">
            <w:pPr>
              <w:pStyle w:val="af8"/>
              <w:rPr>
                <w:sz w:val="15"/>
                <w:szCs w:val="15"/>
              </w:rPr>
            </w:pPr>
            <w:r w:rsidRPr="007F7EE4">
              <w:rPr>
                <w:sz w:val="15"/>
                <w:szCs w:val="15"/>
              </w:rPr>
              <w:t>0.427</w:t>
            </w:r>
          </w:p>
        </w:tc>
        <w:tc>
          <w:tcPr>
            <w:tcW w:w="912" w:type="dxa"/>
            <w:vAlign w:val="center"/>
          </w:tcPr>
          <w:p w14:paraId="6B10AC23" w14:textId="77777777" w:rsidR="00D45CD8" w:rsidRPr="007F7EE4" w:rsidRDefault="00AC3F08">
            <w:pPr>
              <w:pStyle w:val="af8"/>
              <w:rPr>
                <w:sz w:val="15"/>
                <w:szCs w:val="15"/>
              </w:rPr>
            </w:pPr>
            <w:r w:rsidRPr="007F7EE4">
              <w:rPr>
                <w:sz w:val="15"/>
                <w:szCs w:val="15"/>
              </w:rPr>
              <w:t>0.204</w:t>
            </w:r>
          </w:p>
        </w:tc>
        <w:tc>
          <w:tcPr>
            <w:tcW w:w="914" w:type="dxa"/>
            <w:vAlign w:val="center"/>
          </w:tcPr>
          <w:p w14:paraId="79A89CDE" w14:textId="77777777" w:rsidR="00D45CD8" w:rsidRPr="007F7EE4" w:rsidRDefault="00AC3F08">
            <w:pPr>
              <w:pStyle w:val="af8"/>
              <w:rPr>
                <w:sz w:val="15"/>
                <w:szCs w:val="15"/>
              </w:rPr>
            </w:pPr>
            <w:r w:rsidRPr="007F7EE4">
              <w:rPr>
                <w:sz w:val="15"/>
                <w:szCs w:val="15"/>
              </w:rPr>
              <w:t>0.053</w:t>
            </w:r>
          </w:p>
        </w:tc>
        <w:tc>
          <w:tcPr>
            <w:tcW w:w="914" w:type="dxa"/>
            <w:vAlign w:val="center"/>
          </w:tcPr>
          <w:p w14:paraId="5496EF0D" w14:textId="77777777" w:rsidR="00D45CD8" w:rsidRPr="007F7EE4" w:rsidRDefault="00AC3F08">
            <w:pPr>
              <w:pStyle w:val="af8"/>
              <w:rPr>
                <w:sz w:val="15"/>
                <w:szCs w:val="15"/>
              </w:rPr>
            </w:pPr>
            <w:r w:rsidRPr="007F7EE4">
              <w:rPr>
                <w:sz w:val="15"/>
                <w:szCs w:val="15"/>
              </w:rPr>
              <w:t>0.263</w:t>
            </w:r>
          </w:p>
        </w:tc>
        <w:tc>
          <w:tcPr>
            <w:tcW w:w="912" w:type="dxa"/>
            <w:vAlign w:val="center"/>
          </w:tcPr>
          <w:p w14:paraId="3D5DB00C" w14:textId="77777777" w:rsidR="00D45CD8" w:rsidRPr="007F7EE4" w:rsidRDefault="00AC3F08">
            <w:pPr>
              <w:pStyle w:val="af8"/>
              <w:rPr>
                <w:sz w:val="15"/>
                <w:szCs w:val="15"/>
              </w:rPr>
            </w:pPr>
            <w:r w:rsidRPr="007F7EE4">
              <w:rPr>
                <w:sz w:val="15"/>
                <w:szCs w:val="15"/>
              </w:rPr>
              <w:t>0.421</w:t>
            </w:r>
          </w:p>
        </w:tc>
        <w:tc>
          <w:tcPr>
            <w:tcW w:w="914" w:type="dxa"/>
            <w:vAlign w:val="center"/>
          </w:tcPr>
          <w:p w14:paraId="4E378C88" w14:textId="77777777" w:rsidR="00D45CD8" w:rsidRPr="007F7EE4" w:rsidRDefault="00AC3F08">
            <w:pPr>
              <w:pStyle w:val="af8"/>
              <w:rPr>
                <w:sz w:val="15"/>
                <w:szCs w:val="15"/>
              </w:rPr>
            </w:pPr>
            <w:r w:rsidRPr="007F7EE4">
              <w:rPr>
                <w:sz w:val="15"/>
                <w:szCs w:val="15"/>
              </w:rPr>
              <w:t>0.582</w:t>
            </w:r>
          </w:p>
        </w:tc>
        <w:tc>
          <w:tcPr>
            <w:tcW w:w="912" w:type="dxa"/>
            <w:vAlign w:val="center"/>
          </w:tcPr>
          <w:p w14:paraId="441724E2" w14:textId="77777777" w:rsidR="00D45CD8" w:rsidRPr="007F7EE4" w:rsidRDefault="00AC3F08">
            <w:pPr>
              <w:pStyle w:val="af8"/>
              <w:rPr>
                <w:sz w:val="15"/>
                <w:szCs w:val="15"/>
              </w:rPr>
            </w:pPr>
            <w:r w:rsidRPr="007F7EE4">
              <w:rPr>
                <w:sz w:val="15"/>
                <w:szCs w:val="15"/>
              </w:rPr>
              <w:t>0.875</w:t>
            </w:r>
          </w:p>
        </w:tc>
      </w:tr>
      <w:tr w:rsidR="007F7EE4" w:rsidRPr="007F7EE4" w14:paraId="656A3C32" w14:textId="77777777">
        <w:tc>
          <w:tcPr>
            <w:tcW w:w="1220" w:type="dxa"/>
            <w:vAlign w:val="center"/>
          </w:tcPr>
          <w:p w14:paraId="512F9870" w14:textId="77777777" w:rsidR="00D45CD8" w:rsidRPr="007F7EE4" w:rsidRDefault="00AC3F08">
            <w:pPr>
              <w:pStyle w:val="af8"/>
              <w:rPr>
                <w:sz w:val="15"/>
                <w:szCs w:val="15"/>
              </w:rPr>
            </w:pPr>
            <w:r w:rsidRPr="007F7EE4">
              <w:rPr>
                <w:sz w:val="15"/>
                <w:szCs w:val="15"/>
              </w:rPr>
              <w:t>Age</w:t>
            </w:r>
          </w:p>
        </w:tc>
        <w:tc>
          <w:tcPr>
            <w:tcW w:w="910" w:type="dxa"/>
            <w:vAlign w:val="center"/>
          </w:tcPr>
          <w:p w14:paraId="29F7ECBC" w14:textId="77777777" w:rsidR="00D45CD8" w:rsidRPr="007F7EE4" w:rsidRDefault="00AC3F08">
            <w:pPr>
              <w:pStyle w:val="af8"/>
              <w:rPr>
                <w:sz w:val="15"/>
                <w:szCs w:val="15"/>
              </w:rPr>
            </w:pPr>
            <w:r w:rsidRPr="007F7EE4">
              <w:rPr>
                <w:sz w:val="15"/>
                <w:szCs w:val="15"/>
              </w:rPr>
              <w:t>22417</w:t>
            </w:r>
          </w:p>
        </w:tc>
        <w:tc>
          <w:tcPr>
            <w:tcW w:w="914" w:type="dxa"/>
            <w:vAlign w:val="center"/>
          </w:tcPr>
          <w:p w14:paraId="2741BF4A" w14:textId="77777777" w:rsidR="00D45CD8" w:rsidRPr="007F7EE4" w:rsidRDefault="00AC3F08">
            <w:pPr>
              <w:pStyle w:val="af8"/>
              <w:rPr>
                <w:sz w:val="15"/>
                <w:szCs w:val="15"/>
              </w:rPr>
            </w:pPr>
            <w:r w:rsidRPr="007F7EE4">
              <w:rPr>
                <w:sz w:val="15"/>
                <w:szCs w:val="15"/>
              </w:rPr>
              <w:t>11.113</w:t>
            </w:r>
          </w:p>
        </w:tc>
        <w:tc>
          <w:tcPr>
            <w:tcW w:w="912" w:type="dxa"/>
            <w:vAlign w:val="center"/>
          </w:tcPr>
          <w:p w14:paraId="20544F4E" w14:textId="77777777" w:rsidR="00D45CD8" w:rsidRPr="007F7EE4" w:rsidRDefault="00AC3F08">
            <w:pPr>
              <w:pStyle w:val="af8"/>
              <w:rPr>
                <w:sz w:val="15"/>
                <w:szCs w:val="15"/>
              </w:rPr>
            </w:pPr>
            <w:r w:rsidRPr="007F7EE4">
              <w:rPr>
                <w:sz w:val="15"/>
                <w:szCs w:val="15"/>
              </w:rPr>
              <w:t>6.961</w:t>
            </w:r>
          </w:p>
        </w:tc>
        <w:tc>
          <w:tcPr>
            <w:tcW w:w="914" w:type="dxa"/>
            <w:vAlign w:val="center"/>
          </w:tcPr>
          <w:p w14:paraId="5D731982" w14:textId="77777777" w:rsidR="00D45CD8" w:rsidRPr="007F7EE4" w:rsidRDefault="00AC3F08">
            <w:pPr>
              <w:pStyle w:val="af8"/>
              <w:rPr>
                <w:sz w:val="15"/>
                <w:szCs w:val="15"/>
              </w:rPr>
            </w:pPr>
            <w:r w:rsidRPr="007F7EE4">
              <w:rPr>
                <w:sz w:val="15"/>
                <w:szCs w:val="15"/>
              </w:rPr>
              <w:t>2.000</w:t>
            </w:r>
          </w:p>
        </w:tc>
        <w:tc>
          <w:tcPr>
            <w:tcW w:w="914" w:type="dxa"/>
            <w:vAlign w:val="center"/>
          </w:tcPr>
          <w:p w14:paraId="23A67695" w14:textId="77777777" w:rsidR="00D45CD8" w:rsidRPr="007F7EE4" w:rsidRDefault="00AC3F08">
            <w:pPr>
              <w:pStyle w:val="af8"/>
              <w:rPr>
                <w:sz w:val="15"/>
                <w:szCs w:val="15"/>
              </w:rPr>
            </w:pPr>
            <w:r w:rsidRPr="007F7EE4">
              <w:rPr>
                <w:sz w:val="15"/>
                <w:szCs w:val="15"/>
              </w:rPr>
              <w:t>5.000</w:t>
            </w:r>
          </w:p>
        </w:tc>
        <w:tc>
          <w:tcPr>
            <w:tcW w:w="912" w:type="dxa"/>
            <w:vAlign w:val="center"/>
          </w:tcPr>
          <w:p w14:paraId="441FEA40" w14:textId="77777777" w:rsidR="00D45CD8" w:rsidRPr="007F7EE4" w:rsidRDefault="00AC3F08">
            <w:pPr>
              <w:pStyle w:val="af8"/>
              <w:rPr>
                <w:sz w:val="15"/>
                <w:szCs w:val="15"/>
              </w:rPr>
            </w:pPr>
            <w:r w:rsidRPr="007F7EE4">
              <w:rPr>
                <w:sz w:val="15"/>
                <w:szCs w:val="15"/>
              </w:rPr>
              <w:t>10.000</w:t>
            </w:r>
          </w:p>
        </w:tc>
        <w:tc>
          <w:tcPr>
            <w:tcW w:w="914" w:type="dxa"/>
            <w:vAlign w:val="center"/>
          </w:tcPr>
          <w:p w14:paraId="176A74F7" w14:textId="77777777" w:rsidR="00D45CD8" w:rsidRPr="007F7EE4" w:rsidRDefault="00AC3F08">
            <w:pPr>
              <w:pStyle w:val="af8"/>
              <w:rPr>
                <w:sz w:val="15"/>
                <w:szCs w:val="15"/>
              </w:rPr>
            </w:pPr>
            <w:r w:rsidRPr="007F7EE4">
              <w:rPr>
                <w:sz w:val="15"/>
                <w:szCs w:val="15"/>
              </w:rPr>
              <w:t>17.000</w:t>
            </w:r>
          </w:p>
        </w:tc>
        <w:tc>
          <w:tcPr>
            <w:tcW w:w="912" w:type="dxa"/>
            <w:vAlign w:val="center"/>
          </w:tcPr>
          <w:p w14:paraId="6A15E7CB" w14:textId="77777777" w:rsidR="00D45CD8" w:rsidRPr="007F7EE4" w:rsidRDefault="00AC3F08">
            <w:pPr>
              <w:pStyle w:val="af8"/>
              <w:rPr>
                <w:sz w:val="15"/>
                <w:szCs w:val="15"/>
              </w:rPr>
            </w:pPr>
            <w:r w:rsidRPr="007F7EE4">
              <w:rPr>
                <w:sz w:val="15"/>
                <w:szCs w:val="15"/>
              </w:rPr>
              <w:t>26.000</w:t>
            </w:r>
          </w:p>
        </w:tc>
      </w:tr>
      <w:tr w:rsidR="007F7EE4" w:rsidRPr="007F7EE4" w14:paraId="10767E51" w14:textId="77777777">
        <w:tc>
          <w:tcPr>
            <w:tcW w:w="1220" w:type="dxa"/>
            <w:vAlign w:val="center"/>
          </w:tcPr>
          <w:p w14:paraId="3794481F" w14:textId="77777777" w:rsidR="00D45CD8" w:rsidRPr="007F7EE4" w:rsidRDefault="00AC3F08">
            <w:pPr>
              <w:pStyle w:val="af8"/>
              <w:rPr>
                <w:sz w:val="15"/>
                <w:szCs w:val="15"/>
              </w:rPr>
            </w:pPr>
            <w:r w:rsidRPr="007F7EE4">
              <w:rPr>
                <w:sz w:val="15"/>
                <w:szCs w:val="15"/>
              </w:rPr>
              <w:t>Tangible</w:t>
            </w:r>
          </w:p>
        </w:tc>
        <w:tc>
          <w:tcPr>
            <w:tcW w:w="910" w:type="dxa"/>
            <w:vAlign w:val="center"/>
          </w:tcPr>
          <w:p w14:paraId="4E9F8DB3" w14:textId="77777777" w:rsidR="00D45CD8" w:rsidRPr="007F7EE4" w:rsidRDefault="00AC3F08">
            <w:pPr>
              <w:pStyle w:val="af8"/>
              <w:rPr>
                <w:sz w:val="15"/>
                <w:szCs w:val="15"/>
              </w:rPr>
            </w:pPr>
            <w:r w:rsidRPr="007F7EE4">
              <w:rPr>
                <w:sz w:val="15"/>
                <w:szCs w:val="15"/>
              </w:rPr>
              <w:t>22417</w:t>
            </w:r>
          </w:p>
        </w:tc>
        <w:tc>
          <w:tcPr>
            <w:tcW w:w="914" w:type="dxa"/>
            <w:vAlign w:val="center"/>
          </w:tcPr>
          <w:p w14:paraId="5A0BEDF5" w14:textId="77777777" w:rsidR="00D45CD8" w:rsidRPr="007F7EE4" w:rsidRDefault="00AC3F08">
            <w:pPr>
              <w:pStyle w:val="af8"/>
              <w:rPr>
                <w:sz w:val="15"/>
                <w:szCs w:val="15"/>
              </w:rPr>
            </w:pPr>
            <w:r w:rsidRPr="007F7EE4">
              <w:rPr>
                <w:sz w:val="15"/>
                <w:szCs w:val="15"/>
              </w:rPr>
              <w:t>0.217</w:t>
            </w:r>
          </w:p>
        </w:tc>
        <w:tc>
          <w:tcPr>
            <w:tcW w:w="912" w:type="dxa"/>
            <w:vAlign w:val="center"/>
          </w:tcPr>
          <w:p w14:paraId="16B4B95B" w14:textId="77777777" w:rsidR="00D45CD8" w:rsidRPr="007F7EE4" w:rsidRDefault="00AC3F08">
            <w:pPr>
              <w:pStyle w:val="af8"/>
              <w:rPr>
                <w:sz w:val="15"/>
                <w:szCs w:val="15"/>
              </w:rPr>
            </w:pPr>
            <w:r w:rsidRPr="007F7EE4">
              <w:rPr>
                <w:sz w:val="15"/>
                <w:szCs w:val="15"/>
              </w:rPr>
              <w:t>0.163</w:t>
            </w:r>
          </w:p>
        </w:tc>
        <w:tc>
          <w:tcPr>
            <w:tcW w:w="914" w:type="dxa"/>
            <w:vAlign w:val="center"/>
          </w:tcPr>
          <w:p w14:paraId="2E379A5F" w14:textId="77777777" w:rsidR="00D45CD8" w:rsidRPr="007F7EE4" w:rsidRDefault="00AC3F08">
            <w:pPr>
              <w:pStyle w:val="af8"/>
              <w:rPr>
                <w:sz w:val="15"/>
                <w:szCs w:val="15"/>
              </w:rPr>
            </w:pPr>
            <w:r w:rsidRPr="007F7EE4">
              <w:rPr>
                <w:sz w:val="15"/>
                <w:szCs w:val="15"/>
              </w:rPr>
              <w:t>0.002</w:t>
            </w:r>
          </w:p>
        </w:tc>
        <w:tc>
          <w:tcPr>
            <w:tcW w:w="914" w:type="dxa"/>
            <w:vAlign w:val="center"/>
          </w:tcPr>
          <w:p w14:paraId="2629FED6" w14:textId="77777777" w:rsidR="00D45CD8" w:rsidRPr="007F7EE4" w:rsidRDefault="00AC3F08">
            <w:pPr>
              <w:pStyle w:val="af8"/>
              <w:rPr>
                <w:sz w:val="15"/>
                <w:szCs w:val="15"/>
              </w:rPr>
            </w:pPr>
            <w:r w:rsidRPr="007F7EE4">
              <w:rPr>
                <w:sz w:val="15"/>
                <w:szCs w:val="15"/>
              </w:rPr>
              <w:t>0.091</w:t>
            </w:r>
          </w:p>
        </w:tc>
        <w:tc>
          <w:tcPr>
            <w:tcW w:w="912" w:type="dxa"/>
            <w:vAlign w:val="center"/>
          </w:tcPr>
          <w:p w14:paraId="342226CB" w14:textId="77777777" w:rsidR="00D45CD8" w:rsidRPr="007F7EE4" w:rsidRDefault="00AC3F08">
            <w:pPr>
              <w:pStyle w:val="af8"/>
              <w:rPr>
                <w:sz w:val="15"/>
                <w:szCs w:val="15"/>
              </w:rPr>
            </w:pPr>
            <w:r w:rsidRPr="007F7EE4">
              <w:rPr>
                <w:sz w:val="15"/>
                <w:szCs w:val="15"/>
              </w:rPr>
              <w:t>0.183</w:t>
            </w:r>
          </w:p>
        </w:tc>
        <w:tc>
          <w:tcPr>
            <w:tcW w:w="914" w:type="dxa"/>
            <w:vAlign w:val="center"/>
          </w:tcPr>
          <w:p w14:paraId="1D37056D" w14:textId="77777777" w:rsidR="00D45CD8" w:rsidRPr="007F7EE4" w:rsidRDefault="00AC3F08">
            <w:pPr>
              <w:pStyle w:val="af8"/>
              <w:rPr>
                <w:sz w:val="15"/>
                <w:szCs w:val="15"/>
              </w:rPr>
            </w:pPr>
            <w:r w:rsidRPr="007F7EE4">
              <w:rPr>
                <w:sz w:val="15"/>
                <w:szCs w:val="15"/>
              </w:rPr>
              <w:t>0.310</w:t>
            </w:r>
          </w:p>
        </w:tc>
        <w:tc>
          <w:tcPr>
            <w:tcW w:w="912" w:type="dxa"/>
            <w:vAlign w:val="center"/>
          </w:tcPr>
          <w:p w14:paraId="62D7EB9B" w14:textId="77777777" w:rsidR="00D45CD8" w:rsidRPr="007F7EE4" w:rsidRDefault="00AC3F08">
            <w:pPr>
              <w:pStyle w:val="af8"/>
              <w:rPr>
                <w:sz w:val="15"/>
                <w:szCs w:val="15"/>
              </w:rPr>
            </w:pPr>
            <w:r w:rsidRPr="007F7EE4">
              <w:rPr>
                <w:sz w:val="15"/>
                <w:szCs w:val="15"/>
              </w:rPr>
              <w:t>0.707</w:t>
            </w:r>
          </w:p>
        </w:tc>
      </w:tr>
      <w:tr w:rsidR="007F7EE4" w:rsidRPr="007F7EE4" w14:paraId="65F86556" w14:textId="77777777">
        <w:tc>
          <w:tcPr>
            <w:tcW w:w="1220" w:type="dxa"/>
            <w:vAlign w:val="center"/>
          </w:tcPr>
          <w:p w14:paraId="2CD89735" w14:textId="77777777" w:rsidR="00D45CD8" w:rsidRPr="007F7EE4" w:rsidRDefault="00AC3F08">
            <w:pPr>
              <w:pStyle w:val="af8"/>
              <w:rPr>
                <w:sz w:val="15"/>
                <w:szCs w:val="15"/>
              </w:rPr>
            </w:pPr>
            <w:r w:rsidRPr="007F7EE4">
              <w:rPr>
                <w:sz w:val="15"/>
                <w:szCs w:val="15"/>
              </w:rPr>
              <w:t>CFO</w:t>
            </w:r>
          </w:p>
        </w:tc>
        <w:tc>
          <w:tcPr>
            <w:tcW w:w="910" w:type="dxa"/>
            <w:vAlign w:val="center"/>
          </w:tcPr>
          <w:p w14:paraId="0C2DA56C" w14:textId="77777777" w:rsidR="00D45CD8" w:rsidRPr="007F7EE4" w:rsidRDefault="00AC3F08">
            <w:pPr>
              <w:pStyle w:val="af8"/>
              <w:rPr>
                <w:sz w:val="15"/>
                <w:szCs w:val="15"/>
              </w:rPr>
            </w:pPr>
            <w:r w:rsidRPr="007F7EE4">
              <w:rPr>
                <w:sz w:val="15"/>
                <w:szCs w:val="15"/>
              </w:rPr>
              <w:t>22417</w:t>
            </w:r>
          </w:p>
        </w:tc>
        <w:tc>
          <w:tcPr>
            <w:tcW w:w="914" w:type="dxa"/>
            <w:vAlign w:val="center"/>
          </w:tcPr>
          <w:p w14:paraId="4E2FD98E" w14:textId="77777777" w:rsidR="00D45CD8" w:rsidRPr="007F7EE4" w:rsidRDefault="00AC3F08">
            <w:pPr>
              <w:pStyle w:val="af8"/>
              <w:rPr>
                <w:sz w:val="15"/>
                <w:szCs w:val="15"/>
              </w:rPr>
            </w:pPr>
            <w:r w:rsidRPr="007F7EE4">
              <w:rPr>
                <w:sz w:val="15"/>
                <w:szCs w:val="15"/>
              </w:rPr>
              <w:t>0.045</w:t>
            </w:r>
          </w:p>
        </w:tc>
        <w:tc>
          <w:tcPr>
            <w:tcW w:w="912" w:type="dxa"/>
            <w:vAlign w:val="center"/>
          </w:tcPr>
          <w:p w14:paraId="1CB9F4B4" w14:textId="77777777" w:rsidR="00D45CD8" w:rsidRPr="007F7EE4" w:rsidRDefault="00AC3F08">
            <w:pPr>
              <w:pStyle w:val="af8"/>
              <w:rPr>
                <w:sz w:val="15"/>
                <w:szCs w:val="15"/>
              </w:rPr>
            </w:pPr>
            <w:r w:rsidRPr="007F7EE4">
              <w:rPr>
                <w:sz w:val="15"/>
                <w:szCs w:val="15"/>
              </w:rPr>
              <w:t>0.069</w:t>
            </w:r>
          </w:p>
        </w:tc>
        <w:tc>
          <w:tcPr>
            <w:tcW w:w="914" w:type="dxa"/>
            <w:vAlign w:val="center"/>
          </w:tcPr>
          <w:p w14:paraId="24ED683F" w14:textId="77777777" w:rsidR="00D45CD8" w:rsidRPr="007F7EE4" w:rsidRDefault="00AC3F08">
            <w:pPr>
              <w:pStyle w:val="af8"/>
              <w:rPr>
                <w:sz w:val="15"/>
                <w:szCs w:val="15"/>
              </w:rPr>
            </w:pPr>
            <w:r w:rsidRPr="007F7EE4">
              <w:rPr>
                <w:sz w:val="15"/>
                <w:szCs w:val="15"/>
              </w:rPr>
              <w:t>-0.161</w:t>
            </w:r>
          </w:p>
        </w:tc>
        <w:tc>
          <w:tcPr>
            <w:tcW w:w="914" w:type="dxa"/>
            <w:vAlign w:val="center"/>
          </w:tcPr>
          <w:p w14:paraId="42C4FDF9" w14:textId="77777777" w:rsidR="00D45CD8" w:rsidRPr="007F7EE4" w:rsidRDefault="00AC3F08">
            <w:pPr>
              <w:pStyle w:val="af8"/>
              <w:rPr>
                <w:sz w:val="15"/>
                <w:szCs w:val="15"/>
              </w:rPr>
            </w:pPr>
            <w:r w:rsidRPr="007F7EE4">
              <w:rPr>
                <w:sz w:val="15"/>
                <w:szCs w:val="15"/>
              </w:rPr>
              <w:t>0.006</w:t>
            </w:r>
          </w:p>
        </w:tc>
        <w:tc>
          <w:tcPr>
            <w:tcW w:w="912" w:type="dxa"/>
            <w:vAlign w:val="center"/>
          </w:tcPr>
          <w:p w14:paraId="1A4FFF11" w14:textId="77777777" w:rsidR="00D45CD8" w:rsidRPr="007F7EE4" w:rsidRDefault="00AC3F08">
            <w:pPr>
              <w:pStyle w:val="af8"/>
              <w:rPr>
                <w:sz w:val="15"/>
                <w:szCs w:val="15"/>
              </w:rPr>
            </w:pPr>
            <w:r w:rsidRPr="007F7EE4">
              <w:rPr>
                <w:sz w:val="15"/>
                <w:szCs w:val="15"/>
              </w:rPr>
              <w:t>0.045</w:t>
            </w:r>
          </w:p>
        </w:tc>
        <w:tc>
          <w:tcPr>
            <w:tcW w:w="914" w:type="dxa"/>
            <w:vAlign w:val="center"/>
          </w:tcPr>
          <w:p w14:paraId="09F8FF34" w14:textId="77777777" w:rsidR="00D45CD8" w:rsidRPr="007F7EE4" w:rsidRDefault="00AC3F08">
            <w:pPr>
              <w:pStyle w:val="af8"/>
              <w:rPr>
                <w:sz w:val="15"/>
                <w:szCs w:val="15"/>
              </w:rPr>
            </w:pPr>
            <w:r w:rsidRPr="007F7EE4">
              <w:rPr>
                <w:sz w:val="15"/>
                <w:szCs w:val="15"/>
              </w:rPr>
              <w:t>0.086</w:t>
            </w:r>
          </w:p>
        </w:tc>
        <w:tc>
          <w:tcPr>
            <w:tcW w:w="912" w:type="dxa"/>
            <w:vAlign w:val="center"/>
          </w:tcPr>
          <w:p w14:paraId="30632111" w14:textId="77777777" w:rsidR="00D45CD8" w:rsidRPr="007F7EE4" w:rsidRDefault="00AC3F08">
            <w:pPr>
              <w:pStyle w:val="af8"/>
              <w:rPr>
                <w:sz w:val="15"/>
                <w:szCs w:val="15"/>
              </w:rPr>
            </w:pPr>
            <w:r w:rsidRPr="007F7EE4">
              <w:rPr>
                <w:sz w:val="15"/>
                <w:szCs w:val="15"/>
              </w:rPr>
              <w:t>0.236</w:t>
            </w:r>
          </w:p>
        </w:tc>
      </w:tr>
      <w:tr w:rsidR="007F7EE4" w:rsidRPr="007F7EE4" w14:paraId="495EE4B5" w14:textId="77777777">
        <w:tc>
          <w:tcPr>
            <w:tcW w:w="1220" w:type="dxa"/>
            <w:vAlign w:val="center"/>
          </w:tcPr>
          <w:p w14:paraId="05547E1F" w14:textId="77777777" w:rsidR="00D45CD8" w:rsidRPr="007F7EE4" w:rsidRDefault="00AC3F08">
            <w:pPr>
              <w:pStyle w:val="af8"/>
              <w:rPr>
                <w:sz w:val="15"/>
                <w:szCs w:val="15"/>
              </w:rPr>
            </w:pPr>
            <w:r w:rsidRPr="007F7EE4">
              <w:rPr>
                <w:sz w:val="15"/>
                <w:szCs w:val="15"/>
              </w:rPr>
              <w:t>ROA</w:t>
            </w:r>
          </w:p>
        </w:tc>
        <w:tc>
          <w:tcPr>
            <w:tcW w:w="910" w:type="dxa"/>
            <w:vAlign w:val="center"/>
          </w:tcPr>
          <w:p w14:paraId="157711A1" w14:textId="77777777" w:rsidR="00D45CD8" w:rsidRPr="007F7EE4" w:rsidRDefault="00AC3F08">
            <w:pPr>
              <w:pStyle w:val="af8"/>
              <w:rPr>
                <w:sz w:val="15"/>
                <w:szCs w:val="15"/>
              </w:rPr>
            </w:pPr>
            <w:r w:rsidRPr="007F7EE4">
              <w:rPr>
                <w:sz w:val="15"/>
                <w:szCs w:val="15"/>
              </w:rPr>
              <w:t>22417</w:t>
            </w:r>
          </w:p>
        </w:tc>
        <w:tc>
          <w:tcPr>
            <w:tcW w:w="914" w:type="dxa"/>
            <w:vAlign w:val="center"/>
          </w:tcPr>
          <w:p w14:paraId="13EC00F8" w14:textId="77777777" w:rsidR="00D45CD8" w:rsidRPr="007F7EE4" w:rsidRDefault="00AC3F08">
            <w:pPr>
              <w:pStyle w:val="af8"/>
              <w:rPr>
                <w:sz w:val="15"/>
                <w:szCs w:val="15"/>
              </w:rPr>
            </w:pPr>
            <w:r w:rsidRPr="007F7EE4">
              <w:rPr>
                <w:sz w:val="15"/>
                <w:szCs w:val="15"/>
              </w:rPr>
              <w:t>0.042</w:t>
            </w:r>
          </w:p>
        </w:tc>
        <w:tc>
          <w:tcPr>
            <w:tcW w:w="912" w:type="dxa"/>
            <w:vAlign w:val="center"/>
          </w:tcPr>
          <w:p w14:paraId="5FEDD567" w14:textId="77777777" w:rsidR="00D45CD8" w:rsidRPr="007F7EE4" w:rsidRDefault="00AC3F08">
            <w:pPr>
              <w:pStyle w:val="af8"/>
              <w:rPr>
                <w:sz w:val="15"/>
                <w:szCs w:val="15"/>
              </w:rPr>
            </w:pPr>
            <w:r w:rsidRPr="007F7EE4">
              <w:rPr>
                <w:sz w:val="15"/>
                <w:szCs w:val="15"/>
              </w:rPr>
              <w:t>0.047</w:t>
            </w:r>
          </w:p>
        </w:tc>
        <w:tc>
          <w:tcPr>
            <w:tcW w:w="914" w:type="dxa"/>
            <w:vAlign w:val="center"/>
          </w:tcPr>
          <w:p w14:paraId="4220A9CF" w14:textId="77777777" w:rsidR="00D45CD8" w:rsidRPr="007F7EE4" w:rsidRDefault="00AC3F08">
            <w:pPr>
              <w:pStyle w:val="af8"/>
              <w:rPr>
                <w:sz w:val="15"/>
                <w:szCs w:val="15"/>
              </w:rPr>
            </w:pPr>
            <w:r w:rsidRPr="007F7EE4">
              <w:rPr>
                <w:sz w:val="15"/>
                <w:szCs w:val="15"/>
              </w:rPr>
              <w:t>-0.131</w:t>
            </w:r>
          </w:p>
        </w:tc>
        <w:tc>
          <w:tcPr>
            <w:tcW w:w="914" w:type="dxa"/>
            <w:vAlign w:val="center"/>
          </w:tcPr>
          <w:p w14:paraId="7A1F386C" w14:textId="77777777" w:rsidR="00D45CD8" w:rsidRPr="007F7EE4" w:rsidRDefault="00AC3F08">
            <w:pPr>
              <w:pStyle w:val="af8"/>
              <w:rPr>
                <w:sz w:val="15"/>
                <w:szCs w:val="15"/>
              </w:rPr>
            </w:pPr>
            <w:r w:rsidRPr="007F7EE4">
              <w:rPr>
                <w:sz w:val="15"/>
                <w:szCs w:val="15"/>
              </w:rPr>
              <w:t>0.016</w:t>
            </w:r>
          </w:p>
        </w:tc>
        <w:tc>
          <w:tcPr>
            <w:tcW w:w="912" w:type="dxa"/>
            <w:vAlign w:val="center"/>
          </w:tcPr>
          <w:p w14:paraId="1AC4795A" w14:textId="77777777" w:rsidR="00D45CD8" w:rsidRPr="007F7EE4" w:rsidRDefault="00AC3F08">
            <w:pPr>
              <w:pStyle w:val="af8"/>
              <w:rPr>
                <w:sz w:val="15"/>
                <w:szCs w:val="15"/>
              </w:rPr>
            </w:pPr>
            <w:r w:rsidRPr="007F7EE4">
              <w:rPr>
                <w:sz w:val="15"/>
                <w:szCs w:val="15"/>
              </w:rPr>
              <w:t>0.037</w:t>
            </w:r>
          </w:p>
        </w:tc>
        <w:tc>
          <w:tcPr>
            <w:tcW w:w="914" w:type="dxa"/>
            <w:vAlign w:val="center"/>
          </w:tcPr>
          <w:p w14:paraId="7E703DBE" w14:textId="77777777" w:rsidR="00D45CD8" w:rsidRPr="007F7EE4" w:rsidRDefault="00AC3F08">
            <w:pPr>
              <w:pStyle w:val="af8"/>
              <w:rPr>
                <w:sz w:val="15"/>
                <w:szCs w:val="15"/>
              </w:rPr>
            </w:pPr>
            <w:r w:rsidRPr="007F7EE4">
              <w:rPr>
                <w:sz w:val="15"/>
                <w:szCs w:val="15"/>
              </w:rPr>
              <w:t>0.066</w:t>
            </w:r>
          </w:p>
        </w:tc>
        <w:tc>
          <w:tcPr>
            <w:tcW w:w="912" w:type="dxa"/>
            <w:vAlign w:val="center"/>
          </w:tcPr>
          <w:p w14:paraId="32FDB03D" w14:textId="77777777" w:rsidR="00D45CD8" w:rsidRPr="007F7EE4" w:rsidRDefault="00AC3F08">
            <w:pPr>
              <w:pStyle w:val="af8"/>
              <w:rPr>
                <w:sz w:val="15"/>
                <w:szCs w:val="15"/>
              </w:rPr>
            </w:pPr>
            <w:r w:rsidRPr="007F7EE4">
              <w:rPr>
                <w:sz w:val="15"/>
                <w:szCs w:val="15"/>
              </w:rPr>
              <w:t>0.189</w:t>
            </w:r>
          </w:p>
        </w:tc>
      </w:tr>
      <w:tr w:rsidR="007F7EE4" w:rsidRPr="007F7EE4" w14:paraId="1C1FD93B" w14:textId="77777777">
        <w:tc>
          <w:tcPr>
            <w:tcW w:w="1220" w:type="dxa"/>
            <w:vAlign w:val="center"/>
          </w:tcPr>
          <w:p w14:paraId="5878D7B5" w14:textId="77777777" w:rsidR="00D45CD8" w:rsidRPr="007F7EE4" w:rsidRDefault="00AC3F08">
            <w:pPr>
              <w:pStyle w:val="af8"/>
              <w:rPr>
                <w:sz w:val="15"/>
                <w:szCs w:val="15"/>
              </w:rPr>
            </w:pPr>
            <w:r w:rsidRPr="007F7EE4">
              <w:rPr>
                <w:sz w:val="15"/>
                <w:szCs w:val="15"/>
              </w:rPr>
              <w:t>SOE</w:t>
            </w:r>
          </w:p>
        </w:tc>
        <w:tc>
          <w:tcPr>
            <w:tcW w:w="910" w:type="dxa"/>
            <w:vAlign w:val="center"/>
          </w:tcPr>
          <w:p w14:paraId="2EF8206F" w14:textId="77777777" w:rsidR="00D45CD8" w:rsidRPr="007F7EE4" w:rsidRDefault="00AC3F08">
            <w:pPr>
              <w:pStyle w:val="af8"/>
              <w:rPr>
                <w:sz w:val="15"/>
                <w:szCs w:val="15"/>
              </w:rPr>
            </w:pPr>
            <w:r w:rsidRPr="007F7EE4">
              <w:rPr>
                <w:sz w:val="15"/>
                <w:szCs w:val="15"/>
              </w:rPr>
              <w:t>22417</w:t>
            </w:r>
          </w:p>
        </w:tc>
        <w:tc>
          <w:tcPr>
            <w:tcW w:w="914" w:type="dxa"/>
            <w:vAlign w:val="center"/>
          </w:tcPr>
          <w:p w14:paraId="00010876" w14:textId="77777777" w:rsidR="00D45CD8" w:rsidRPr="007F7EE4" w:rsidRDefault="00AC3F08">
            <w:pPr>
              <w:pStyle w:val="af8"/>
              <w:rPr>
                <w:sz w:val="15"/>
                <w:szCs w:val="15"/>
              </w:rPr>
            </w:pPr>
            <w:r w:rsidRPr="007F7EE4">
              <w:rPr>
                <w:sz w:val="15"/>
                <w:szCs w:val="15"/>
              </w:rPr>
              <w:t>0.381</w:t>
            </w:r>
          </w:p>
        </w:tc>
        <w:tc>
          <w:tcPr>
            <w:tcW w:w="912" w:type="dxa"/>
            <w:vAlign w:val="center"/>
          </w:tcPr>
          <w:p w14:paraId="42AE4AF1" w14:textId="77777777" w:rsidR="00D45CD8" w:rsidRPr="007F7EE4" w:rsidRDefault="00AC3F08">
            <w:pPr>
              <w:pStyle w:val="af8"/>
              <w:rPr>
                <w:sz w:val="15"/>
                <w:szCs w:val="15"/>
              </w:rPr>
            </w:pPr>
            <w:r w:rsidRPr="007F7EE4">
              <w:rPr>
                <w:sz w:val="15"/>
                <w:szCs w:val="15"/>
              </w:rPr>
              <w:t>0.486</w:t>
            </w:r>
          </w:p>
        </w:tc>
        <w:tc>
          <w:tcPr>
            <w:tcW w:w="914" w:type="dxa"/>
            <w:vAlign w:val="center"/>
          </w:tcPr>
          <w:p w14:paraId="337DE29C" w14:textId="77777777" w:rsidR="00D45CD8" w:rsidRPr="007F7EE4" w:rsidRDefault="00AC3F08">
            <w:pPr>
              <w:pStyle w:val="af8"/>
              <w:rPr>
                <w:sz w:val="15"/>
                <w:szCs w:val="15"/>
              </w:rPr>
            </w:pPr>
            <w:r w:rsidRPr="007F7EE4">
              <w:rPr>
                <w:sz w:val="15"/>
                <w:szCs w:val="15"/>
              </w:rPr>
              <w:t>0.000</w:t>
            </w:r>
          </w:p>
        </w:tc>
        <w:tc>
          <w:tcPr>
            <w:tcW w:w="914" w:type="dxa"/>
            <w:vAlign w:val="center"/>
          </w:tcPr>
          <w:p w14:paraId="7F6B40F3" w14:textId="77777777" w:rsidR="00D45CD8" w:rsidRPr="007F7EE4" w:rsidRDefault="00AC3F08">
            <w:pPr>
              <w:pStyle w:val="af8"/>
              <w:rPr>
                <w:sz w:val="15"/>
                <w:szCs w:val="15"/>
              </w:rPr>
            </w:pPr>
            <w:r w:rsidRPr="007F7EE4">
              <w:rPr>
                <w:sz w:val="15"/>
                <w:szCs w:val="15"/>
              </w:rPr>
              <w:t>0.000</w:t>
            </w:r>
          </w:p>
        </w:tc>
        <w:tc>
          <w:tcPr>
            <w:tcW w:w="912" w:type="dxa"/>
            <w:vAlign w:val="center"/>
          </w:tcPr>
          <w:p w14:paraId="50A7B904" w14:textId="77777777" w:rsidR="00D45CD8" w:rsidRPr="007F7EE4" w:rsidRDefault="00AC3F08">
            <w:pPr>
              <w:pStyle w:val="af8"/>
              <w:rPr>
                <w:sz w:val="15"/>
                <w:szCs w:val="15"/>
              </w:rPr>
            </w:pPr>
            <w:r w:rsidRPr="007F7EE4">
              <w:rPr>
                <w:sz w:val="15"/>
                <w:szCs w:val="15"/>
              </w:rPr>
              <w:t>0.000</w:t>
            </w:r>
          </w:p>
        </w:tc>
        <w:tc>
          <w:tcPr>
            <w:tcW w:w="914" w:type="dxa"/>
            <w:vAlign w:val="center"/>
          </w:tcPr>
          <w:p w14:paraId="4D71A957" w14:textId="77777777" w:rsidR="00D45CD8" w:rsidRPr="007F7EE4" w:rsidRDefault="00AC3F08">
            <w:pPr>
              <w:pStyle w:val="af8"/>
              <w:rPr>
                <w:sz w:val="15"/>
                <w:szCs w:val="15"/>
              </w:rPr>
            </w:pPr>
            <w:r w:rsidRPr="007F7EE4">
              <w:rPr>
                <w:sz w:val="15"/>
                <w:szCs w:val="15"/>
              </w:rPr>
              <w:t>1.000</w:t>
            </w:r>
          </w:p>
        </w:tc>
        <w:tc>
          <w:tcPr>
            <w:tcW w:w="912" w:type="dxa"/>
            <w:vAlign w:val="center"/>
          </w:tcPr>
          <w:p w14:paraId="1C7A551C" w14:textId="77777777" w:rsidR="00D45CD8" w:rsidRPr="007F7EE4" w:rsidRDefault="00AC3F08">
            <w:pPr>
              <w:pStyle w:val="af8"/>
              <w:rPr>
                <w:sz w:val="15"/>
                <w:szCs w:val="15"/>
              </w:rPr>
            </w:pPr>
            <w:r w:rsidRPr="007F7EE4">
              <w:rPr>
                <w:sz w:val="15"/>
                <w:szCs w:val="15"/>
              </w:rPr>
              <w:t>1.000</w:t>
            </w:r>
          </w:p>
        </w:tc>
      </w:tr>
      <w:tr w:rsidR="007F7EE4" w:rsidRPr="007F7EE4" w14:paraId="0E9036DB" w14:textId="77777777">
        <w:tc>
          <w:tcPr>
            <w:tcW w:w="1220" w:type="dxa"/>
            <w:vAlign w:val="center"/>
          </w:tcPr>
          <w:p w14:paraId="0CDD7FE8" w14:textId="77777777" w:rsidR="00D45CD8" w:rsidRPr="007F7EE4" w:rsidRDefault="00AC3F08">
            <w:pPr>
              <w:pStyle w:val="af8"/>
              <w:rPr>
                <w:sz w:val="15"/>
                <w:szCs w:val="15"/>
              </w:rPr>
            </w:pPr>
            <w:proofErr w:type="spellStart"/>
            <w:r w:rsidRPr="007F7EE4">
              <w:rPr>
                <w:sz w:val="15"/>
                <w:szCs w:val="15"/>
              </w:rPr>
              <w:t>lnMedia</w:t>
            </w:r>
            <w:proofErr w:type="spellEnd"/>
          </w:p>
        </w:tc>
        <w:tc>
          <w:tcPr>
            <w:tcW w:w="910" w:type="dxa"/>
            <w:vAlign w:val="center"/>
          </w:tcPr>
          <w:p w14:paraId="2880A819" w14:textId="77777777" w:rsidR="00D45CD8" w:rsidRPr="007F7EE4" w:rsidRDefault="00AC3F08">
            <w:pPr>
              <w:pStyle w:val="af8"/>
              <w:rPr>
                <w:sz w:val="15"/>
                <w:szCs w:val="15"/>
              </w:rPr>
            </w:pPr>
            <w:r w:rsidRPr="007F7EE4">
              <w:rPr>
                <w:sz w:val="15"/>
                <w:szCs w:val="15"/>
              </w:rPr>
              <w:t>22417</w:t>
            </w:r>
          </w:p>
        </w:tc>
        <w:tc>
          <w:tcPr>
            <w:tcW w:w="914" w:type="dxa"/>
            <w:vAlign w:val="center"/>
          </w:tcPr>
          <w:p w14:paraId="6ABD7F20" w14:textId="77777777" w:rsidR="00D45CD8" w:rsidRPr="007F7EE4" w:rsidRDefault="00AC3F08">
            <w:pPr>
              <w:pStyle w:val="af8"/>
              <w:rPr>
                <w:sz w:val="15"/>
                <w:szCs w:val="15"/>
              </w:rPr>
            </w:pPr>
            <w:r w:rsidRPr="007F7EE4">
              <w:rPr>
                <w:sz w:val="15"/>
                <w:szCs w:val="15"/>
              </w:rPr>
              <w:t>3.365</w:t>
            </w:r>
          </w:p>
        </w:tc>
        <w:tc>
          <w:tcPr>
            <w:tcW w:w="912" w:type="dxa"/>
            <w:vAlign w:val="center"/>
          </w:tcPr>
          <w:p w14:paraId="02C2E9BC" w14:textId="77777777" w:rsidR="00D45CD8" w:rsidRPr="007F7EE4" w:rsidRDefault="00AC3F08">
            <w:pPr>
              <w:pStyle w:val="af8"/>
              <w:rPr>
                <w:sz w:val="15"/>
                <w:szCs w:val="15"/>
              </w:rPr>
            </w:pPr>
            <w:r w:rsidRPr="007F7EE4">
              <w:rPr>
                <w:sz w:val="15"/>
                <w:szCs w:val="15"/>
              </w:rPr>
              <w:t>1.319</w:t>
            </w:r>
          </w:p>
        </w:tc>
        <w:tc>
          <w:tcPr>
            <w:tcW w:w="914" w:type="dxa"/>
            <w:vAlign w:val="center"/>
          </w:tcPr>
          <w:p w14:paraId="0A8D957C" w14:textId="77777777" w:rsidR="00D45CD8" w:rsidRPr="007F7EE4" w:rsidRDefault="00AC3F08">
            <w:pPr>
              <w:pStyle w:val="af8"/>
              <w:rPr>
                <w:sz w:val="15"/>
                <w:szCs w:val="15"/>
              </w:rPr>
            </w:pPr>
            <w:r w:rsidRPr="007F7EE4">
              <w:rPr>
                <w:sz w:val="15"/>
                <w:szCs w:val="15"/>
              </w:rPr>
              <w:t>0.693</w:t>
            </w:r>
          </w:p>
        </w:tc>
        <w:tc>
          <w:tcPr>
            <w:tcW w:w="914" w:type="dxa"/>
            <w:vAlign w:val="center"/>
          </w:tcPr>
          <w:p w14:paraId="74AC74C3" w14:textId="77777777" w:rsidR="00D45CD8" w:rsidRPr="007F7EE4" w:rsidRDefault="00AC3F08">
            <w:pPr>
              <w:pStyle w:val="af8"/>
              <w:rPr>
                <w:sz w:val="15"/>
                <w:szCs w:val="15"/>
              </w:rPr>
            </w:pPr>
            <w:r w:rsidRPr="007F7EE4">
              <w:rPr>
                <w:sz w:val="15"/>
                <w:szCs w:val="15"/>
              </w:rPr>
              <w:t>2.485</w:t>
            </w:r>
          </w:p>
        </w:tc>
        <w:tc>
          <w:tcPr>
            <w:tcW w:w="912" w:type="dxa"/>
            <w:vAlign w:val="center"/>
          </w:tcPr>
          <w:p w14:paraId="17084EF3" w14:textId="77777777" w:rsidR="00D45CD8" w:rsidRPr="007F7EE4" w:rsidRDefault="00AC3F08">
            <w:pPr>
              <w:pStyle w:val="af8"/>
              <w:rPr>
                <w:sz w:val="15"/>
                <w:szCs w:val="15"/>
              </w:rPr>
            </w:pPr>
            <w:r w:rsidRPr="007F7EE4">
              <w:rPr>
                <w:sz w:val="15"/>
                <w:szCs w:val="15"/>
              </w:rPr>
              <w:t>3.258</w:t>
            </w:r>
          </w:p>
        </w:tc>
        <w:tc>
          <w:tcPr>
            <w:tcW w:w="914" w:type="dxa"/>
            <w:vAlign w:val="center"/>
          </w:tcPr>
          <w:p w14:paraId="34C97D0C" w14:textId="77777777" w:rsidR="00D45CD8" w:rsidRPr="007F7EE4" w:rsidRDefault="00AC3F08">
            <w:pPr>
              <w:pStyle w:val="af8"/>
              <w:rPr>
                <w:sz w:val="15"/>
                <w:szCs w:val="15"/>
              </w:rPr>
            </w:pPr>
            <w:r w:rsidRPr="007F7EE4">
              <w:rPr>
                <w:sz w:val="15"/>
                <w:szCs w:val="15"/>
              </w:rPr>
              <w:t>4.127</w:t>
            </w:r>
          </w:p>
        </w:tc>
        <w:tc>
          <w:tcPr>
            <w:tcW w:w="912" w:type="dxa"/>
            <w:vAlign w:val="center"/>
          </w:tcPr>
          <w:p w14:paraId="30CEF4C0" w14:textId="77777777" w:rsidR="00D45CD8" w:rsidRPr="007F7EE4" w:rsidRDefault="00AC3F08">
            <w:pPr>
              <w:pStyle w:val="af8"/>
              <w:rPr>
                <w:sz w:val="15"/>
                <w:szCs w:val="15"/>
              </w:rPr>
            </w:pPr>
            <w:r w:rsidRPr="007F7EE4">
              <w:rPr>
                <w:sz w:val="15"/>
                <w:szCs w:val="15"/>
              </w:rPr>
              <w:t>9.279</w:t>
            </w:r>
          </w:p>
        </w:tc>
      </w:tr>
      <w:tr w:rsidR="007F7EE4" w:rsidRPr="007F7EE4" w14:paraId="15AEA16D" w14:textId="77777777">
        <w:tc>
          <w:tcPr>
            <w:tcW w:w="1220" w:type="dxa"/>
            <w:vAlign w:val="center"/>
          </w:tcPr>
          <w:p w14:paraId="4D951F83" w14:textId="77777777" w:rsidR="00D45CD8" w:rsidRPr="007F7EE4" w:rsidRDefault="00AC3F08">
            <w:pPr>
              <w:pStyle w:val="af8"/>
              <w:rPr>
                <w:sz w:val="15"/>
                <w:szCs w:val="15"/>
              </w:rPr>
            </w:pPr>
            <w:proofErr w:type="spellStart"/>
            <w:r w:rsidRPr="007F7EE4">
              <w:rPr>
                <w:sz w:val="15"/>
                <w:szCs w:val="15"/>
              </w:rPr>
              <w:t>lnMediaA</w:t>
            </w:r>
            <w:proofErr w:type="spellEnd"/>
          </w:p>
        </w:tc>
        <w:tc>
          <w:tcPr>
            <w:tcW w:w="910" w:type="dxa"/>
            <w:vAlign w:val="center"/>
          </w:tcPr>
          <w:p w14:paraId="6CE6C804" w14:textId="77777777" w:rsidR="00D45CD8" w:rsidRPr="007F7EE4" w:rsidRDefault="00AC3F08">
            <w:pPr>
              <w:pStyle w:val="af8"/>
              <w:rPr>
                <w:sz w:val="15"/>
                <w:szCs w:val="15"/>
              </w:rPr>
            </w:pPr>
            <w:r w:rsidRPr="007F7EE4">
              <w:rPr>
                <w:sz w:val="15"/>
                <w:szCs w:val="15"/>
              </w:rPr>
              <w:t>22417</w:t>
            </w:r>
          </w:p>
        </w:tc>
        <w:tc>
          <w:tcPr>
            <w:tcW w:w="914" w:type="dxa"/>
            <w:vAlign w:val="center"/>
          </w:tcPr>
          <w:p w14:paraId="6C944314" w14:textId="77777777" w:rsidR="00D45CD8" w:rsidRPr="007F7EE4" w:rsidRDefault="00AC3F08">
            <w:pPr>
              <w:pStyle w:val="af8"/>
              <w:rPr>
                <w:sz w:val="15"/>
                <w:szCs w:val="15"/>
              </w:rPr>
            </w:pPr>
            <w:r w:rsidRPr="007F7EE4">
              <w:rPr>
                <w:sz w:val="15"/>
                <w:szCs w:val="15"/>
              </w:rPr>
              <w:t>1.565</w:t>
            </w:r>
          </w:p>
        </w:tc>
        <w:tc>
          <w:tcPr>
            <w:tcW w:w="912" w:type="dxa"/>
            <w:vAlign w:val="center"/>
          </w:tcPr>
          <w:p w14:paraId="0EDE3966" w14:textId="77777777" w:rsidR="00D45CD8" w:rsidRPr="007F7EE4" w:rsidRDefault="00AC3F08">
            <w:pPr>
              <w:pStyle w:val="af8"/>
              <w:rPr>
                <w:sz w:val="15"/>
                <w:szCs w:val="15"/>
              </w:rPr>
            </w:pPr>
            <w:r w:rsidRPr="007F7EE4">
              <w:rPr>
                <w:sz w:val="15"/>
                <w:szCs w:val="15"/>
              </w:rPr>
              <w:t>1.094</w:t>
            </w:r>
          </w:p>
        </w:tc>
        <w:tc>
          <w:tcPr>
            <w:tcW w:w="914" w:type="dxa"/>
            <w:vAlign w:val="center"/>
          </w:tcPr>
          <w:p w14:paraId="7E4CBD84" w14:textId="77777777" w:rsidR="00D45CD8" w:rsidRPr="007F7EE4" w:rsidRDefault="00AC3F08">
            <w:pPr>
              <w:pStyle w:val="af8"/>
              <w:rPr>
                <w:sz w:val="15"/>
                <w:szCs w:val="15"/>
              </w:rPr>
            </w:pPr>
            <w:r w:rsidRPr="007F7EE4">
              <w:rPr>
                <w:sz w:val="15"/>
                <w:szCs w:val="15"/>
              </w:rPr>
              <w:t>0.000</w:t>
            </w:r>
          </w:p>
        </w:tc>
        <w:tc>
          <w:tcPr>
            <w:tcW w:w="914" w:type="dxa"/>
            <w:vAlign w:val="center"/>
          </w:tcPr>
          <w:p w14:paraId="610F6B62" w14:textId="77777777" w:rsidR="00D45CD8" w:rsidRPr="007F7EE4" w:rsidRDefault="00AC3F08">
            <w:pPr>
              <w:pStyle w:val="af8"/>
              <w:rPr>
                <w:sz w:val="15"/>
                <w:szCs w:val="15"/>
              </w:rPr>
            </w:pPr>
            <w:r w:rsidRPr="007F7EE4">
              <w:rPr>
                <w:sz w:val="15"/>
                <w:szCs w:val="15"/>
              </w:rPr>
              <w:t>0.693</w:t>
            </w:r>
          </w:p>
        </w:tc>
        <w:tc>
          <w:tcPr>
            <w:tcW w:w="912" w:type="dxa"/>
            <w:vAlign w:val="center"/>
          </w:tcPr>
          <w:p w14:paraId="27978750" w14:textId="77777777" w:rsidR="00D45CD8" w:rsidRPr="007F7EE4" w:rsidRDefault="00AC3F08">
            <w:pPr>
              <w:pStyle w:val="af8"/>
              <w:rPr>
                <w:sz w:val="15"/>
                <w:szCs w:val="15"/>
              </w:rPr>
            </w:pPr>
            <w:r w:rsidRPr="007F7EE4">
              <w:rPr>
                <w:sz w:val="15"/>
                <w:szCs w:val="15"/>
              </w:rPr>
              <w:t>1.609</w:t>
            </w:r>
          </w:p>
        </w:tc>
        <w:tc>
          <w:tcPr>
            <w:tcW w:w="914" w:type="dxa"/>
            <w:vAlign w:val="center"/>
          </w:tcPr>
          <w:p w14:paraId="7B2ED370" w14:textId="77777777" w:rsidR="00D45CD8" w:rsidRPr="007F7EE4" w:rsidRDefault="00AC3F08">
            <w:pPr>
              <w:pStyle w:val="af8"/>
              <w:rPr>
                <w:sz w:val="15"/>
                <w:szCs w:val="15"/>
              </w:rPr>
            </w:pPr>
            <w:r w:rsidRPr="007F7EE4">
              <w:rPr>
                <w:sz w:val="15"/>
                <w:szCs w:val="15"/>
              </w:rPr>
              <w:t>2.303</w:t>
            </w:r>
          </w:p>
        </w:tc>
        <w:tc>
          <w:tcPr>
            <w:tcW w:w="912" w:type="dxa"/>
            <w:vAlign w:val="center"/>
          </w:tcPr>
          <w:p w14:paraId="4E72658D" w14:textId="77777777" w:rsidR="00D45CD8" w:rsidRPr="007F7EE4" w:rsidRDefault="00AC3F08">
            <w:pPr>
              <w:pStyle w:val="af8"/>
              <w:rPr>
                <w:sz w:val="15"/>
                <w:szCs w:val="15"/>
              </w:rPr>
            </w:pPr>
            <w:r w:rsidRPr="007F7EE4">
              <w:rPr>
                <w:sz w:val="15"/>
                <w:szCs w:val="15"/>
              </w:rPr>
              <w:t>6.420</w:t>
            </w:r>
          </w:p>
        </w:tc>
      </w:tr>
      <w:tr w:rsidR="007F7EE4" w:rsidRPr="007F7EE4" w14:paraId="38A9A8AC" w14:textId="77777777">
        <w:tc>
          <w:tcPr>
            <w:tcW w:w="1220" w:type="dxa"/>
            <w:vAlign w:val="center"/>
          </w:tcPr>
          <w:p w14:paraId="677385D9" w14:textId="77777777" w:rsidR="00D45CD8" w:rsidRPr="007F7EE4" w:rsidRDefault="00AC3F08">
            <w:pPr>
              <w:pStyle w:val="af8"/>
              <w:rPr>
                <w:sz w:val="15"/>
                <w:szCs w:val="15"/>
              </w:rPr>
            </w:pPr>
            <w:proofErr w:type="spellStart"/>
            <w:r w:rsidRPr="007F7EE4">
              <w:rPr>
                <w:sz w:val="15"/>
                <w:szCs w:val="15"/>
              </w:rPr>
              <w:t>lnMediaM</w:t>
            </w:r>
            <w:proofErr w:type="spellEnd"/>
          </w:p>
        </w:tc>
        <w:tc>
          <w:tcPr>
            <w:tcW w:w="910" w:type="dxa"/>
            <w:vAlign w:val="center"/>
          </w:tcPr>
          <w:p w14:paraId="55E2B8F6" w14:textId="77777777" w:rsidR="00D45CD8" w:rsidRPr="007F7EE4" w:rsidRDefault="00AC3F08">
            <w:pPr>
              <w:pStyle w:val="af8"/>
              <w:rPr>
                <w:sz w:val="15"/>
                <w:szCs w:val="15"/>
              </w:rPr>
            </w:pPr>
            <w:r w:rsidRPr="007F7EE4">
              <w:rPr>
                <w:sz w:val="15"/>
                <w:szCs w:val="15"/>
              </w:rPr>
              <w:t>22417</w:t>
            </w:r>
          </w:p>
        </w:tc>
        <w:tc>
          <w:tcPr>
            <w:tcW w:w="914" w:type="dxa"/>
            <w:vAlign w:val="center"/>
          </w:tcPr>
          <w:p w14:paraId="75DE9B1E" w14:textId="77777777" w:rsidR="00D45CD8" w:rsidRPr="007F7EE4" w:rsidRDefault="00AC3F08">
            <w:pPr>
              <w:pStyle w:val="af8"/>
              <w:rPr>
                <w:sz w:val="15"/>
                <w:szCs w:val="15"/>
              </w:rPr>
            </w:pPr>
            <w:r w:rsidRPr="007F7EE4">
              <w:rPr>
                <w:sz w:val="15"/>
                <w:szCs w:val="15"/>
              </w:rPr>
              <w:t>3.159</w:t>
            </w:r>
          </w:p>
        </w:tc>
        <w:tc>
          <w:tcPr>
            <w:tcW w:w="912" w:type="dxa"/>
            <w:vAlign w:val="center"/>
          </w:tcPr>
          <w:p w14:paraId="77F1C15C" w14:textId="77777777" w:rsidR="00D45CD8" w:rsidRPr="007F7EE4" w:rsidRDefault="00AC3F08">
            <w:pPr>
              <w:pStyle w:val="af8"/>
              <w:rPr>
                <w:sz w:val="15"/>
                <w:szCs w:val="15"/>
              </w:rPr>
            </w:pPr>
            <w:r w:rsidRPr="007F7EE4">
              <w:rPr>
                <w:sz w:val="15"/>
                <w:szCs w:val="15"/>
              </w:rPr>
              <w:t>1.379</w:t>
            </w:r>
          </w:p>
        </w:tc>
        <w:tc>
          <w:tcPr>
            <w:tcW w:w="914" w:type="dxa"/>
            <w:vAlign w:val="center"/>
          </w:tcPr>
          <w:p w14:paraId="1093E32E" w14:textId="77777777" w:rsidR="00D45CD8" w:rsidRPr="007F7EE4" w:rsidRDefault="00AC3F08">
            <w:pPr>
              <w:pStyle w:val="af8"/>
              <w:rPr>
                <w:sz w:val="15"/>
                <w:szCs w:val="15"/>
              </w:rPr>
            </w:pPr>
            <w:r w:rsidRPr="007F7EE4">
              <w:rPr>
                <w:sz w:val="15"/>
                <w:szCs w:val="15"/>
              </w:rPr>
              <w:t>0.000</w:t>
            </w:r>
          </w:p>
        </w:tc>
        <w:tc>
          <w:tcPr>
            <w:tcW w:w="914" w:type="dxa"/>
            <w:vAlign w:val="center"/>
          </w:tcPr>
          <w:p w14:paraId="147F1FD3" w14:textId="77777777" w:rsidR="00D45CD8" w:rsidRPr="007F7EE4" w:rsidRDefault="00AC3F08">
            <w:pPr>
              <w:pStyle w:val="af8"/>
              <w:rPr>
                <w:sz w:val="15"/>
                <w:szCs w:val="15"/>
              </w:rPr>
            </w:pPr>
            <w:r w:rsidRPr="007F7EE4">
              <w:rPr>
                <w:sz w:val="15"/>
                <w:szCs w:val="15"/>
              </w:rPr>
              <w:t>2.197</w:t>
            </w:r>
          </w:p>
        </w:tc>
        <w:tc>
          <w:tcPr>
            <w:tcW w:w="912" w:type="dxa"/>
            <w:vAlign w:val="center"/>
          </w:tcPr>
          <w:p w14:paraId="6BF49966" w14:textId="77777777" w:rsidR="00D45CD8" w:rsidRPr="007F7EE4" w:rsidRDefault="00AC3F08">
            <w:pPr>
              <w:pStyle w:val="af8"/>
              <w:rPr>
                <w:sz w:val="15"/>
                <w:szCs w:val="15"/>
              </w:rPr>
            </w:pPr>
            <w:r w:rsidRPr="007F7EE4">
              <w:rPr>
                <w:sz w:val="15"/>
                <w:szCs w:val="15"/>
              </w:rPr>
              <w:t>2.996</w:t>
            </w:r>
          </w:p>
        </w:tc>
        <w:tc>
          <w:tcPr>
            <w:tcW w:w="914" w:type="dxa"/>
            <w:vAlign w:val="center"/>
          </w:tcPr>
          <w:p w14:paraId="21ADBD4A" w14:textId="77777777" w:rsidR="00D45CD8" w:rsidRPr="007F7EE4" w:rsidRDefault="00AC3F08">
            <w:pPr>
              <w:pStyle w:val="af8"/>
              <w:rPr>
                <w:sz w:val="15"/>
                <w:szCs w:val="15"/>
              </w:rPr>
            </w:pPr>
            <w:r w:rsidRPr="007F7EE4">
              <w:rPr>
                <w:sz w:val="15"/>
                <w:szCs w:val="15"/>
              </w:rPr>
              <w:t>3.970</w:t>
            </w:r>
          </w:p>
        </w:tc>
        <w:tc>
          <w:tcPr>
            <w:tcW w:w="912" w:type="dxa"/>
            <w:vAlign w:val="center"/>
          </w:tcPr>
          <w:p w14:paraId="214394A1" w14:textId="77777777" w:rsidR="00D45CD8" w:rsidRPr="007F7EE4" w:rsidRDefault="00AC3F08">
            <w:pPr>
              <w:pStyle w:val="af8"/>
              <w:rPr>
                <w:sz w:val="15"/>
                <w:szCs w:val="15"/>
              </w:rPr>
            </w:pPr>
            <w:r w:rsidRPr="007F7EE4">
              <w:rPr>
                <w:sz w:val="15"/>
                <w:szCs w:val="15"/>
              </w:rPr>
              <w:t>9.264</w:t>
            </w:r>
          </w:p>
        </w:tc>
      </w:tr>
      <w:tr w:rsidR="007F7EE4" w:rsidRPr="007F7EE4" w14:paraId="751B0667" w14:textId="77777777">
        <w:tc>
          <w:tcPr>
            <w:tcW w:w="1220" w:type="dxa"/>
            <w:vAlign w:val="center"/>
          </w:tcPr>
          <w:p w14:paraId="5FB8B390" w14:textId="77777777" w:rsidR="00D45CD8" w:rsidRPr="007F7EE4" w:rsidRDefault="00AC3F08">
            <w:pPr>
              <w:pStyle w:val="af8"/>
              <w:rPr>
                <w:sz w:val="15"/>
                <w:szCs w:val="15"/>
              </w:rPr>
            </w:pPr>
            <w:r w:rsidRPr="007F7EE4">
              <w:rPr>
                <w:sz w:val="15"/>
                <w:szCs w:val="15"/>
              </w:rPr>
              <w:t>ER</w:t>
            </w:r>
          </w:p>
        </w:tc>
        <w:tc>
          <w:tcPr>
            <w:tcW w:w="910" w:type="dxa"/>
            <w:vAlign w:val="center"/>
          </w:tcPr>
          <w:p w14:paraId="4BCD766D" w14:textId="77777777" w:rsidR="00D45CD8" w:rsidRPr="007F7EE4" w:rsidRDefault="00AC3F08">
            <w:pPr>
              <w:pStyle w:val="af8"/>
              <w:rPr>
                <w:sz w:val="15"/>
                <w:szCs w:val="15"/>
              </w:rPr>
            </w:pPr>
            <w:r w:rsidRPr="007F7EE4">
              <w:rPr>
                <w:sz w:val="15"/>
                <w:szCs w:val="15"/>
              </w:rPr>
              <w:t>17090</w:t>
            </w:r>
          </w:p>
        </w:tc>
        <w:tc>
          <w:tcPr>
            <w:tcW w:w="914" w:type="dxa"/>
            <w:vAlign w:val="center"/>
          </w:tcPr>
          <w:p w14:paraId="244508A5" w14:textId="77777777" w:rsidR="00D45CD8" w:rsidRPr="007F7EE4" w:rsidRDefault="00AC3F08">
            <w:pPr>
              <w:pStyle w:val="af8"/>
              <w:rPr>
                <w:sz w:val="15"/>
                <w:szCs w:val="15"/>
              </w:rPr>
            </w:pPr>
            <w:r w:rsidRPr="007F7EE4">
              <w:rPr>
                <w:sz w:val="15"/>
                <w:szCs w:val="15"/>
              </w:rPr>
              <w:t>4.435</w:t>
            </w:r>
          </w:p>
        </w:tc>
        <w:tc>
          <w:tcPr>
            <w:tcW w:w="912" w:type="dxa"/>
            <w:vAlign w:val="center"/>
          </w:tcPr>
          <w:p w14:paraId="07695BA4" w14:textId="77777777" w:rsidR="00D45CD8" w:rsidRPr="007F7EE4" w:rsidRDefault="00AC3F08">
            <w:pPr>
              <w:pStyle w:val="af8"/>
              <w:rPr>
                <w:sz w:val="15"/>
                <w:szCs w:val="15"/>
              </w:rPr>
            </w:pPr>
            <w:r w:rsidRPr="007F7EE4">
              <w:rPr>
                <w:sz w:val="15"/>
                <w:szCs w:val="15"/>
              </w:rPr>
              <w:t>0.313</w:t>
            </w:r>
          </w:p>
        </w:tc>
        <w:tc>
          <w:tcPr>
            <w:tcW w:w="914" w:type="dxa"/>
            <w:vAlign w:val="center"/>
          </w:tcPr>
          <w:p w14:paraId="6FED50CE" w14:textId="77777777" w:rsidR="00D45CD8" w:rsidRPr="007F7EE4" w:rsidRDefault="00AC3F08">
            <w:pPr>
              <w:pStyle w:val="af8"/>
              <w:rPr>
                <w:sz w:val="15"/>
                <w:szCs w:val="15"/>
              </w:rPr>
            </w:pPr>
            <w:r w:rsidRPr="007F7EE4">
              <w:rPr>
                <w:sz w:val="15"/>
                <w:szCs w:val="15"/>
              </w:rPr>
              <w:t>2.890</w:t>
            </w:r>
          </w:p>
        </w:tc>
        <w:tc>
          <w:tcPr>
            <w:tcW w:w="914" w:type="dxa"/>
            <w:vAlign w:val="center"/>
          </w:tcPr>
          <w:p w14:paraId="7E41F1CF" w14:textId="77777777" w:rsidR="00D45CD8" w:rsidRPr="007F7EE4" w:rsidRDefault="00AC3F08">
            <w:pPr>
              <w:pStyle w:val="af8"/>
              <w:rPr>
                <w:sz w:val="15"/>
                <w:szCs w:val="15"/>
              </w:rPr>
            </w:pPr>
            <w:r w:rsidRPr="007F7EE4">
              <w:rPr>
                <w:sz w:val="15"/>
                <w:szCs w:val="15"/>
              </w:rPr>
              <w:t>4.251</w:t>
            </w:r>
          </w:p>
        </w:tc>
        <w:tc>
          <w:tcPr>
            <w:tcW w:w="912" w:type="dxa"/>
            <w:vAlign w:val="center"/>
          </w:tcPr>
          <w:p w14:paraId="42E67F85" w14:textId="77777777" w:rsidR="00D45CD8" w:rsidRPr="007F7EE4" w:rsidRDefault="00AC3F08">
            <w:pPr>
              <w:pStyle w:val="af8"/>
              <w:rPr>
                <w:sz w:val="15"/>
                <w:szCs w:val="15"/>
              </w:rPr>
            </w:pPr>
            <w:r w:rsidRPr="007F7EE4">
              <w:rPr>
                <w:sz w:val="15"/>
                <w:szCs w:val="15"/>
              </w:rPr>
              <w:t>4.427</w:t>
            </w:r>
          </w:p>
        </w:tc>
        <w:tc>
          <w:tcPr>
            <w:tcW w:w="914" w:type="dxa"/>
            <w:vAlign w:val="center"/>
          </w:tcPr>
          <w:p w14:paraId="1FB6EBC2" w14:textId="77777777" w:rsidR="00D45CD8" w:rsidRPr="007F7EE4" w:rsidRDefault="00AC3F08">
            <w:pPr>
              <w:pStyle w:val="af8"/>
              <w:rPr>
                <w:sz w:val="15"/>
                <w:szCs w:val="15"/>
              </w:rPr>
            </w:pPr>
            <w:r w:rsidRPr="007F7EE4">
              <w:rPr>
                <w:sz w:val="15"/>
                <w:szCs w:val="15"/>
              </w:rPr>
              <w:t>4.610</w:t>
            </w:r>
          </w:p>
        </w:tc>
        <w:tc>
          <w:tcPr>
            <w:tcW w:w="912" w:type="dxa"/>
            <w:vAlign w:val="center"/>
          </w:tcPr>
          <w:p w14:paraId="477F2E2B" w14:textId="77777777" w:rsidR="00D45CD8" w:rsidRPr="007F7EE4" w:rsidRDefault="00AC3F08">
            <w:pPr>
              <w:pStyle w:val="af8"/>
              <w:rPr>
                <w:sz w:val="15"/>
                <w:szCs w:val="15"/>
              </w:rPr>
            </w:pPr>
            <w:r w:rsidRPr="007F7EE4">
              <w:rPr>
                <w:sz w:val="15"/>
                <w:szCs w:val="15"/>
              </w:rPr>
              <w:t>5.505</w:t>
            </w:r>
          </w:p>
        </w:tc>
      </w:tr>
      <w:tr w:rsidR="007F7EE4" w:rsidRPr="007F7EE4" w14:paraId="5A66D8A4" w14:textId="77777777">
        <w:tc>
          <w:tcPr>
            <w:tcW w:w="1220" w:type="dxa"/>
            <w:vAlign w:val="center"/>
          </w:tcPr>
          <w:p w14:paraId="28D19501" w14:textId="77777777" w:rsidR="00D45CD8" w:rsidRPr="007F7EE4" w:rsidRDefault="00AC3F08">
            <w:pPr>
              <w:pStyle w:val="af8"/>
              <w:rPr>
                <w:sz w:val="15"/>
                <w:szCs w:val="15"/>
              </w:rPr>
            </w:pPr>
            <w:proofErr w:type="spellStart"/>
            <w:r w:rsidRPr="007F7EE4">
              <w:rPr>
                <w:sz w:val="15"/>
                <w:szCs w:val="15"/>
              </w:rPr>
              <w:t>PCceo</w:t>
            </w:r>
            <w:proofErr w:type="spellEnd"/>
          </w:p>
        </w:tc>
        <w:tc>
          <w:tcPr>
            <w:tcW w:w="910" w:type="dxa"/>
            <w:vAlign w:val="center"/>
          </w:tcPr>
          <w:p w14:paraId="0B4E1D4F" w14:textId="77777777" w:rsidR="00D45CD8" w:rsidRPr="007F7EE4" w:rsidRDefault="00AC3F08">
            <w:pPr>
              <w:pStyle w:val="af8"/>
              <w:rPr>
                <w:sz w:val="15"/>
                <w:szCs w:val="15"/>
              </w:rPr>
            </w:pPr>
            <w:r w:rsidRPr="007F7EE4">
              <w:rPr>
                <w:sz w:val="15"/>
                <w:szCs w:val="15"/>
              </w:rPr>
              <w:t>22412</w:t>
            </w:r>
          </w:p>
        </w:tc>
        <w:tc>
          <w:tcPr>
            <w:tcW w:w="914" w:type="dxa"/>
            <w:vAlign w:val="center"/>
          </w:tcPr>
          <w:p w14:paraId="4EC72049" w14:textId="77777777" w:rsidR="00D45CD8" w:rsidRPr="007F7EE4" w:rsidRDefault="00AC3F08">
            <w:pPr>
              <w:pStyle w:val="af8"/>
              <w:rPr>
                <w:sz w:val="15"/>
                <w:szCs w:val="15"/>
              </w:rPr>
            </w:pPr>
            <w:r w:rsidRPr="007F7EE4">
              <w:rPr>
                <w:sz w:val="15"/>
                <w:szCs w:val="15"/>
              </w:rPr>
              <w:t>0.141</w:t>
            </w:r>
          </w:p>
        </w:tc>
        <w:tc>
          <w:tcPr>
            <w:tcW w:w="912" w:type="dxa"/>
            <w:vAlign w:val="center"/>
          </w:tcPr>
          <w:p w14:paraId="482E8063" w14:textId="77777777" w:rsidR="00D45CD8" w:rsidRPr="007F7EE4" w:rsidRDefault="00AC3F08">
            <w:pPr>
              <w:pStyle w:val="af8"/>
              <w:rPr>
                <w:sz w:val="15"/>
                <w:szCs w:val="15"/>
              </w:rPr>
            </w:pPr>
            <w:r w:rsidRPr="007F7EE4">
              <w:rPr>
                <w:sz w:val="15"/>
                <w:szCs w:val="15"/>
              </w:rPr>
              <w:t>0.348</w:t>
            </w:r>
          </w:p>
        </w:tc>
        <w:tc>
          <w:tcPr>
            <w:tcW w:w="914" w:type="dxa"/>
            <w:vAlign w:val="center"/>
          </w:tcPr>
          <w:p w14:paraId="3B003713" w14:textId="77777777" w:rsidR="00D45CD8" w:rsidRPr="007F7EE4" w:rsidRDefault="00AC3F08">
            <w:pPr>
              <w:pStyle w:val="af8"/>
              <w:rPr>
                <w:sz w:val="15"/>
                <w:szCs w:val="15"/>
              </w:rPr>
            </w:pPr>
            <w:r w:rsidRPr="007F7EE4">
              <w:rPr>
                <w:sz w:val="15"/>
                <w:szCs w:val="15"/>
              </w:rPr>
              <w:t>0.000</w:t>
            </w:r>
          </w:p>
        </w:tc>
        <w:tc>
          <w:tcPr>
            <w:tcW w:w="914" w:type="dxa"/>
            <w:vAlign w:val="center"/>
          </w:tcPr>
          <w:p w14:paraId="124D96F7" w14:textId="77777777" w:rsidR="00D45CD8" w:rsidRPr="007F7EE4" w:rsidRDefault="00AC3F08">
            <w:pPr>
              <w:pStyle w:val="af8"/>
              <w:rPr>
                <w:sz w:val="15"/>
                <w:szCs w:val="15"/>
              </w:rPr>
            </w:pPr>
            <w:r w:rsidRPr="007F7EE4">
              <w:rPr>
                <w:sz w:val="15"/>
                <w:szCs w:val="15"/>
              </w:rPr>
              <w:t>0.000</w:t>
            </w:r>
          </w:p>
        </w:tc>
        <w:tc>
          <w:tcPr>
            <w:tcW w:w="912" w:type="dxa"/>
            <w:vAlign w:val="center"/>
          </w:tcPr>
          <w:p w14:paraId="45A54B03" w14:textId="77777777" w:rsidR="00D45CD8" w:rsidRPr="007F7EE4" w:rsidRDefault="00AC3F08">
            <w:pPr>
              <w:pStyle w:val="af8"/>
              <w:rPr>
                <w:sz w:val="15"/>
                <w:szCs w:val="15"/>
              </w:rPr>
            </w:pPr>
            <w:r w:rsidRPr="007F7EE4">
              <w:rPr>
                <w:sz w:val="15"/>
                <w:szCs w:val="15"/>
              </w:rPr>
              <w:t>0.000</w:t>
            </w:r>
          </w:p>
        </w:tc>
        <w:tc>
          <w:tcPr>
            <w:tcW w:w="914" w:type="dxa"/>
            <w:vAlign w:val="center"/>
          </w:tcPr>
          <w:p w14:paraId="713B7E4A" w14:textId="77777777" w:rsidR="00D45CD8" w:rsidRPr="007F7EE4" w:rsidRDefault="00AC3F08">
            <w:pPr>
              <w:pStyle w:val="af8"/>
              <w:rPr>
                <w:sz w:val="15"/>
                <w:szCs w:val="15"/>
              </w:rPr>
            </w:pPr>
            <w:r w:rsidRPr="007F7EE4">
              <w:rPr>
                <w:sz w:val="15"/>
                <w:szCs w:val="15"/>
              </w:rPr>
              <w:t>0.000</w:t>
            </w:r>
          </w:p>
        </w:tc>
        <w:tc>
          <w:tcPr>
            <w:tcW w:w="912" w:type="dxa"/>
            <w:vAlign w:val="center"/>
          </w:tcPr>
          <w:p w14:paraId="1268D2AC" w14:textId="77777777" w:rsidR="00D45CD8" w:rsidRPr="007F7EE4" w:rsidRDefault="00AC3F08">
            <w:pPr>
              <w:pStyle w:val="af8"/>
              <w:rPr>
                <w:sz w:val="15"/>
                <w:szCs w:val="15"/>
              </w:rPr>
            </w:pPr>
            <w:r w:rsidRPr="007F7EE4">
              <w:rPr>
                <w:sz w:val="15"/>
                <w:szCs w:val="15"/>
              </w:rPr>
              <w:t>1.000</w:t>
            </w:r>
          </w:p>
        </w:tc>
      </w:tr>
      <w:tr w:rsidR="007F7EE4" w:rsidRPr="007F7EE4" w14:paraId="433F3CB5" w14:textId="77777777">
        <w:tc>
          <w:tcPr>
            <w:tcW w:w="1220" w:type="dxa"/>
            <w:vAlign w:val="center"/>
          </w:tcPr>
          <w:p w14:paraId="3691E259" w14:textId="77777777" w:rsidR="00D45CD8" w:rsidRPr="007F7EE4" w:rsidRDefault="00AC3F08">
            <w:pPr>
              <w:pStyle w:val="af8"/>
              <w:rPr>
                <w:sz w:val="15"/>
                <w:szCs w:val="15"/>
              </w:rPr>
            </w:pPr>
            <w:r w:rsidRPr="007F7EE4">
              <w:rPr>
                <w:sz w:val="15"/>
                <w:szCs w:val="15"/>
              </w:rPr>
              <w:t>EPI</w:t>
            </w:r>
          </w:p>
        </w:tc>
        <w:tc>
          <w:tcPr>
            <w:tcW w:w="910" w:type="dxa"/>
            <w:vAlign w:val="center"/>
          </w:tcPr>
          <w:p w14:paraId="15A530D9" w14:textId="77777777" w:rsidR="00D45CD8" w:rsidRPr="007F7EE4" w:rsidRDefault="00AC3F08">
            <w:pPr>
              <w:pStyle w:val="af8"/>
              <w:rPr>
                <w:sz w:val="15"/>
                <w:szCs w:val="15"/>
              </w:rPr>
            </w:pPr>
            <w:r w:rsidRPr="007F7EE4">
              <w:rPr>
                <w:sz w:val="15"/>
                <w:szCs w:val="15"/>
              </w:rPr>
              <w:t>22417</w:t>
            </w:r>
          </w:p>
        </w:tc>
        <w:tc>
          <w:tcPr>
            <w:tcW w:w="914" w:type="dxa"/>
            <w:vAlign w:val="center"/>
          </w:tcPr>
          <w:p w14:paraId="7D4FB75D" w14:textId="77777777" w:rsidR="00D45CD8" w:rsidRPr="007F7EE4" w:rsidRDefault="00AC3F08">
            <w:pPr>
              <w:pStyle w:val="af8"/>
              <w:rPr>
                <w:sz w:val="15"/>
                <w:szCs w:val="15"/>
              </w:rPr>
            </w:pPr>
            <w:r w:rsidRPr="007F7EE4">
              <w:rPr>
                <w:sz w:val="15"/>
                <w:szCs w:val="15"/>
              </w:rPr>
              <w:t>0.168</w:t>
            </w:r>
          </w:p>
        </w:tc>
        <w:tc>
          <w:tcPr>
            <w:tcW w:w="912" w:type="dxa"/>
            <w:vAlign w:val="center"/>
          </w:tcPr>
          <w:p w14:paraId="763A7660" w14:textId="77777777" w:rsidR="00D45CD8" w:rsidRPr="007F7EE4" w:rsidRDefault="00AC3F08">
            <w:pPr>
              <w:pStyle w:val="af8"/>
              <w:rPr>
                <w:sz w:val="15"/>
                <w:szCs w:val="15"/>
              </w:rPr>
            </w:pPr>
            <w:r w:rsidRPr="007F7EE4">
              <w:rPr>
                <w:sz w:val="15"/>
                <w:szCs w:val="15"/>
              </w:rPr>
              <w:t>1.129</w:t>
            </w:r>
          </w:p>
        </w:tc>
        <w:tc>
          <w:tcPr>
            <w:tcW w:w="914" w:type="dxa"/>
            <w:vAlign w:val="center"/>
          </w:tcPr>
          <w:p w14:paraId="3BDC2A00" w14:textId="77777777" w:rsidR="00D45CD8" w:rsidRPr="007F7EE4" w:rsidRDefault="00AC3F08">
            <w:pPr>
              <w:pStyle w:val="af8"/>
              <w:rPr>
                <w:sz w:val="15"/>
                <w:szCs w:val="15"/>
              </w:rPr>
            </w:pPr>
            <w:r w:rsidRPr="007F7EE4">
              <w:rPr>
                <w:sz w:val="15"/>
                <w:szCs w:val="15"/>
              </w:rPr>
              <w:t>0.000</w:t>
            </w:r>
          </w:p>
        </w:tc>
        <w:tc>
          <w:tcPr>
            <w:tcW w:w="914" w:type="dxa"/>
            <w:vAlign w:val="center"/>
          </w:tcPr>
          <w:p w14:paraId="084415D9" w14:textId="77777777" w:rsidR="00D45CD8" w:rsidRPr="007F7EE4" w:rsidRDefault="00AC3F08">
            <w:pPr>
              <w:pStyle w:val="af8"/>
              <w:rPr>
                <w:sz w:val="15"/>
                <w:szCs w:val="15"/>
              </w:rPr>
            </w:pPr>
            <w:r w:rsidRPr="007F7EE4">
              <w:rPr>
                <w:sz w:val="15"/>
                <w:szCs w:val="15"/>
              </w:rPr>
              <w:t>0.000</w:t>
            </w:r>
          </w:p>
        </w:tc>
        <w:tc>
          <w:tcPr>
            <w:tcW w:w="912" w:type="dxa"/>
            <w:vAlign w:val="center"/>
          </w:tcPr>
          <w:p w14:paraId="3706E320" w14:textId="77777777" w:rsidR="00D45CD8" w:rsidRPr="007F7EE4" w:rsidRDefault="00AC3F08">
            <w:pPr>
              <w:pStyle w:val="af8"/>
              <w:rPr>
                <w:sz w:val="15"/>
                <w:szCs w:val="15"/>
              </w:rPr>
            </w:pPr>
            <w:r w:rsidRPr="007F7EE4">
              <w:rPr>
                <w:sz w:val="15"/>
                <w:szCs w:val="15"/>
              </w:rPr>
              <w:t>0.000</w:t>
            </w:r>
          </w:p>
        </w:tc>
        <w:tc>
          <w:tcPr>
            <w:tcW w:w="914" w:type="dxa"/>
            <w:vAlign w:val="center"/>
          </w:tcPr>
          <w:p w14:paraId="1E440C6F" w14:textId="77777777" w:rsidR="00D45CD8" w:rsidRPr="007F7EE4" w:rsidRDefault="00AC3F08">
            <w:pPr>
              <w:pStyle w:val="af8"/>
              <w:rPr>
                <w:sz w:val="15"/>
                <w:szCs w:val="15"/>
              </w:rPr>
            </w:pPr>
            <w:r w:rsidRPr="007F7EE4">
              <w:rPr>
                <w:sz w:val="15"/>
                <w:szCs w:val="15"/>
              </w:rPr>
              <w:t>0.001</w:t>
            </w:r>
          </w:p>
        </w:tc>
        <w:tc>
          <w:tcPr>
            <w:tcW w:w="912" w:type="dxa"/>
            <w:vAlign w:val="center"/>
          </w:tcPr>
          <w:p w14:paraId="339DAE94" w14:textId="77777777" w:rsidR="00D45CD8" w:rsidRPr="007F7EE4" w:rsidRDefault="00AC3F08">
            <w:pPr>
              <w:pStyle w:val="af8"/>
              <w:rPr>
                <w:sz w:val="15"/>
                <w:szCs w:val="15"/>
              </w:rPr>
            </w:pPr>
            <w:r w:rsidRPr="007F7EE4">
              <w:rPr>
                <w:sz w:val="15"/>
                <w:szCs w:val="15"/>
              </w:rPr>
              <w:t>37.120</w:t>
            </w:r>
          </w:p>
        </w:tc>
      </w:tr>
    </w:tbl>
    <w:p w14:paraId="6C08B688" w14:textId="77777777" w:rsidR="00D45CD8" w:rsidRPr="007F7EE4" w:rsidRDefault="00AC3F08">
      <w:pPr>
        <w:spacing w:beforeLines="50" w:before="156" w:afterLines="50" w:after="156" w:line="200" w:lineRule="exact"/>
        <w:ind w:leftChars="172" w:left="566" w:hangingChars="137" w:hanging="205"/>
        <w:rPr>
          <w:rFonts w:ascii="宋体" w:hAnsi="宋体"/>
          <w:sz w:val="18"/>
        </w:rPr>
      </w:pPr>
      <w:r w:rsidRPr="007F7EE4">
        <w:rPr>
          <w:rFonts w:ascii="宋体" w:hAnsi="宋体" w:hint="eastAsia"/>
          <w:sz w:val="15"/>
          <w:szCs w:val="15"/>
        </w:rPr>
        <w:t>注：作者整理计算。</w:t>
      </w:r>
    </w:p>
    <w:p w14:paraId="254F63E3" w14:textId="77777777" w:rsidR="00D45CD8" w:rsidRPr="007F7EE4" w:rsidRDefault="00AC3F08">
      <w:pPr>
        <w:pStyle w:val="2"/>
      </w:pPr>
      <w:r w:rsidRPr="007F7EE4">
        <w:rPr>
          <w:rFonts w:hint="eastAsia"/>
        </w:rPr>
        <w:t>（二）基准回归分析</w:t>
      </w:r>
    </w:p>
    <w:p w14:paraId="71B7C544" w14:textId="77777777" w:rsidR="00D45CD8" w:rsidRPr="007F7EE4" w:rsidRDefault="00AC3F08">
      <w:pPr>
        <w:ind w:firstLine="420"/>
      </w:pPr>
      <w:r w:rsidRPr="007F7EE4">
        <w:rPr>
          <w:rFonts w:ascii="宋体" w:hAnsi="宋体" w:cs="Times New Roman"/>
        </w:rPr>
        <w:t>更进一步地，对各变量进行相关性分析，本文采用皮</w:t>
      </w:r>
      <w:r w:rsidRPr="007F7EE4">
        <w:rPr>
          <w:rFonts w:cs="Times New Roman"/>
        </w:rPr>
        <w:t>尔森（</w:t>
      </w:r>
      <w:r w:rsidRPr="007F7EE4">
        <w:rPr>
          <w:rFonts w:cs="Times New Roman"/>
        </w:rPr>
        <w:t>Pearson</w:t>
      </w:r>
      <w:r w:rsidRPr="007F7EE4">
        <w:rPr>
          <w:rFonts w:cs="Times New Roman"/>
        </w:rPr>
        <w:t>）进行变量间的相关性检验</w:t>
      </w:r>
      <w:r w:rsidRPr="007F7EE4">
        <w:rPr>
          <w:rFonts w:cs="Times New Roman" w:hint="eastAsia"/>
        </w:rPr>
        <w:t>，相关性</w:t>
      </w:r>
      <w:r w:rsidRPr="007F7EE4">
        <w:rPr>
          <w:rFonts w:cs="Times New Roman"/>
        </w:rPr>
        <w:t>的检验结果显示主要因各变量和自变量、控制变量之间的相关系数较小，可以认为变量之间不存在严重的多重共线性问题</w:t>
      </w:r>
      <w:r w:rsidRPr="007F7EE4">
        <w:rPr>
          <w:rStyle w:val="af4"/>
          <w:rFonts w:cs="Times New Roman"/>
        </w:rPr>
        <w:footnoteReference w:id="4"/>
      </w:r>
      <w:r w:rsidRPr="007F7EE4">
        <w:rPr>
          <w:rFonts w:cs="Times New Roman"/>
        </w:rPr>
        <w:t>。基于研究模型（</w:t>
      </w:r>
      <w:r w:rsidRPr="007F7EE4">
        <w:rPr>
          <w:rFonts w:cs="Times New Roman"/>
        </w:rPr>
        <w:t>1</w:t>
      </w:r>
      <w:r w:rsidRPr="007F7EE4">
        <w:rPr>
          <w:rFonts w:cs="Times New Roman"/>
        </w:rPr>
        <w:t>）的基本设定，通过多元回归模型</w:t>
      </w:r>
      <w:r w:rsidRPr="007F7EE4">
        <w:rPr>
          <w:rFonts w:cs="Times New Roman" w:hint="eastAsia"/>
        </w:rPr>
        <w:t>（</w:t>
      </w:r>
      <w:r w:rsidRPr="007F7EE4">
        <w:rPr>
          <w:rFonts w:cs="Times New Roman" w:hint="eastAsia"/>
        </w:rPr>
        <w:t>OLS</w:t>
      </w:r>
      <w:r w:rsidRPr="007F7EE4">
        <w:rPr>
          <w:rFonts w:cs="Times New Roman" w:hint="eastAsia"/>
        </w:rPr>
        <w:t>）</w:t>
      </w:r>
      <w:r w:rsidRPr="007F7EE4">
        <w:rPr>
          <w:rFonts w:cs="Times New Roman"/>
        </w:rPr>
        <w:t>考察</w:t>
      </w:r>
      <w:r w:rsidRPr="007F7EE4">
        <w:rPr>
          <w:rFonts w:cs="Times New Roman" w:hint="eastAsia"/>
        </w:rPr>
        <w:t>企业社会责任</w:t>
      </w:r>
      <w:r w:rsidRPr="007F7EE4">
        <w:rPr>
          <w:rFonts w:cs="Times New Roman"/>
        </w:rPr>
        <w:t>对</w:t>
      </w:r>
      <w:r w:rsidRPr="007F7EE4">
        <w:rPr>
          <w:rFonts w:cs="Times New Roman" w:hint="eastAsia"/>
        </w:rPr>
        <w:t>企业</w:t>
      </w:r>
      <w:r w:rsidRPr="007F7EE4">
        <w:rPr>
          <w:rFonts w:cs="Times New Roman"/>
        </w:rPr>
        <w:t>绿色技术创新绩效的影响</w:t>
      </w:r>
      <w:r w:rsidRPr="007F7EE4">
        <w:rPr>
          <w:rFonts w:cs="Times New Roman" w:hint="eastAsia"/>
        </w:rPr>
        <w:t>，</w:t>
      </w:r>
      <w:r w:rsidRPr="007F7EE4">
        <w:rPr>
          <w:rFonts w:cs="Times New Roman"/>
        </w:rPr>
        <w:t>基于表</w:t>
      </w:r>
      <w:r w:rsidRPr="007F7EE4">
        <w:rPr>
          <w:rFonts w:cs="Times New Roman" w:hint="eastAsia"/>
        </w:rPr>
        <w:t>3</w:t>
      </w:r>
      <w:r w:rsidRPr="007F7EE4">
        <w:rPr>
          <w:rFonts w:cs="Times New Roman" w:hint="eastAsia"/>
        </w:rPr>
        <w:t>的研究结果显示，不管是对绿色专利申请还是绿色专利授权都产生显著的促进效应，说明企业社会责任有助于强化企业绿色技术创新绩效，且对企业绿色专利申请的影响系数大于绿色专利授权申请，影响系数分别为</w:t>
      </w:r>
      <w:r w:rsidRPr="007F7EE4">
        <w:rPr>
          <w:rFonts w:cs="Times New Roman" w:hint="eastAsia"/>
        </w:rPr>
        <w:t>0.085</w:t>
      </w:r>
      <w:r w:rsidRPr="007F7EE4">
        <w:rPr>
          <w:rFonts w:cs="Times New Roman" w:hint="eastAsia"/>
        </w:rPr>
        <w:t>和</w:t>
      </w:r>
      <w:r w:rsidRPr="007F7EE4">
        <w:rPr>
          <w:rFonts w:cs="Times New Roman" w:hint="eastAsia"/>
        </w:rPr>
        <w:t>0.062</w:t>
      </w:r>
      <w:r w:rsidRPr="007F7EE4">
        <w:rPr>
          <w:rFonts w:cs="Times New Roman" w:hint="eastAsia"/>
        </w:rPr>
        <w:t>，且都通过了</w:t>
      </w:r>
      <w:r w:rsidRPr="007F7EE4">
        <w:rPr>
          <w:rFonts w:cs="Times New Roman" w:hint="eastAsia"/>
        </w:rPr>
        <w:t>1%</w:t>
      </w:r>
      <w:r w:rsidRPr="007F7EE4">
        <w:rPr>
          <w:rFonts w:cs="Times New Roman" w:hint="eastAsia"/>
        </w:rPr>
        <w:t>水平下的显著性检验，意味着企业社会责任下的可持续绿色发展导向强化了企业绿色技术创新导向，能够促进企业更好地迎合外部利益相关方的绿色环保导向改造企业的技术创新过程以及产品与服务的绿色属性，实现基于绿色技术创新的可持续发展。</w:t>
      </w:r>
    </w:p>
    <w:p w14:paraId="3217BEAF"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t xml:space="preserve">3 </w:t>
      </w:r>
      <w:r w:rsidRPr="007F7EE4">
        <w:rPr>
          <w:rFonts w:hint="eastAsia"/>
        </w:rPr>
        <w:t>基准回归结果</w:t>
      </w:r>
    </w:p>
    <w:p w14:paraId="53FB1883" w14:textId="77777777" w:rsidR="00D45CD8" w:rsidRPr="007F7EE4" w:rsidRDefault="00D45CD8">
      <w:pPr>
        <w:pStyle w:val="TableEHeading"/>
        <w:numPr>
          <w:ilvl w:val="0"/>
          <w:numId w:val="0"/>
        </w:numPr>
        <w:rPr>
          <w:b w:val="0"/>
          <w:bCs w:val="0"/>
        </w:rPr>
      </w:pPr>
    </w:p>
    <w:tbl>
      <w:tblPr>
        <w:tblW w:w="8522" w:type="dxa"/>
        <w:tblLayout w:type="fixed"/>
        <w:tblLook w:val="04A0" w:firstRow="1" w:lastRow="0" w:firstColumn="1" w:lastColumn="0" w:noHBand="0" w:noVBand="1"/>
      </w:tblPr>
      <w:tblGrid>
        <w:gridCol w:w="2840"/>
        <w:gridCol w:w="2841"/>
        <w:gridCol w:w="2841"/>
      </w:tblGrid>
      <w:tr w:rsidR="007F7EE4" w:rsidRPr="007F7EE4" w14:paraId="3A439BCF" w14:textId="77777777">
        <w:tc>
          <w:tcPr>
            <w:tcW w:w="2840" w:type="dxa"/>
            <w:tcBorders>
              <w:top w:val="single" w:sz="4" w:space="0" w:color="auto"/>
              <w:left w:val="nil"/>
              <w:bottom w:val="nil"/>
              <w:right w:val="nil"/>
            </w:tcBorders>
            <w:vAlign w:val="center"/>
          </w:tcPr>
          <w:p w14:paraId="62E84ABB"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single" w:sz="4" w:space="0" w:color="auto"/>
              <w:left w:val="nil"/>
              <w:bottom w:val="nil"/>
              <w:right w:val="nil"/>
            </w:tcBorders>
            <w:vAlign w:val="center"/>
          </w:tcPr>
          <w:p w14:paraId="0487CC6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2841" w:type="dxa"/>
            <w:tcBorders>
              <w:top w:val="single" w:sz="4" w:space="0" w:color="auto"/>
              <w:left w:val="nil"/>
              <w:bottom w:val="nil"/>
              <w:right w:val="nil"/>
            </w:tcBorders>
            <w:vAlign w:val="center"/>
          </w:tcPr>
          <w:p w14:paraId="68B9C83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r>
      <w:tr w:rsidR="007F7EE4" w:rsidRPr="007F7EE4" w14:paraId="23E66A84" w14:textId="77777777">
        <w:tc>
          <w:tcPr>
            <w:tcW w:w="2840" w:type="dxa"/>
            <w:tcBorders>
              <w:top w:val="nil"/>
              <w:left w:val="nil"/>
              <w:bottom w:val="nil"/>
              <w:right w:val="nil"/>
            </w:tcBorders>
            <w:vAlign w:val="center"/>
          </w:tcPr>
          <w:p w14:paraId="4EBD3142"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4B17A1B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2841" w:type="dxa"/>
            <w:tcBorders>
              <w:top w:val="nil"/>
              <w:left w:val="nil"/>
              <w:bottom w:val="nil"/>
              <w:right w:val="nil"/>
            </w:tcBorders>
            <w:vAlign w:val="center"/>
          </w:tcPr>
          <w:p w14:paraId="64A4DE0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6B4C15EB" w14:textId="77777777">
        <w:tc>
          <w:tcPr>
            <w:tcW w:w="2840" w:type="dxa"/>
            <w:tcBorders>
              <w:top w:val="single" w:sz="4" w:space="0" w:color="auto"/>
              <w:left w:val="nil"/>
              <w:bottom w:val="nil"/>
              <w:right w:val="nil"/>
            </w:tcBorders>
            <w:vAlign w:val="center"/>
          </w:tcPr>
          <w:p w14:paraId="599117BA"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lastRenderedPageBreak/>
              <w:t>lnCSR</w:t>
            </w:r>
            <w:proofErr w:type="spellEnd"/>
          </w:p>
        </w:tc>
        <w:tc>
          <w:tcPr>
            <w:tcW w:w="2841" w:type="dxa"/>
            <w:tcBorders>
              <w:top w:val="single" w:sz="4" w:space="0" w:color="auto"/>
              <w:left w:val="nil"/>
              <w:bottom w:val="nil"/>
              <w:right w:val="nil"/>
            </w:tcBorders>
            <w:vAlign w:val="center"/>
          </w:tcPr>
          <w:p w14:paraId="2E48293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0.085***</w:t>
            </w:r>
          </w:p>
        </w:tc>
        <w:tc>
          <w:tcPr>
            <w:tcW w:w="2841" w:type="dxa"/>
            <w:tcBorders>
              <w:top w:val="single" w:sz="4" w:space="0" w:color="auto"/>
              <w:left w:val="nil"/>
              <w:bottom w:val="nil"/>
              <w:right w:val="nil"/>
            </w:tcBorders>
            <w:vAlign w:val="center"/>
          </w:tcPr>
          <w:p w14:paraId="2162EDD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0.066***</w:t>
            </w:r>
          </w:p>
        </w:tc>
      </w:tr>
      <w:tr w:rsidR="007F7EE4" w:rsidRPr="007F7EE4" w14:paraId="0D14D539" w14:textId="77777777">
        <w:tc>
          <w:tcPr>
            <w:tcW w:w="2840" w:type="dxa"/>
            <w:tcBorders>
              <w:top w:val="nil"/>
              <w:left w:val="nil"/>
              <w:bottom w:val="nil"/>
              <w:right w:val="nil"/>
            </w:tcBorders>
            <w:vAlign w:val="center"/>
          </w:tcPr>
          <w:p w14:paraId="60F1C205"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35AD182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(0.012)</w:t>
            </w:r>
          </w:p>
        </w:tc>
        <w:tc>
          <w:tcPr>
            <w:tcW w:w="2841" w:type="dxa"/>
            <w:tcBorders>
              <w:top w:val="nil"/>
              <w:left w:val="nil"/>
              <w:bottom w:val="nil"/>
              <w:right w:val="nil"/>
            </w:tcBorders>
            <w:vAlign w:val="center"/>
          </w:tcPr>
          <w:p w14:paraId="4C845DF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(0.011)</w:t>
            </w:r>
          </w:p>
        </w:tc>
      </w:tr>
      <w:tr w:rsidR="007F7EE4" w:rsidRPr="007F7EE4" w14:paraId="78DA5CC9" w14:textId="77777777">
        <w:tc>
          <w:tcPr>
            <w:tcW w:w="2840" w:type="dxa"/>
            <w:tcBorders>
              <w:top w:val="nil"/>
              <w:left w:val="nil"/>
              <w:bottom w:val="nil"/>
              <w:right w:val="nil"/>
            </w:tcBorders>
            <w:vAlign w:val="center"/>
          </w:tcPr>
          <w:p w14:paraId="7344AA0B"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lnSize</w:t>
            </w:r>
            <w:proofErr w:type="spellEnd"/>
          </w:p>
        </w:tc>
        <w:tc>
          <w:tcPr>
            <w:tcW w:w="2841" w:type="dxa"/>
            <w:tcBorders>
              <w:top w:val="nil"/>
              <w:left w:val="nil"/>
              <w:bottom w:val="nil"/>
              <w:right w:val="nil"/>
            </w:tcBorders>
            <w:vAlign w:val="center"/>
          </w:tcPr>
          <w:p w14:paraId="2C3C6CF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0.310***</w:t>
            </w:r>
          </w:p>
        </w:tc>
        <w:tc>
          <w:tcPr>
            <w:tcW w:w="2841" w:type="dxa"/>
            <w:tcBorders>
              <w:top w:val="nil"/>
              <w:left w:val="nil"/>
              <w:bottom w:val="nil"/>
              <w:right w:val="nil"/>
            </w:tcBorders>
            <w:vAlign w:val="center"/>
          </w:tcPr>
          <w:p w14:paraId="252E360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0.257***</w:t>
            </w:r>
          </w:p>
        </w:tc>
      </w:tr>
      <w:tr w:rsidR="007F7EE4" w:rsidRPr="007F7EE4" w14:paraId="54C13BC7" w14:textId="77777777">
        <w:tc>
          <w:tcPr>
            <w:tcW w:w="2840" w:type="dxa"/>
            <w:tcBorders>
              <w:top w:val="nil"/>
              <w:left w:val="nil"/>
              <w:bottom w:val="nil"/>
              <w:right w:val="nil"/>
            </w:tcBorders>
            <w:vAlign w:val="center"/>
          </w:tcPr>
          <w:p w14:paraId="6C269376"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1EF40D3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(0.007)</w:t>
            </w:r>
          </w:p>
        </w:tc>
        <w:tc>
          <w:tcPr>
            <w:tcW w:w="2841" w:type="dxa"/>
            <w:tcBorders>
              <w:top w:val="nil"/>
              <w:left w:val="nil"/>
              <w:bottom w:val="nil"/>
              <w:right w:val="nil"/>
            </w:tcBorders>
            <w:vAlign w:val="center"/>
          </w:tcPr>
          <w:p w14:paraId="13AC518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(0.006)</w:t>
            </w:r>
          </w:p>
        </w:tc>
      </w:tr>
      <w:tr w:rsidR="007F7EE4" w:rsidRPr="007F7EE4" w14:paraId="5FC780AF" w14:textId="77777777">
        <w:tc>
          <w:tcPr>
            <w:tcW w:w="2840" w:type="dxa"/>
            <w:tcBorders>
              <w:top w:val="nil"/>
              <w:left w:val="nil"/>
              <w:bottom w:val="nil"/>
              <w:right w:val="nil"/>
            </w:tcBorders>
            <w:vAlign w:val="center"/>
          </w:tcPr>
          <w:p w14:paraId="141F2BE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Leverage</w:t>
            </w:r>
          </w:p>
        </w:tc>
        <w:tc>
          <w:tcPr>
            <w:tcW w:w="2841" w:type="dxa"/>
            <w:tcBorders>
              <w:top w:val="nil"/>
              <w:left w:val="nil"/>
              <w:bottom w:val="nil"/>
              <w:right w:val="nil"/>
            </w:tcBorders>
            <w:vAlign w:val="center"/>
          </w:tcPr>
          <w:p w14:paraId="0AE49C0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0.497***</w:t>
            </w:r>
          </w:p>
        </w:tc>
        <w:tc>
          <w:tcPr>
            <w:tcW w:w="2841" w:type="dxa"/>
            <w:tcBorders>
              <w:top w:val="nil"/>
              <w:left w:val="nil"/>
              <w:bottom w:val="nil"/>
              <w:right w:val="nil"/>
            </w:tcBorders>
            <w:vAlign w:val="center"/>
          </w:tcPr>
          <w:p w14:paraId="7F439C1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0.453***</w:t>
            </w:r>
          </w:p>
        </w:tc>
      </w:tr>
      <w:tr w:rsidR="007F7EE4" w:rsidRPr="007F7EE4" w14:paraId="4A9433F8" w14:textId="77777777">
        <w:tc>
          <w:tcPr>
            <w:tcW w:w="2840" w:type="dxa"/>
            <w:tcBorders>
              <w:top w:val="nil"/>
              <w:left w:val="nil"/>
              <w:bottom w:val="nil"/>
              <w:right w:val="nil"/>
            </w:tcBorders>
            <w:vAlign w:val="center"/>
          </w:tcPr>
          <w:p w14:paraId="03A0961D"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42AB968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(0.041)</w:t>
            </w:r>
          </w:p>
        </w:tc>
        <w:tc>
          <w:tcPr>
            <w:tcW w:w="2841" w:type="dxa"/>
            <w:tcBorders>
              <w:top w:val="nil"/>
              <w:left w:val="nil"/>
              <w:bottom w:val="nil"/>
              <w:right w:val="nil"/>
            </w:tcBorders>
            <w:vAlign w:val="center"/>
          </w:tcPr>
          <w:p w14:paraId="4BBA712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(0.036)</w:t>
            </w:r>
          </w:p>
        </w:tc>
      </w:tr>
      <w:tr w:rsidR="007F7EE4" w:rsidRPr="007F7EE4" w14:paraId="70CE4C68" w14:textId="77777777">
        <w:tc>
          <w:tcPr>
            <w:tcW w:w="2840" w:type="dxa"/>
            <w:tcBorders>
              <w:top w:val="nil"/>
              <w:left w:val="nil"/>
              <w:bottom w:val="nil"/>
              <w:right w:val="nil"/>
            </w:tcBorders>
            <w:vAlign w:val="center"/>
          </w:tcPr>
          <w:p w14:paraId="329A978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Age</w:t>
            </w:r>
          </w:p>
        </w:tc>
        <w:tc>
          <w:tcPr>
            <w:tcW w:w="2841" w:type="dxa"/>
            <w:tcBorders>
              <w:top w:val="nil"/>
              <w:left w:val="nil"/>
              <w:bottom w:val="nil"/>
              <w:right w:val="nil"/>
            </w:tcBorders>
            <w:vAlign w:val="center"/>
          </w:tcPr>
          <w:p w14:paraId="6FB3AEC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0.000</w:t>
            </w:r>
          </w:p>
        </w:tc>
        <w:tc>
          <w:tcPr>
            <w:tcW w:w="2841" w:type="dxa"/>
            <w:tcBorders>
              <w:top w:val="nil"/>
              <w:left w:val="nil"/>
              <w:bottom w:val="nil"/>
              <w:right w:val="nil"/>
            </w:tcBorders>
            <w:vAlign w:val="center"/>
          </w:tcPr>
          <w:p w14:paraId="5B44932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0.001</w:t>
            </w:r>
          </w:p>
        </w:tc>
      </w:tr>
      <w:tr w:rsidR="007F7EE4" w:rsidRPr="007F7EE4" w14:paraId="38E7A676" w14:textId="77777777">
        <w:tc>
          <w:tcPr>
            <w:tcW w:w="2840" w:type="dxa"/>
            <w:tcBorders>
              <w:top w:val="nil"/>
              <w:left w:val="nil"/>
              <w:bottom w:val="nil"/>
              <w:right w:val="nil"/>
            </w:tcBorders>
            <w:vAlign w:val="center"/>
          </w:tcPr>
          <w:p w14:paraId="35561AAF"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434A6A7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(0.001)</w:t>
            </w:r>
          </w:p>
        </w:tc>
        <w:tc>
          <w:tcPr>
            <w:tcW w:w="2841" w:type="dxa"/>
            <w:tcBorders>
              <w:top w:val="nil"/>
              <w:left w:val="nil"/>
              <w:bottom w:val="nil"/>
              <w:right w:val="nil"/>
            </w:tcBorders>
            <w:vAlign w:val="center"/>
          </w:tcPr>
          <w:p w14:paraId="18E233B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(0.001)</w:t>
            </w:r>
          </w:p>
        </w:tc>
      </w:tr>
      <w:tr w:rsidR="007F7EE4" w:rsidRPr="007F7EE4" w14:paraId="7D63F7FD" w14:textId="77777777">
        <w:tc>
          <w:tcPr>
            <w:tcW w:w="2840" w:type="dxa"/>
            <w:tcBorders>
              <w:top w:val="nil"/>
              <w:left w:val="nil"/>
              <w:bottom w:val="nil"/>
              <w:right w:val="nil"/>
            </w:tcBorders>
            <w:vAlign w:val="center"/>
          </w:tcPr>
          <w:p w14:paraId="29E9DDA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Tangible</w:t>
            </w:r>
          </w:p>
        </w:tc>
        <w:tc>
          <w:tcPr>
            <w:tcW w:w="2841" w:type="dxa"/>
            <w:tcBorders>
              <w:top w:val="nil"/>
              <w:left w:val="nil"/>
              <w:bottom w:val="nil"/>
              <w:right w:val="nil"/>
            </w:tcBorders>
            <w:vAlign w:val="center"/>
          </w:tcPr>
          <w:p w14:paraId="0BEA036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-0.790***</w:t>
            </w:r>
          </w:p>
        </w:tc>
        <w:tc>
          <w:tcPr>
            <w:tcW w:w="2841" w:type="dxa"/>
            <w:tcBorders>
              <w:top w:val="nil"/>
              <w:left w:val="nil"/>
              <w:bottom w:val="nil"/>
              <w:right w:val="nil"/>
            </w:tcBorders>
            <w:vAlign w:val="center"/>
          </w:tcPr>
          <w:p w14:paraId="2B9139D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-0.586***</w:t>
            </w:r>
          </w:p>
        </w:tc>
      </w:tr>
      <w:tr w:rsidR="007F7EE4" w:rsidRPr="007F7EE4" w14:paraId="0F9556FA" w14:textId="77777777">
        <w:tc>
          <w:tcPr>
            <w:tcW w:w="2840" w:type="dxa"/>
            <w:tcBorders>
              <w:top w:val="nil"/>
              <w:left w:val="nil"/>
              <w:bottom w:val="nil"/>
              <w:right w:val="nil"/>
            </w:tcBorders>
            <w:vAlign w:val="center"/>
          </w:tcPr>
          <w:p w14:paraId="7F2DA8C8"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15B0F4D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(0.052)</w:t>
            </w:r>
          </w:p>
        </w:tc>
        <w:tc>
          <w:tcPr>
            <w:tcW w:w="2841" w:type="dxa"/>
            <w:tcBorders>
              <w:top w:val="nil"/>
              <w:left w:val="nil"/>
              <w:bottom w:val="nil"/>
              <w:right w:val="nil"/>
            </w:tcBorders>
            <w:vAlign w:val="center"/>
          </w:tcPr>
          <w:p w14:paraId="40AEDE5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(0.046)</w:t>
            </w:r>
          </w:p>
        </w:tc>
      </w:tr>
      <w:tr w:rsidR="007F7EE4" w:rsidRPr="007F7EE4" w14:paraId="388907ED" w14:textId="77777777">
        <w:tc>
          <w:tcPr>
            <w:tcW w:w="2840" w:type="dxa"/>
            <w:tcBorders>
              <w:top w:val="nil"/>
              <w:left w:val="nil"/>
              <w:bottom w:val="nil"/>
              <w:right w:val="nil"/>
            </w:tcBorders>
            <w:vAlign w:val="center"/>
          </w:tcPr>
          <w:p w14:paraId="6F36695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CFO</w:t>
            </w:r>
          </w:p>
        </w:tc>
        <w:tc>
          <w:tcPr>
            <w:tcW w:w="2841" w:type="dxa"/>
            <w:tcBorders>
              <w:top w:val="nil"/>
              <w:left w:val="nil"/>
              <w:bottom w:val="nil"/>
              <w:right w:val="nil"/>
            </w:tcBorders>
            <w:vAlign w:val="center"/>
          </w:tcPr>
          <w:p w14:paraId="15743B7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-0.439***</w:t>
            </w:r>
          </w:p>
        </w:tc>
        <w:tc>
          <w:tcPr>
            <w:tcW w:w="2841" w:type="dxa"/>
            <w:tcBorders>
              <w:top w:val="nil"/>
              <w:left w:val="nil"/>
              <w:bottom w:val="nil"/>
              <w:right w:val="nil"/>
            </w:tcBorders>
            <w:vAlign w:val="center"/>
          </w:tcPr>
          <w:p w14:paraId="271A570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-0.244***</w:t>
            </w:r>
          </w:p>
        </w:tc>
      </w:tr>
      <w:tr w:rsidR="007F7EE4" w:rsidRPr="007F7EE4" w14:paraId="3071A4A4" w14:textId="77777777">
        <w:tc>
          <w:tcPr>
            <w:tcW w:w="2840" w:type="dxa"/>
            <w:tcBorders>
              <w:top w:val="nil"/>
              <w:left w:val="nil"/>
              <w:bottom w:val="nil"/>
              <w:right w:val="nil"/>
            </w:tcBorders>
            <w:vAlign w:val="center"/>
          </w:tcPr>
          <w:p w14:paraId="7C01CFE8"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6C91FC0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(0.104)</w:t>
            </w:r>
          </w:p>
        </w:tc>
        <w:tc>
          <w:tcPr>
            <w:tcW w:w="2841" w:type="dxa"/>
            <w:tcBorders>
              <w:top w:val="nil"/>
              <w:left w:val="nil"/>
              <w:bottom w:val="nil"/>
              <w:right w:val="nil"/>
            </w:tcBorders>
            <w:vAlign w:val="center"/>
          </w:tcPr>
          <w:p w14:paraId="377F79D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(0.090)</w:t>
            </w:r>
          </w:p>
        </w:tc>
      </w:tr>
      <w:tr w:rsidR="007F7EE4" w:rsidRPr="007F7EE4" w14:paraId="1D279426" w14:textId="77777777">
        <w:tc>
          <w:tcPr>
            <w:tcW w:w="2840" w:type="dxa"/>
            <w:tcBorders>
              <w:top w:val="nil"/>
              <w:left w:val="nil"/>
              <w:bottom w:val="nil"/>
              <w:right w:val="nil"/>
            </w:tcBorders>
            <w:vAlign w:val="center"/>
          </w:tcPr>
          <w:p w14:paraId="12C5ED4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ROA</w:t>
            </w:r>
          </w:p>
        </w:tc>
        <w:tc>
          <w:tcPr>
            <w:tcW w:w="2841" w:type="dxa"/>
            <w:tcBorders>
              <w:top w:val="nil"/>
              <w:left w:val="nil"/>
              <w:bottom w:val="nil"/>
              <w:right w:val="nil"/>
            </w:tcBorders>
            <w:vAlign w:val="center"/>
          </w:tcPr>
          <w:p w14:paraId="4E2BFA5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0.043</w:t>
            </w:r>
          </w:p>
        </w:tc>
        <w:tc>
          <w:tcPr>
            <w:tcW w:w="2841" w:type="dxa"/>
            <w:tcBorders>
              <w:top w:val="nil"/>
              <w:left w:val="nil"/>
              <w:bottom w:val="nil"/>
              <w:right w:val="nil"/>
            </w:tcBorders>
            <w:vAlign w:val="center"/>
          </w:tcPr>
          <w:p w14:paraId="082F644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-0.350**</w:t>
            </w:r>
          </w:p>
        </w:tc>
      </w:tr>
      <w:tr w:rsidR="007F7EE4" w:rsidRPr="007F7EE4" w14:paraId="77A59BDE" w14:textId="77777777">
        <w:tc>
          <w:tcPr>
            <w:tcW w:w="2840" w:type="dxa"/>
            <w:tcBorders>
              <w:top w:val="nil"/>
              <w:left w:val="nil"/>
              <w:bottom w:val="nil"/>
              <w:right w:val="nil"/>
            </w:tcBorders>
            <w:vAlign w:val="center"/>
          </w:tcPr>
          <w:p w14:paraId="126B35CC"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35FB8B3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(0.193)</w:t>
            </w:r>
          </w:p>
        </w:tc>
        <w:tc>
          <w:tcPr>
            <w:tcW w:w="2841" w:type="dxa"/>
            <w:tcBorders>
              <w:top w:val="nil"/>
              <w:left w:val="nil"/>
              <w:bottom w:val="nil"/>
              <w:right w:val="nil"/>
            </w:tcBorders>
            <w:vAlign w:val="center"/>
          </w:tcPr>
          <w:p w14:paraId="0E19322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(0.168)</w:t>
            </w:r>
          </w:p>
        </w:tc>
      </w:tr>
      <w:tr w:rsidR="007F7EE4" w:rsidRPr="007F7EE4" w14:paraId="6E3E6A40" w14:textId="77777777">
        <w:tc>
          <w:tcPr>
            <w:tcW w:w="2840" w:type="dxa"/>
            <w:tcBorders>
              <w:top w:val="nil"/>
              <w:left w:val="nil"/>
              <w:bottom w:val="nil"/>
              <w:right w:val="nil"/>
            </w:tcBorders>
            <w:vAlign w:val="center"/>
          </w:tcPr>
          <w:p w14:paraId="2759791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SOE</w:t>
            </w:r>
          </w:p>
        </w:tc>
        <w:tc>
          <w:tcPr>
            <w:tcW w:w="2841" w:type="dxa"/>
            <w:tcBorders>
              <w:top w:val="nil"/>
              <w:left w:val="nil"/>
              <w:bottom w:val="nil"/>
              <w:right w:val="nil"/>
            </w:tcBorders>
            <w:vAlign w:val="center"/>
          </w:tcPr>
          <w:p w14:paraId="2E87B23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0.099***</w:t>
            </w:r>
          </w:p>
        </w:tc>
        <w:tc>
          <w:tcPr>
            <w:tcW w:w="2841" w:type="dxa"/>
            <w:tcBorders>
              <w:top w:val="nil"/>
              <w:left w:val="nil"/>
              <w:bottom w:val="nil"/>
              <w:right w:val="nil"/>
            </w:tcBorders>
            <w:vAlign w:val="center"/>
          </w:tcPr>
          <w:p w14:paraId="26CBA9D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0.075***</w:t>
            </w:r>
          </w:p>
        </w:tc>
      </w:tr>
      <w:tr w:rsidR="007F7EE4" w:rsidRPr="007F7EE4" w14:paraId="5939CEEC" w14:textId="77777777">
        <w:tc>
          <w:tcPr>
            <w:tcW w:w="2840" w:type="dxa"/>
            <w:tcBorders>
              <w:top w:val="nil"/>
              <w:left w:val="nil"/>
              <w:bottom w:val="nil"/>
              <w:right w:val="nil"/>
            </w:tcBorders>
            <w:vAlign w:val="center"/>
          </w:tcPr>
          <w:p w14:paraId="6B7F0359"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02B04EF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(0.016)</w:t>
            </w:r>
          </w:p>
        </w:tc>
        <w:tc>
          <w:tcPr>
            <w:tcW w:w="2841" w:type="dxa"/>
            <w:tcBorders>
              <w:top w:val="nil"/>
              <w:left w:val="nil"/>
              <w:bottom w:val="nil"/>
              <w:right w:val="nil"/>
            </w:tcBorders>
            <w:vAlign w:val="center"/>
          </w:tcPr>
          <w:p w14:paraId="40D2274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(0.014)</w:t>
            </w:r>
          </w:p>
        </w:tc>
      </w:tr>
      <w:tr w:rsidR="007F7EE4" w:rsidRPr="007F7EE4" w14:paraId="70123CC2" w14:textId="77777777">
        <w:tc>
          <w:tcPr>
            <w:tcW w:w="2840" w:type="dxa"/>
            <w:tcBorders>
              <w:top w:val="nil"/>
              <w:left w:val="nil"/>
              <w:bottom w:val="nil"/>
              <w:right w:val="nil"/>
            </w:tcBorders>
            <w:vAlign w:val="center"/>
          </w:tcPr>
          <w:p w14:paraId="19C4157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_cons</w:t>
            </w:r>
          </w:p>
        </w:tc>
        <w:tc>
          <w:tcPr>
            <w:tcW w:w="2841" w:type="dxa"/>
            <w:tcBorders>
              <w:top w:val="nil"/>
              <w:left w:val="nil"/>
              <w:bottom w:val="nil"/>
              <w:right w:val="nil"/>
            </w:tcBorders>
            <w:vAlign w:val="center"/>
          </w:tcPr>
          <w:p w14:paraId="1277648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-2.443***</w:t>
            </w:r>
          </w:p>
        </w:tc>
        <w:tc>
          <w:tcPr>
            <w:tcW w:w="2841" w:type="dxa"/>
            <w:tcBorders>
              <w:top w:val="nil"/>
              <w:left w:val="nil"/>
              <w:bottom w:val="nil"/>
              <w:right w:val="nil"/>
            </w:tcBorders>
            <w:vAlign w:val="center"/>
          </w:tcPr>
          <w:p w14:paraId="09572AD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-2.140***</w:t>
            </w:r>
          </w:p>
        </w:tc>
      </w:tr>
      <w:tr w:rsidR="007F7EE4" w:rsidRPr="007F7EE4" w14:paraId="1523948B" w14:textId="77777777">
        <w:tc>
          <w:tcPr>
            <w:tcW w:w="2840" w:type="dxa"/>
            <w:tcBorders>
              <w:top w:val="nil"/>
              <w:left w:val="nil"/>
              <w:bottom w:val="nil"/>
              <w:right w:val="nil"/>
            </w:tcBorders>
            <w:vAlign w:val="center"/>
          </w:tcPr>
          <w:p w14:paraId="06B1DE75"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2841" w:type="dxa"/>
            <w:tcBorders>
              <w:top w:val="nil"/>
              <w:left w:val="nil"/>
              <w:bottom w:val="nil"/>
              <w:right w:val="nil"/>
            </w:tcBorders>
            <w:vAlign w:val="center"/>
          </w:tcPr>
          <w:p w14:paraId="70AFEB4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(0.074)</w:t>
            </w:r>
          </w:p>
        </w:tc>
        <w:tc>
          <w:tcPr>
            <w:tcW w:w="2841" w:type="dxa"/>
            <w:tcBorders>
              <w:top w:val="nil"/>
              <w:left w:val="nil"/>
              <w:bottom w:val="nil"/>
              <w:right w:val="nil"/>
            </w:tcBorders>
            <w:vAlign w:val="center"/>
          </w:tcPr>
          <w:p w14:paraId="27E19BD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(0.062)</w:t>
            </w:r>
          </w:p>
        </w:tc>
      </w:tr>
      <w:tr w:rsidR="007F7EE4" w:rsidRPr="007F7EE4" w14:paraId="2B51CBA6" w14:textId="77777777">
        <w:tc>
          <w:tcPr>
            <w:tcW w:w="2840" w:type="dxa"/>
            <w:tcBorders>
              <w:top w:val="nil"/>
              <w:left w:val="nil"/>
              <w:bottom w:val="nil"/>
              <w:right w:val="nil"/>
            </w:tcBorders>
            <w:vAlign w:val="center"/>
          </w:tcPr>
          <w:p w14:paraId="1106566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Industry FE</w:t>
            </w:r>
          </w:p>
        </w:tc>
        <w:tc>
          <w:tcPr>
            <w:tcW w:w="2841" w:type="dxa"/>
            <w:tcBorders>
              <w:top w:val="nil"/>
              <w:left w:val="nil"/>
              <w:bottom w:val="nil"/>
              <w:right w:val="nil"/>
            </w:tcBorders>
            <w:vAlign w:val="center"/>
          </w:tcPr>
          <w:p w14:paraId="3B2CEF2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2841" w:type="dxa"/>
            <w:tcBorders>
              <w:top w:val="nil"/>
              <w:left w:val="nil"/>
              <w:bottom w:val="nil"/>
              <w:right w:val="nil"/>
            </w:tcBorders>
            <w:vAlign w:val="center"/>
          </w:tcPr>
          <w:p w14:paraId="45DF872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4FEC0417" w14:textId="77777777">
        <w:tc>
          <w:tcPr>
            <w:tcW w:w="2840" w:type="dxa"/>
            <w:tcBorders>
              <w:top w:val="nil"/>
              <w:left w:val="nil"/>
              <w:bottom w:val="single" w:sz="4" w:space="0" w:color="auto"/>
              <w:right w:val="nil"/>
            </w:tcBorders>
            <w:vAlign w:val="center"/>
          </w:tcPr>
          <w:p w14:paraId="7BFE744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Year FE</w:t>
            </w:r>
          </w:p>
        </w:tc>
        <w:tc>
          <w:tcPr>
            <w:tcW w:w="2841" w:type="dxa"/>
            <w:tcBorders>
              <w:top w:val="nil"/>
              <w:left w:val="nil"/>
              <w:bottom w:val="single" w:sz="4" w:space="0" w:color="auto"/>
              <w:right w:val="nil"/>
            </w:tcBorders>
            <w:vAlign w:val="center"/>
          </w:tcPr>
          <w:p w14:paraId="6BBF7A8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2841" w:type="dxa"/>
            <w:tcBorders>
              <w:top w:val="nil"/>
              <w:left w:val="nil"/>
              <w:bottom w:val="single" w:sz="4" w:space="0" w:color="auto"/>
              <w:right w:val="nil"/>
            </w:tcBorders>
            <w:vAlign w:val="center"/>
          </w:tcPr>
          <w:p w14:paraId="2BCC191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4CBEBAB7" w14:textId="77777777">
        <w:tc>
          <w:tcPr>
            <w:tcW w:w="2840" w:type="dxa"/>
            <w:tcBorders>
              <w:top w:val="single" w:sz="4" w:space="0" w:color="auto"/>
              <w:left w:val="nil"/>
              <w:bottom w:val="nil"/>
              <w:right w:val="nil"/>
            </w:tcBorders>
            <w:vAlign w:val="center"/>
          </w:tcPr>
          <w:p w14:paraId="2C65B3A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N</w:t>
            </w:r>
          </w:p>
        </w:tc>
        <w:tc>
          <w:tcPr>
            <w:tcW w:w="2841" w:type="dxa"/>
            <w:tcBorders>
              <w:top w:val="single" w:sz="4" w:space="0" w:color="auto"/>
              <w:left w:val="nil"/>
              <w:bottom w:val="nil"/>
              <w:right w:val="nil"/>
            </w:tcBorders>
            <w:vAlign w:val="center"/>
          </w:tcPr>
          <w:p w14:paraId="54AB056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2841" w:type="dxa"/>
            <w:tcBorders>
              <w:top w:val="single" w:sz="4" w:space="0" w:color="auto"/>
              <w:left w:val="nil"/>
              <w:bottom w:val="nil"/>
              <w:right w:val="nil"/>
            </w:tcBorders>
            <w:vAlign w:val="center"/>
          </w:tcPr>
          <w:p w14:paraId="3FFC4A6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r>
      <w:tr w:rsidR="007F7EE4" w:rsidRPr="007F7EE4" w14:paraId="085E915A" w14:textId="77777777">
        <w:tc>
          <w:tcPr>
            <w:tcW w:w="2840" w:type="dxa"/>
            <w:tcBorders>
              <w:top w:val="nil"/>
              <w:left w:val="nil"/>
              <w:bottom w:val="single" w:sz="4" w:space="0" w:color="auto"/>
              <w:right w:val="nil"/>
            </w:tcBorders>
            <w:vAlign w:val="center"/>
          </w:tcPr>
          <w:p w14:paraId="4C0DD6E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r2_a</w:t>
            </w:r>
          </w:p>
        </w:tc>
        <w:tc>
          <w:tcPr>
            <w:tcW w:w="2841" w:type="dxa"/>
            <w:tcBorders>
              <w:top w:val="nil"/>
              <w:left w:val="nil"/>
              <w:bottom w:val="single" w:sz="4" w:space="0" w:color="auto"/>
              <w:right w:val="nil"/>
            </w:tcBorders>
            <w:vAlign w:val="center"/>
          </w:tcPr>
          <w:p w14:paraId="49F9F5EB" w14:textId="77777777" w:rsidR="00D45CD8" w:rsidRPr="007F7EE4" w:rsidRDefault="00AC3F08">
            <w:pPr>
              <w:autoSpaceDE w:val="0"/>
              <w:autoSpaceDN w:val="0"/>
              <w:adjustRightInd w:val="0"/>
              <w:ind w:firstLineChars="0" w:firstLine="0"/>
              <w:jc w:val="center"/>
              <w:rPr>
                <w:sz w:val="15"/>
                <w:szCs w:val="15"/>
              </w:rPr>
            </w:pPr>
            <w:r w:rsidRPr="007F7EE4">
              <w:rPr>
                <w:sz w:val="15"/>
                <w:szCs w:val="15"/>
              </w:rPr>
              <w:t>0.288</w:t>
            </w:r>
          </w:p>
        </w:tc>
        <w:tc>
          <w:tcPr>
            <w:tcW w:w="2841" w:type="dxa"/>
            <w:tcBorders>
              <w:top w:val="nil"/>
              <w:left w:val="nil"/>
              <w:bottom w:val="single" w:sz="4" w:space="0" w:color="auto"/>
              <w:right w:val="nil"/>
            </w:tcBorders>
            <w:vAlign w:val="center"/>
          </w:tcPr>
          <w:p w14:paraId="155C1356" w14:textId="77777777" w:rsidR="00D45CD8" w:rsidRPr="007F7EE4" w:rsidRDefault="00AC3F08">
            <w:pPr>
              <w:autoSpaceDE w:val="0"/>
              <w:autoSpaceDN w:val="0"/>
              <w:adjustRightInd w:val="0"/>
              <w:ind w:firstLineChars="0" w:firstLine="0"/>
              <w:jc w:val="center"/>
              <w:rPr>
                <w:sz w:val="15"/>
                <w:szCs w:val="15"/>
              </w:rPr>
            </w:pPr>
            <w:r w:rsidRPr="007F7EE4">
              <w:rPr>
                <w:sz w:val="15"/>
                <w:szCs w:val="15"/>
              </w:rPr>
              <w:t>0.274</w:t>
            </w:r>
          </w:p>
        </w:tc>
      </w:tr>
    </w:tbl>
    <w:p w14:paraId="2EFAEBA2" w14:textId="77777777" w:rsidR="00D45CD8" w:rsidRPr="007F7EE4" w:rsidRDefault="00AC3F08">
      <w:pPr>
        <w:spacing w:beforeLines="50" w:before="156" w:afterLines="50" w:after="156" w:line="200" w:lineRule="exact"/>
        <w:ind w:leftChars="172" w:left="566" w:hangingChars="137" w:hanging="205"/>
        <w:rPr>
          <w:rFonts w:ascii="宋体" w:hAnsi="宋体"/>
          <w:sz w:val="15"/>
          <w:szCs w:val="15"/>
        </w:rPr>
      </w:pPr>
      <w:r w:rsidRPr="007F7EE4">
        <w:rPr>
          <w:rFonts w:ascii="宋体" w:hAnsi="宋体"/>
          <w:sz w:val="15"/>
          <w:szCs w:val="15"/>
        </w:rPr>
        <w:t>注：括号内为经异方差调整后的t值；***、**、*分别表示双尾检验在1%、5%、10%下的统计显著水平，下同。</w:t>
      </w:r>
    </w:p>
    <w:p w14:paraId="6B2E79B2" w14:textId="77777777" w:rsidR="00D45CD8" w:rsidRPr="007F7EE4" w:rsidRDefault="00AC3F08">
      <w:pPr>
        <w:pStyle w:val="2"/>
      </w:pPr>
      <w:r w:rsidRPr="007F7EE4">
        <w:rPr>
          <w:rFonts w:hint="eastAsia"/>
        </w:rPr>
        <w:t>（三）中介机制检验</w:t>
      </w:r>
    </w:p>
    <w:p w14:paraId="70FF8551" w14:textId="77777777" w:rsidR="00D45CD8" w:rsidRPr="007F7EE4" w:rsidRDefault="00AC3F08">
      <w:pPr>
        <w:pStyle w:val="af6"/>
        <w:ind w:firstLineChars="200" w:firstLine="420"/>
        <w:jc w:val="left"/>
        <w:rPr>
          <w:rFonts w:ascii="宋体" w:eastAsia="宋体" w:hAnsi="宋体"/>
        </w:rPr>
      </w:pPr>
      <w:r w:rsidRPr="007F7EE4">
        <w:rPr>
          <w:rFonts w:ascii="宋体" w:eastAsia="宋体" w:hAnsi="宋体" w:hint="eastAsia"/>
        </w:rPr>
        <w:t>进一步考察企业社会责任促进企业绿色技术创新绩效的内在中介机理，进一步基于中介效应检验方法，主要采取中介效应的依次检验法（温忠麟和叶宝娟，2014），即在自变量企业社会责任对因变量企业绿色技术创新绩效的促进效应成立的前提下，进一步检验自变量对中介变量以及自变量、中介变量共同纳入回归模型对因变量企业绿色技术创新的影响，基于表4的回归结果表明，企业社会责任对企业环保投入（EPI）的影响系数为0.041，通过了1%水平下的显著性检验，说明企业社会责任有助于强化企业的绿色环保投入强度。更进一步地，纳入中介变量后，基于表4的列（4-5）回归结果显示，企业社会责任对企业绿色专利申请与绿色专利授权的影响系数变为0.083和0.064，影响系数较模型估计结果的列（1）-（2）的系数有所下降，且显著性依然在1%水平下通过，说明企业环保投入在企业社会责任与企业绿色技术创新之间产生部分中介效应。足以说明，企业社会责任能够强化企业绿色环保投资倾向，进而能够基于资源投入机制促进企业绿色技术创新绩效，最终促进企业绿色技术创新绩效。</w:t>
      </w:r>
      <w:r w:rsidR="006E62E6" w:rsidRPr="007F7EE4">
        <w:rPr>
          <w:rFonts w:ascii="宋体" w:eastAsia="宋体" w:hAnsi="宋体" w:hint="eastAsia"/>
        </w:rPr>
        <w:t>最后，为确保本文中介效应估计结果的稳健性，本文进一步基于</w:t>
      </w:r>
      <w:r w:rsidR="006E62E6" w:rsidRPr="007F7EE4">
        <w:rPr>
          <w:rFonts w:ascii="宋体" w:eastAsia="宋体" w:hAnsi="宋体"/>
        </w:rPr>
        <w:t>Bootstrap法</w:t>
      </w:r>
      <w:r w:rsidR="006E62E6" w:rsidRPr="007F7EE4">
        <w:rPr>
          <w:rFonts w:ascii="宋体" w:eastAsia="宋体" w:hAnsi="宋体" w:hint="eastAsia"/>
        </w:rPr>
        <w:t>分别检验企业环保投资在企业绿色专利申请与绿色专利授权之间的中介效应，研究发现不管是对绿色专利申请还是绿色专利授权，企业环保投资的中介效应在</w:t>
      </w:r>
      <w:r w:rsidR="006E62E6" w:rsidRPr="007F7EE4">
        <w:rPr>
          <w:rFonts w:ascii="宋体" w:eastAsia="宋体" w:hAnsi="宋体"/>
        </w:rPr>
        <w:t>95%水平下的置信区间内显著不包含0</w:t>
      </w:r>
      <w:r w:rsidR="006E62E6" w:rsidRPr="007F7EE4">
        <w:rPr>
          <w:rStyle w:val="af4"/>
          <w:rFonts w:ascii="宋体" w:eastAsia="宋体" w:hAnsi="宋体"/>
        </w:rPr>
        <w:footnoteReference w:id="5"/>
      </w:r>
      <w:r w:rsidR="006E62E6" w:rsidRPr="007F7EE4">
        <w:rPr>
          <w:rFonts w:ascii="宋体" w:eastAsia="宋体" w:hAnsi="宋体" w:hint="eastAsia"/>
        </w:rPr>
        <w:t>，说明本文提出的资源配置机制即环保投资的资源投入在企业社会责任与企业绿色技术创新之间产生部分中介作用。</w:t>
      </w:r>
    </w:p>
    <w:p w14:paraId="15AA64BF"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rPr>
          <w:rFonts w:hint="eastAsia"/>
        </w:rPr>
        <w:t>4</w:t>
      </w:r>
      <w:r w:rsidRPr="007F7EE4">
        <w:t xml:space="preserve"> </w:t>
      </w:r>
      <w:r w:rsidRPr="007F7EE4">
        <w:rPr>
          <w:rFonts w:hint="eastAsia"/>
        </w:rPr>
        <w:t>中介机制检验</w:t>
      </w:r>
    </w:p>
    <w:p w14:paraId="44E7B1A7" w14:textId="77777777" w:rsidR="00D45CD8" w:rsidRPr="007F7EE4" w:rsidRDefault="00D45CD8">
      <w:pPr>
        <w:pStyle w:val="TableEHeading"/>
        <w:numPr>
          <w:ilvl w:val="0"/>
          <w:numId w:val="0"/>
        </w:numPr>
        <w:rPr>
          <w:b w:val="0"/>
          <w:bCs w:val="0"/>
        </w:rPr>
      </w:pPr>
    </w:p>
    <w:tbl>
      <w:tblPr>
        <w:tblW w:w="8522" w:type="dxa"/>
        <w:tblLayout w:type="fixed"/>
        <w:tblLook w:val="04A0" w:firstRow="1" w:lastRow="0" w:firstColumn="1" w:lastColumn="0" w:noHBand="0" w:noVBand="1"/>
      </w:tblPr>
      <w:tblGrid>
        <w:gridCol w:w="1420"/>
        <w:gridCol w:w="1420"/>
        <w:gridCol w:w="1421"/>
        <w:gridCol w:w="1420"/>
        <w:gridCol w:w="1420"/>
        <w:gridCol w:w="1421"/>
      </w:tblGrid>
      <w:tr w:rsidR="007F7EE4" w:rsidRPr="007F7EE4" w14:paraId="09C05577" w14:textId="77777777">
        <w:tc>
          <w:tcPr>
            <w:tcW w:w="1420" w:type="dxa"/>
            <w:tcBorders>
              <w:top w:val="single" w:sz="4" w:space="0" w:color="auto"/>
              <w:left w:val="nil"/>
              <w:bottom w:val="nil"/>
              <w:right w:val="nil"/>
            </w:tcBorders>
          </w:tcPr>
          <w:p w14:paraId="07972B56"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420" w:type="dxa"/>
            <w:tcBorders>
              <w:top w:val="single" w:sz="4" w:space="0" w:color="auto"/>
              <w:left w:val="nil"/>
              <w:bottom w:val="nil"/>
              <w:right w:val="nil"/>
            </w:tcBorders>
          </w:tcPr>
          <w:p w14:paraId="4D6649A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421" w:type="dxa"/>
            <w:tcBorders>
              <w:top w:val="single" w:sz="4" w:space="0" w:color="auto"/>
              <w:left w:val="nil"/>
              <w:bottom w:val="nil"/>
              <w:right w:val="nil"/>
            </w:tcBorders>
          </w:tcPr>
          <w:p w14:paraId="6824431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420" w:type="dxa"/>
            <w:tcBorders>
              <w:top w:val="single" w:sz="4" w:space="0" w:color="auto"/>
              <w:left w:val="nil"/>
              <w:bottom w:val="nil"/>
              <w:right w:val="nil"/>
            </w:tcBorders>
          </w:tcPr>
          <w:p w14:paraId="522F994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420" w:type="dxa"/>
            <w:tcBorders>
              <w:top w:val="single" w:sz="4" w:space="0" w:color="auto"/>
              <w:left w:val="nil"/>
              <w:bottom w:val="nil"/>
              <w:right w:val="nil"/>
            </w:tcBorders>
          </w:tcPr>
          <w:p w14:paraId="07175E2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c>
          <w:tcPr>
            <w:tcW w:w="1421" w:type="dxa"/>
            <w:tcBorders>
              <w:top w:val="single" w:sz="4" w:space="0" w:color="auto"/>
              <w:left w:val="nil"/>
              <w:bottom w:val="nil"/>
              <w:right w:val="nil"/>
            </w:tcBorders>
          </w:tcPr>
          <w:p w14:paraId="2682FA1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(5)</w:t>
            </w:r>
          </w:p>
        </w:tc>
      </w:tr>
      <w:tr w:rsidR="007F7EE4" w:rsidRPr="007F7EE4" w14:paraId="59115862" w14:textId="77777777">
        <w:tc>
          <w:tcPr>
            <w:tcW w:w="1420" w:type="dxa"/>
            <w:tcBorders>
              <w:top w:val="nil"/>
              <w:left w:val="nil"/>
              <w:bottom w:val="nil"/>
              <w:right w:val="nil"/>
            </w:tcBorders>
          </w:tcPr>
          <w:p w14:paraId="329B704D"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420" w:type="dxa"/>
            <w:tcBorders>
              <w:top w:val="nil"/>
              <w:left w:val="nil"/>
              <w:bottom w:val="nil"/>
              <w:right w:val="nil"/>
            </w:tcBorders>
          </w:tcPr>
          <w:p w14:paraId="10300B0C"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1421" w:type="dxa"/>
            <w:tcBorders>
              <w:top w:val="nil"/>
              <w:left w:val="nil"/>
              <w:bottom w:val="nil"/>
              <w:right w:val="nil"/>
            </w:tcBorders>
          </w:tcPr>
          <w:p w14:paraId="1E24935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c>
          <w:tcPr>
            <w:tcW w:w="1420" w:type="dxa"/>
            <w:tcBorders>
              <w:top w:val="nil"/>
              <w:left w:val="nil"/>
              <w:bottom w:val="nil"/>
              <w:right w:val="nil"/>
            </w:tcBorders>
          </w:tcPr>
          <w:p w14:paraId="7C3645F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EPI</w:t>
            </w:r>
          </w:p>
        </w:tc>
        <w:tc>
          <w:tcPr>
            <w:tcW w:w="1420" w:type="dxa"/>
            <w:tcBorders>
              <w:top w:val="nil"/>
              <w:left w:val="nil"/>
              <w:bottom w:val="nil"/>
              <w:right w:val="nil"/>
            </w:tcBorders>
          </w:tcPr>
          <w:p w14:paraId="492776F0"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1421" w:type="dxa"/>
            <w:tcBorders>
              <w:top w:val="nil"/>
              <w:left w:val="nil"/>
              <w:bottom w:val="nil"/>
              <w:right w:val="nil"/>
            </w:tcBorders>
          </w:tcPr>
          <w:p w14:paraId="0A0ABD6B"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3DD86937" w14:textId="77777777">
        <w:tc>
          <w:tcPr>
            <w:tcW w:w="1420" w:type="dxa"/>
            <w:tcBorders>
              <w:top w:val="single" w:sz="4" w:space="0" w:color="auto"/>
              <w:left w:val="nil"/>
              <w:bottom w:val="nil"/>
              <w:right w:val="nil"/>
            </w:tcBorders>
          </w:tcPr>
          <w:p w14:paraId="09788F62" w14:textId="77777777" w:rsidR="00D45CD8" w:rsidRPr="007F7EE4" w:rsidRDefault="00AC3F08">
            <w:pPr>
              <w:autoSpaceDE w:val="0"/>
              <w:autoSpaceDN w:val="0"/>
              <w:adjustRightInd w:val="0"/>
              <w:ind w:firstLineChars="0" w:firstLine="0"/>
              <w:jc w:val="left"/>
              <w:rPr>
                <w:rFonts w:cs="Times New Roman"/>
                <w:kern w:val="0"/>
                <w:sz w:val="15"/>
                <w:szCs w:val="15"/>
              </w:rPr>
            </w:pPr>
            <w:proofErr w:type="spellStart"/>
            <w:r w:rsidRPr="007F7EE4">
              <w:rPr>
                <w:rFonts w:cs="Times New Roman"/>
                <w:kern w:val="0"/>
                <w:sz w:val="15"/>
                <w:szCs w:val="15"/>
              </w:rPr>
              <w:t>lnCSR</w:t>
            </w:r>
            <w:proofErr w:type="spellEnd"/>
          </w:p>
        </w:tc>
        <w:tc>
          <w:tcPr>
            <w:tcW w:w="1420" w:type="dxa"/>
            <w:tcBorders>
              <w:top w:val="single" w:sz="4" w:space="0" w:color="auto"/>
              <w:left w:val="nil"/>
              <w:bottom w:val="nil"/>
              <w:right w:val="nil"/>
            </w:tcBorders>
          </w:tcPr>
          <w:p w14:paraId="712145A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0.085***</w:t>
            </w:r>
          </w:p>
        </w:tc>
        <w:tc>
          <w:tcPr>
            <w:tcW w:w="1421" w:type="dxa"/>
            <w:tcBorders>
              <w:top w:val="single" w:sz="4" w:space="0" w:color="auto"/>
              <w:left w:val="nil"/>
              <w:bottom w:val="nil"/>
              <w:right w:val="nil"/>
            </w:tcBorders>
          </w:tcPr>
          <w:p w14:paraId="247A8B4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0.066***</w:t>
            </w:r>
          </w:p>
        </w:tc>
        <w:tc>
          <w:tcPr>
            <w:tcW w:w="1420" w:type="dxa"/>
            <w:tcBorders>
              <w:top w:val="single" w:sz="4" w:space="0" w:color="auto"/>
              <w:left w:val="nil"/>
              <w:bottom w:val="nil"/>
              <w:right w:val="nil"/>
            </w:tcBorders>
          </w:tcPr>
          <w:p w14:paraId="0C3D509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0.041***</w:t>
            </w:r>
          </w:p>
        </w:tc>
        <w:tc>
          <w:tcPr>
            <w:tcW w:w="1420" w:type="dxa"/>
            <w:tcBorders>
              <w:top w:val="single" w:sz="4" w:space="0" w:color="auto"/>
              <w:left w:val="nil"/>
              <w:bottom w:val="nil"/>
              <w:right w:val="nil"/>
            </w:tcBorders>
          </w:tcPr>
          <w:p w14:paraId="2749CD7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0.083***</w:t>
            </w:r>
          </w:p>
        </w:tc>
        <w:tc>
          <w:tcPr>
            <w:tcW w:w="1421" w:type="dxa"/>
            <w:tcBorders>
              <w:top w:val="single" w:sz="4" w:space="0" w:color="auto"/>
              <w:left w:val="nil"/>
              <w:bottom w:val="nil"/>
              <w:right w:val="nil"/>
            </w:tcBorders>
          </w:tcPr>
          <w:p w14:paraId="555BCD1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0.064***</w:t>
            </w:r>
          </w:p>
        </w:tc>
      </w:tr>
      <w:tr w:rsidR="007F7EE4" w:rsidRPr="007F7EE4" w14:paraId="7287692E" w14:textId="77777777">
        <w:tc>
          <w:tcPr>
            <w:tcW w:w="1420" w:type="dxa"/>
            <w:tcBorders>
              <w:top w:val="nil"/>
              <w:left w:val="nil"/>
              <w:bottom w:val="nil"/>
              <w:right w:val="nil"/>
            </w:tcBorders>
          </w:tcPr>
          <w:p w14:paraId="324925BE"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420" w:type="dxa"/>
            <w:tcBorders>
              <w:top w:val="nil"/>
              <w:left w:val="nil"/>
              <w:bottom w:val="nil"/>
              <w:right w:val="nil"/>
            </w:tcBorders>
          </w:tcPr>
          <w:p w14:paraId="3B39BDC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(0.012)</w:t>
            </w:r>
          </w:p>
        </w:tc>
        <w:tc>
          <w:tcPr>
            <w:tcW w:w="1421" w:type="dxa"/>
            <w:tcBorders>
              <w:top w:val="nil"/>
              <w:left w:val="nil"/>
              <w:bottom w:val="nil"/>
              <w:right w:val="nil"/>
            </w:tcBorders>
          </w:tcPr>
          <w:p w14:paraId="3132F16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(0.011)</w:t>
            </w:r>
          </w:p>
        </w:tc>
        <w:tc>
          <w:tcPr>
            <w:tcW w:w="1420" w:type="dxa"/>
            <w:tcBorders>
              <w:top w:val="nil"/>
              <w:left w:val="nil"/>
              <w:bottom w:val="nil"/>
              <w:right w:val="nil"/>
            </w:tcBorders>
          </w:tcPr>
          <w:p w14:paraId="0A64FD4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(0.014)</w:t>
            </w:r>
          </w:p>
        </w:tc>
        <w:tc>
          <w:tcPr>
            <w:tcW w:w="1420" w:type="dxa"/>
            <w:tcBorders>
              <w:top w:val="nil"/>
              <w:left w:val="nil"/>
              <w:bottom w:val="nil"/>
              <w:right w:val="nil"/>
            </w:tcBorders>
          </w:tcPr>
          <w:p w14:paraId="5F54567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(0.012)</w:t>
            </w:r>
          </w:p>
        </w:tc>
        <w:tc>
          <w:tcPr>
            <w:tcW w:w="1421" w:type="dxa"/>
            <w:tcBorders>
              <w:top w:val="nil"/>
              <w:left w:val="nil"/>
              <w:bottom w:val="nil"/>
              <w:right w:val="nil"/>
            </w:tcBorders>
          </w:tcPr>
          <w:p w14:paraId="4186FC3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(0.011)</w:t>
            </w:r>
          </w:p>
        </w:tc>
      </w:tr>
      <w:tr w:rsidR="007F7EE4" w:rsidRPr="007F7EE4" w14:paraId="25D2A317" w14:textId="77777777">
        <w:tc>
          <w:tcPr>
            <w:tcW w:w="1420" w:type="dxa"/>
            <w:tcBorders>
              <w:top w:val="nil"/>
              <w:left w:val="nil"/>
              <w:bottom w:val="nil"/>
              <w:right w:val="nil"/>
            </w:tcBorders>
          </w:tcPr>
          <w:p w14:paraId="4FDAEC51"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EPI</w:t>
            </w:r>
          </w:p>
        </w:tc>
        <w:tc>
          <w:tcPr>
            <w:tcW w:w="1420" w:type="dxa"/>
            <w:tcBorders>
              <w:top w:val="nil"/>
              <w:left w:val="nil"/>
              <w:bottom w:val="nil"/>
              <w:right w:val="nil"/>
            </w:tcBorders>
          </w:tcPr>
          <w:p w14:paraId="1CA8BAC4"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21" w:type="dxa"/>
            <w:tcBorders>
              <w:top w:val="nil"/>
              <w:left w:val="nil"/>
              <w:bottom w:val="nil"/>
              <w:right w:val="nil"/>
            </w:tcBorders>
          </w:tcPr>
          <w:p w14:paraId="1011B4CB"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20" w:type="dxa"/>
            <w:tcBorders>
              <w:top w:val="nil"/>
              <w:left w:val="nil"/>
              <w:bottom w:val="nil"/>
              <w:right w:val="nil"/>
            </w:tcBorders>
          </w:tcPr>
          <w:p w14:paraId="12517D15"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20" w:type="dxa"/>
            <w:tcBorders>
              <w:top w:val="nil"/>
              <w:left w:val="nil"/>
              <w:bottom w:val="nil"/>
              <w:right w:val="nil"/>
            </w:tcBorders>
          </w:tcPr>
          <w:p w14:paraId="5B383DF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0.056***</w:t>
            </w:r>
          </w:p>
        </w:tc>
        <w:tc>
          <w:tcPr>
            <w:tcW w:w="1421" w:type="dxa"/>
            <w:tcBorders>
              <w:top w:val="nil"/>
              <w:left w:val="nil"/>
              <w:bottom w:val="nil"/>
              <w:right w:val="nil"/>
            </w:tcBorders>
          </w:tcPr>
          <w:p w14:paraId="17AEBE9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0.051***</w:t>
            </w:r>
          </w:p>
        </w:tc>
      </w:tr>
      <w:tr w:rsidR="007F7EE4" w:rsidRPr="007F7EE4" w14:paraId="5A06B5B6" w14:textId="77777777">
        <w:tc>
          <w:tcPr>
            <w:tcW w:w="1420" w:type="dxa"/>
            <w:tcBorders>
              <w:top w:val="nil"/>
              <w:left w:val="nil"/>
              <w:bottom w:val="nil"/>
              <w:right w:val="nil"/>
            </w:tcBorders>
          </w:tcPr>
          <w:p w14:paraId="1CC762FA"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420" w:type="dxa"/>
            <w:tcBorders>
              <w:top w:val="nil"/>
              <w:left w:val="nil"/>
              <w:bottom w:val="nil"/>
              <w:right w:val="nil"/>
            </w:tcBorders>
          </w:tcPr>
          <w:p w14:paraId="282CDE73"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21" w:type="dxa"/>
            <w:tcBorders>
              <w:top w:val="nil"/>
              <w:left w:val="nil"/>
              <w:bottom w:val="nil"/>
              <w:right w:val="nil"/>
            </w:tcBorders>
          </w:tcPr>
          <w:p w14:paraId="5C5E9C25"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20" w:type="dxa"/>
            <w:tcBorders>
              <w:top w:val="nil"/>
              <w:left w:val="nil"/>
              <w:bottom w:val="nil"/>
              <w:right w:val="nil"/>
            </w:tcBorders>
          </w:tcPr>
          <w:p w14:paraId="34992463"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20" w:type="dxa"/>
            <w:tcBorders>
              <w:top w:val="nil"/>
              <w:left w:val="nil"/>
              <w:bottom w:val="nil"/>
              <w:right w:val="nil"/>
            </w:tcBorders>
          </w:tcPr>
          <w:p w14:paraId="7215C7D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(0.008)</w:t>
            </w:r>
          </w:p>
        </w:tc>
        <w:tc>
          <w:tcPr>
            <w:tcW w:w="1421" w:type="dxa"/>
            <w:tcBorders>
              <w:top w:val="nil"/>
              <w:left w:val="nil"/>
              <w:bottom w:val="nil"/>
              <w:right w:val="nil"/>
            </w:tcBorders>
          </w:tcPr>
          <w:p w14:paraId="48A0C08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(0.008)</w:t>
            </w:r>
          </w:p>
        </w:tc>
      </w:tr>
      <w:tr w:rsidR="007F7EE4" w:rsidRPr="007F7EE4" w14:paraId="01B861F0" w14:textId="77777777">
        <w:tc>
          <w:tcPr>
            <w:tcW w:w="1420" w:type="dxa"/>
            <w:tcBorders>
              <w:top w:val="nil"/>
              <w:left w:val="nil"/>
              <w:bottom w:val="nil"/>
              <w:right w:val="nil"/>
            </w:tcBorders>
          </w:tcPr>
          <w:p w14:paraId="4E75E993"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_cons</w:t>
            </w:r>
          </w:p>
        </w:tc>
        <w:tc>
          <w:tcPr>
            <w:tcW w:w="1420" w:type="dxa"/>
            <w:tcBorders>
              <w:top w:val="nil"/>
              <w:left w:val="nil"/>
              <w:bottom w:val="nil"/>
              <w:right w:val="nil"/>
            </w:tcBorders>
          </w:tcPr>
          <w:p w14:paraId="1C8E79C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-2.443***</w:t>
            </w:r>
          </w:p>
        </w:tc>
        <w:tc>
          <w:tcPr>
            <w:tcW w:w="1421" w:type="dxa"/>
            <w:tcBorders>
              <w:top w:val="nil"/>
              <w:left w:val="nil"/>
              <w:bottom w:val="nil"/>
              <w:right w:val="nil"/>
            </w:tcBorders>
          </w:tcPr>
          <w:p w14:paraId="20E39FA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-2.140***</w:t>
            </w:r>
          </w:p>
        </w:tc>
        <w:tc>
          <w:tcPr>
            <w:tcW w:w="1420" w:type="dxa"/>
            <w:tcBorders>
              <w:top w:val="nil"/>
              <w:left w:val="nil"/>
              <w:bottom w:val="nil"/>
              <w:right w:val="nil"/>
            </w:tcBorders>
          </w:tcPr>
          <w:p w14:paraId="57710FB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-0.092</w:t>
            </w:r>
          </w:p>
        </w:tc>
        <w:tc>
          <w:tcPr>
            <w:tcW w:w="1420" w:type="dxa"/>
            <w:tcBorders>
              <w:top w:val="nil"/>
              <w:left w:val="nil"/>
              <w:bottom w:val="nil"/>
              <w:right w:val="nil"/>
            </w:tcBorders>
          </w:tcPr>
          <w:p w14:paraId="2774492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-2.438***</w:t>
            </w:r>
          </w:p>
        </w:tc>
        <w:tc>
          <w:tcPr>
            <w:tcW w:w="1421" w:type="dxa"/>
            <w:tcBorders>
              <w:top w:val="nil"/>
              <w:left w:val="nil"/>
              <w:bottom w:val="nil"/>
              <w:right w:val="nil"/>
            </w:tcBorders>
          </w:tcPr>
          <w:p w14:paraId="3327321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-2.135***</w:t>
            </w:r>
          </w:p>
        </w:tc>
      </w:tr>
      <w:tr w:rsidR="007F7EE4" w:rsidRPr="007F7EE4" w14:paraId="38BF144F" w14:textId="77777777">
        <w:tc>
          <w:tcPr>
            <w:tcW w:w="1420" w:type="dxa"/>
            <w:tcBorders>
              <w:top w:val="nil"/>
              <w:left w:val="nil"/>
              <w:bottom w:val="nil"/>
              <w:right w:val="nil"/>
            </w:tcBorders>
          </w:tcPr>
          <w:p w14:paraId="1991EAAA"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420" w:type="dxa"/>
            <w:tcBorders>
              <w:top w:val="nil"/>
              <w:left w:val="nil"/>
              <w:bottom w:val="nil"/>
              <w:right w:val="nil"/>
            </w:tcBorders>
          </w:tcPr>
          <w:p w14:paraId="0DE4314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(0.074)</w:t>
            </w:r>
          </w:p>
        </w:tc>
        <w:tc>
          <w:tcPr>
            <w:tcW w:w="1421" w:type="dxa"/>
            <w:tcBorders>
              <w:top w:val="nil"/>
              <w:left w:val="nil"/>
              <w:bottom w:val="nil"/>
              <w:right w:val="nil"/>
            </w:tcBorders>
          </w:tcPr>
          <w:p w14:paraId="064295F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(0.062)</w:t>
            </w:r>
          </w:p>
        </w:tc>
        <w:tc>
          <w:tcPr>
            <w:tcW w:w="1420" w:type="dxa"/>
            <w:tcBorders>
              <w:top w:val="nil"/>
              <w:left w:val="nil"/>
              <w:bottom w:val="nil"/>
              <w:right w:val="nil"/>
            </w:tcBorders>
          </w:tcPr>
          <w:p w14:paraId="4380925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(0.077)</w:t>
            </w:r>
          </w:p>
        </w:tc>
        <w:tc>
          <w:tcPr>
            <w:tcW w:w="1420" w:type="dxa"/>
            <w:tcBorders>
              <w:top w:val="nil"/>
              <w:left w:val="nil"/>
              <w:bottom w:val="nil"/>
              <w:right w:val="nil"/>
            </w:tcBorders>
          </w:tcPr>
          <w:p w14:paraId="367A79A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(0.074)</w:t>
            </w:r>
          </w:p>
        </w:tc>
        <w:tc>
          <w:tcPr>
            <w:tcW w:w="1421" w:type="dxa"/>
            <w:tcBorders>
              <w:top w:val="nil"/>
              <w:left w:val="nil"/>
              <w:bottom w:val="nil"/>
              <w:right w:val="nil"/>
            </w:tcBorders>
          </w:tcPr>
          <w:p w14:paraId="139AE7E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(0.062)</w:t>
            </w:r>
          </w:p>
        </w:tc>
      </w:tr>
      <w:tr w:rsidR="007F7EE4" w:rsidRPr="007F7EE4" w14:paraId="0700EAD6" w14:textId="77777777" w:rsidTr="00364D74">
        <w:tc>
          <w:tcPr>
            <w:tcW w:w="1420" w:type="dxa"/>
            <w:tcBorders>
              <w:top w:val="nil"/>
              <w:left w:val="nil"/>
              <w:bottom w:val="nil"/>
              <w:right w:val="nil"/>
            </w:tcBorders>
            <w:vAlign w:val="center"/>
          </w:tcPr>
          <w:p w14:paraId="157AE58E" w14:textId="77777777" w:rsidR="00A77404" w:rsidRPr="007F7EE4" w:rsidRDefault="00A77404">
            <w:pPr>
              <w:autoSpaceDE w:val="0"/>
              <w:autoSpaceDN w:val="0"/>
              <w:adjustRightInd w:val="0"/>
              <w:ind w:firstLineChars="0" w:firstLine="0"/>
              <w:jc w:val="left"/>
              <w:rPr>
                <w:rFonts w:cs="Times New Roman"/>
                <w:kern w:val="0"/>
                <w:sz w:val="15"/>
                <w:szCs w:val="15"/>
              </w:rPr>
            </w:pPr>
            <w:r w:rsidRPr="007F7EE4">
              <w:rPr>
                <w:rFonts w:cs="Times New Roman" w:hint="eastAsia"/>
                <w:kern w:val="0"/>
                <w:sz w:val="15"/>
                <w:szCs w:val="15"/>
              </w:rPr>
              <w:t>Controls</w:t>
            </w:r>
          </w:p>
        </w:tc>
        <w:tc>
          <w:tcPr>
            <w:tcW w:w="1420" w:type="dxa"/>
            <w:tcBorders>
              <w:top w:val="nil"/>
              <w:left w:val="nil"/>
              <w:bottom w:val="nil"/>
              <w:right w:val="nil"/>
            </w:tcBorders>
            <w:vAlign w:val="center"/>
          </w:tcPr>
          <w:p w14:paraId="26C53DAC"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421" w:type="dxa"/>
            <w:tcBorders>
              <w:top w:val="nil"/>
              <w:left w:val="nil"/>
              <w:bottom w:val="nil"/>
              <w:right w:val="nil"/>
            </w:tcBorders>
          </w:tcPr>
          <w:p w14:paraId="77DBB517"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420" w:type="dxa"/>
            <w:tcBorders>
              <w:top w:val="nil"/>
              <w:left w:val="nil"/>
              <w:bottom w:val="nil"/>
              <w:right w:val="nil"/>
            </w:tcBorders>
          </w:tcPr>
          <w:p w14:paraId="42BF29BE"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420" w:type="dxa"/>
            <w:tcBorders>
              <w:top w:val="nil"/>
              <w:left w:val="nil"/>
              <w:bottom w:val="nil"/>
              <w:right w:val="nil"/>
            </w:tcBorders>
          </w:tcPr>
          <w:p w14:paraId="3AB13790"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421" w:type="dxa"/>
            <w:tcBorders>
              <w:top w:val="nil"/>
              <w:left w:val="nil"/>
              <w:bottom w:val="nil"/>
              <w:right w:val="nil"/>
            </w:tcBorders>
            <w:vAlign w:val="center"/>
          </w:tcPr>
          <w:p w14:paraId="3BAD6B7A"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Controls</w:t>
            </w:r>
          </w:p>
        </w:tc>
      </w:tr>
      <w:tr w:rsidR="007F7EE4" w:rsidRPr="007F7EE4" w14:paraId="01A1A1B1" w14:textId="77777777">
        <w:tc>
          <w:tcPr>
            <w:tcW w:w="1420" w:type="dxa"/>
            <w:tcBorders>
              <w:top w:val="nil"/>
              <w:left w:val="nil"/>
              <w:bottom w:val="nil"/>
              <w:right w:val="nil"/>
            </w:tcBorders>
          </w:tcPr>
          <w:p w14:paraId="493DBA1B"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Industry FE</w:t>
            </w:r>
          </w:p>
        </w:tc>
        <w:tc>
          <w:tcPr>
            <w:tcW w:w="1420" w:type="dxa"/>
            <w:tcBorders>
              <w:top w:val="nil"/>
              <w:left w:val="nil"/>
              <w:bottom w:val="nil"/>
              <w:right w:val="nil"/>
            </w:tcBorders>
          </w:tcPr>
          <w:p w14:paraId="601977A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1" w:type="dxa"/>
            <w:tcBorders>
              <w:top w:val="nil"/>
              <w:left w:val="nil"/>
              <w:bottom w:val="nil"/>
              <w:right w:val="nil"/>
            </w:tcBorders>
          </w:tcPr>
          <w:p w14:paraId="4C0FECF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0" w:type="dxa"/>
            <w:tcBorders>
              <w:top w:val="nil"/>
              <w:left w:val="nil"/>
              <w:bottom w:val="nil"/>
              <w:right w:val="nil"/>
            </w:tcBorders>
          </w:tcPr>
          <w:p w14:paraId="1A030C3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0" w:type="dxa"/>
            <w:tcBorders>
              <w:top w:val="nil"/>
              <w:left w:val="nil"/>
              <w:bottom w:val="nil"/>
              <w:right w:val="nil"/>
            </w:tcBorders>
          </w:tcPr>
          <w:p w14:paraId="01F841D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1" w:type="dxa"/>
            <w:tcBorders>
              <w:top w:val="nil"/>
              <w:left w:val="nil"/>
              <w:bottom w:val="nil"/>
              <w:right w:val="nil"/>
            </w:tcBorders>
          </w:tcPr>
          <w:p w14:paraId="2C02C73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1F82989F" w14:textId="77777777">
        <w:tc>
          <w:tcPr>
            <w:tcW w:w="1420" w:type="dxa"/>
            <w:tcBorders>
              <w:top w:val="nil"/>
              <w:left w:val="nil"/>
              <w:bottom w:val="single" w:sz="4" w:space="0" w:color="auto"/>
              <w:right w:val="nil"/>
            </w:tcBorders>
          </w:tcPr>
          <w:p w14:paraId="30C4AE76"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Year FE</w:t>
            </w:r>
          </w:p>
        </w:tc>
        <w:tc>
          <w:tcPr>
            <w:tcW w:w="1420" w:type="dxa"/>
            <w:tcBorders>
              <w:top w:val="nil"/>
              <w:left w:val="nil"/>
              <w:bottom w:val="single" w:sz="4" w:space="0" w:color="auto"/>
              <w:right w:val="nil"/>
            </w:tcBorders>
          </w:tcPr>
          <w:p w14:paraId="0465B05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1" w:type="dxa"/>
            <w:tcBorders>
              <w:top w:val="nil"/>
              <w:left w:val="nil"/>
              <w:bottom w:val="single" w:sz="4" w:space="0" w:color="auto"/>
              <w:right w:val="nil"/>
            </w:tcBorders>
          </w:tcPr>
          <w:p w14:paraId="4C2A1BC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0" w:type="dxa"/>
            <w:tcBorders>
              <w:top w:val="nil"/>
              <w:left w:val="nil"/>
              <w:bottom w:val="single" w:sz="4" w:space="0" w:color="auto"/>
              <w:right w:val="nil"/>
            </w:tcBorders>
          </w:tcPr>
          <w:p w14:paraId="0677BB2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0" w:type="dxa"/>
            <w:tcBorders>
              <w:top w:val="nil"/>
              <w:left w:val="nil"/>
              <w:bottom w:val="single" w:sz="4" w:space="0" w:color="auto"/>
              <w:right w:val="nil"/>
            </w:tcBorders>
          </w:tcPr>
          <w:p w14:paraId="3A52B47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421" w:type="dxa"/>
            <w:tcBorders>
              <w:top w:val="nil"/>
              <w:left w:val="nil"/>
              <w:bottom w:val="single" w:sz="4" w:space="0" w:color="auto"/>
              <w:right w:val="nil"/>
            </w:tcBorders>
          </w:tcPr>
          <w:p w14:paraId="11E1D3A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4A2088CC" w14:textId="77777777">
        <w:tc>
          <w:tcPr>
            <w:tcW w:w="1420" w:type="dxa"/>
            <w:tcBorders>
              <w:top w:val="single" w:sz="4" w:space="0" w:color="auto"/>
              <w:left w:val="nil"/>
              <w:bottom w:val="nil"/>
              <w:right w:val="nil"/>
            </w:tcBorders>
          </w:tcPr>
          <w:p w14:paraId="7025E081"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N</w:t>
            </w:r>
          </w:p>
        </w:tc>
        <w:tc>
          <w:tcPr>
            <w:tcW w:w="1420" w:type="dxa"/>
            <w:tcBorders>
              <w:top w:val="single" w:sz="4" w:space="0" w:color="auto"/>
              <w:left w:val="nil"/>
              <w:bottom w:val="nil"/>
              <w:right w:val="nil"/>
            </w:tcBorders>
          </w:tcPr>
          <w:p w14:paraId="78229F6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421" w:type="dxa"/>
            <w:tcBorders>
              <w:top w:val="single" w:sz="4" w:space="0" w:color="auto"/>
              <w:left w:val="nil"/>
              <w:bottom w:val="nil"/>
              <w:right w:val="nil"/>
            </w:tcBorders>
          </w:tcPr>
          <w:p w14:paraId="634A645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420" w:type="dxa"/>
            <w:tcBorders>
              <w:top w:val="single" w:sz="4" w:space="0" w:color="auto"/>
              <w:left w:val="nil"/>
              <w:bottom w:val="nil"/>
              <w:right w:val="nil"/>
            </w:tcBorders>
          </w:tcPr>
          <w:p w14:paraId="37F979A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420" w:type="dxa"/>
            <w:tcBorders>
              <w:top w:val="single" w:sz="4" w:space="0" w:color="auto"/>
              <w:left w:val="nil"/>
              <w:bottom w:val="nil"/>
              <w:right w:val="nil"/>
            </w:tcBorders>
          </w:tcPr>
          <w:p w14:paraId="78BC35F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421" w:type="dxa"/>
            <w:tcBorders>
              <w:top w:val="single" w:sz="4" w:space="0" w:color="auto"/>
              <w:left w:val="nil"/>
              <w:bottom w:val="nil"/>
              <w:right w:val="nil"/>
            </w:tcBorders>
          </w:tcPr>
          <w:p w14:paraId="676FE13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r>
      <w:tr w:rsidR="00D45CD8" w:rsidRPr="007F7EE4" w14:paraId="154DF1EE" w14:textId="77777777">
        <w:tc>
          <w:tcPr>
            <w:tcW w:w="1420" w:type="dxa"/>
            <w:tcBorders>
              <w:top w:val="nil"/>
              <w:left w:val="nil"/>
              <w:bottom w:val="single" w:sz="4" w:space="0" w:color="auto"/>
              <w:right w:val="nil"/>
            </w:tcBorders>
          </w:tcPr>
          <w:p w14:paraId="5D2CD752"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r2_a</w:t>
            </w:r>
          </w:p>
        </w:tc>
        <w:tc>
          <w:tcPr>
            <w:tcW w:w="1420" w:type="dxa"/>
            <w:tcBorders>
              <w:top w:val="nil"/>
              <w:left w:val="nil"/>
              <w:bottom w:val="single" w:sz="4" w:space="0" w:color="auto"/>
              <w:right w:val="nil"/>
            </w:tcBorders>
          </w:tcPr>
          <w:p w14:paraId="1C4D3D2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0.288</w:t>
            </w:r>
          </w:p>
        </w:tc>
        <w:tc>
          <w:tcPr>
            <w:tcW w:w="1421" w:type="dxa"/>
            <w:tcBorders>
              <w:top w:val="nil"/>
              <w:left w:val="nil"/>
              <w:bottom w:val="single" w:sz="4" w:space="0" w:color="auto"/>
              <w:right w:val="nil"/>
            </w:tcBorders>
          </w:tcPr>
          <w:p w14:paraId="5A2EFAB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0.274</w:t>
            </w:r>
          </w:p>
        </w:tc>
        <w:tc>
          <w:tcPr>
            <w:tcW w:w="1420" w:type="dxa"/>
            <w:tcBorders>
              <w:top w:val="nil"/>
              <w:left w:val="nil"/>
              <w:bottom w:val="single" w:sz="4" w:space="0" w:color="auto"/>
              <w:right w:val="nil"/>
            </w:tcBorders>
          </w:tcPr>
          <w:p w14:paraId="5756507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0.027</w:t>
            </w:r>
          </w:p>
        </w:tc>
        <w:tc>
          <w:tcPr>
            <w:tcW w:w="1420" w:type="dxa"/>
            <w:tcBorders>
              <w:top w:val="nil"/>
              <w:left w:val="nil"/>
              <w:bottom w:val="single" w:sz="4" w:space="0" w:color="auto"/>
              <w:right w:val="nil"/>
            </w:tcBorders>
          </w:tcPr>
          <w:p w14:paraId="2559F8B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0.291</w:t>
            </w:r>
          </w:p>
        </w:tc>
        <w:tc>
          <w:tcPr>
            <w:tcW w:w="1421" w:type="dxa"/>
            <w:tcBorders>
              <w:top w:val="nil"/>
              <w:left w:val="nil"/>
              <w:bottom w:val="single" w:sz="4" w:space="0" w:color="auto"/>
              <w:right w:val="nil"/>
            </w:tcBorders>
          </w:tcPr>
          <w:p w14:paraId="07A663C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0.277</w:t>
            </w:r>
          </w:p>
        </w:tc>
      </w:tr>
    </w:tbl>
    <w:p w14:paraId="6A46F2E0" w14:textId="77777777" w:rsidR="00D45CD8" w:rsidRPr="007F7EE4" w:rsidRDefault="00D45CD8">
      <w:pPr>
        <w:pStyle w:val="af6"/>
        <w:jc w:val="left"/>
      </w:pPr>
    </w:p>
    <w:p w14:paraId="3EE07D27" w14:textId="77777777" w:rsidR="00D45CD8" w:rsidRPr="007F7EE4" w:rsidRDefault="00AC3F08">
      <w:pPr>
        <w:pStyle w:val="2"/>
      </w:pPr>
      <w:r w:rsidRPr="007F7EE4">
        <w:rPr>
          <w:rFonts w:hint="eastAsia"/>
        </w:rPr>
        <w:t>（四）调节机制检验</w:t>
      </w:r>
    </w:p>
    <w:p w14:paraId="452E0BB9" w14:textId="77777777" w:rsidR="00D675D0" w:rsidRPr="007F7EE4" w:rsidRDefault="00AC3F08">
      <w:pPr>
        <w:ind w:firstLine="420"/>
      </w:pPr>
      <w:r w:rsidRPr="007F7EE4">
        <w:rPr>
          <w:rFonts w:hint="eastAsia"/>
        </w:rPr>
        <w:t>为进一步检验本文提出的研究假设</w:t>
      </w:r>
      <w:r w:rsidRPr="007F7EE4">
        <w:rPr>
          <w:rFonts w:hint="eastAsia"/>
        </w:rPr>
        <w:t>H2</w:t>
      </w:r>
      <w:r w:rsidRPr="007F7EE4">
        <w:rPr>
          <w:rFonts w:hint="eastAsia"/>
        </w:rPr>
        <w:t>，即媒体关注、政策导向型媒体关注与市场导向型媒体关注在企业社会责任与企业绿色技术创新之间的调节效应</w:t>
      </w:r>
      <w:r w:rsidR="00D675D0" w:rsidRPr="007F7EE4">
        <w:rPr>
          <w:rFonts w:hint="eastAsia"/>
        </w:rPr>
        <w:t>。首先，本文</w:t>
      </w:r>
      <w:r w:rsidRPr="007F7EE4">
        <w:rPr>
          <w:rFonts w:hint="eastAsia"/>
        </w:rPr>
        <w:t>基于研究模型设定（</w:t>
      </w:r>
      <w:r w:rsidRPr="007F7EE4">
        <w:rPr>
          <w:rFonts w:hint="eastAsia"/>
        </w:rPr>
        <w:t>2</w:t>
      </w:r>
      <w:r w:rsidRPr="007F7EE4">
        <w:rPr>
          <w:rFonts w:hint="eastAsia"/>
        </w:rPr>
        <w:t>），如表</w:t>
      </w:r>
      <w:r w:rsidRPr="007F7EE4">
        <w:rPr>
          <w:rFonts w:hint="eastAsia"/>
        </w:rPr>
        <w:t>5</w:t>
      </w:r>
      <w:r w:rsidRPr="007F7EE4">
        <w:rPr>
          <w:rFonts w:hint="eastAsia"/>
        </w:rPr>
        <w:t>列（</w:t>
      </w:r>
      <w:r w:rsidRPr="007F7EE4">
        <w:rPr>
          <w:rFonts w:hint="eastAsia"/>
        </w:rPr>
        <w:t>1</w:t>
      </w:r>
      <w:r w:rsidRPr="007F7EE4">
        <w:rPr>
          <w:rFonts w:hint="eastAsia"/>
        </w:rPr>
        <w:t>）</w:t>
      </w:r>
      <w:r w:rsidRPr="007F7EE4">
        <w:rPr>
          <w:rFonts w:hint="eastAsia"/>
        </w:rPr>
        <w:t>-</w:t>
      </w:r>
      <w:r w:rsidRPr="007F7EE4">
        <w:rPr>
          <w:rFonts w:hint="eastAsia"/>
        </w:rPr>
        <w:t>（</w:t>
      </w:r>
      <w:r w:rsidRPr="007F7EE4">
        <w:rPr>
          <w:rFonts w:hint="eastAsia"/>
        </w:rPr>
        <w:t>2</w:t>
      </w:r>
      <w:r w:rsidRPr="007F7EE4">
        <w:rPr>
          <w:rFonts w:hint="eastAsia"/>
        </w:rPr>
        <w:t>）的回归结果表明，媒体关注在企业社会责任与企业绿色技术创新绩效之间产生显著的正向调节效应，对企业绿色专利申请与专利授权都产生显著的正向调节效应，交互项（</w:t>
      </w:r>
      <w:proofErr w:type="spellStart"/>
      <w:r w:rsidRPr="007F7EE4">
        <w:t>lnCSR</w:t>
      </w:r>
      <w:proofErr w:type="spellEnd"/>
      <w:r w:rsidRPr="007F7EE4">
        <w:t>*</w:t>
      </w:r>
      <w:proofErr w:type="spellStart"/>
      <w:r w:rsidRPr="007F7EE4">
        <w:t>lnMedia</w:t>
      </w:r>
      <w:proofErr w:type="spellEnd"/>
      <w:r w:rsidRPr="007F7EE4">
        <w:rPr>
          <w:rFonts w:hint="eastAsia"/>
        </w:rPr>
        <w:t>）为</w:t>
      </w:r>
      <w:r w:rsidRPr="007F7EE4">
        <w:rPr>
          <w:rFonts w:hint="eastAsia"/>
        </w:rPr>
        <w:t>0.019</w:t>
      </w:r>
      <w:r w:rsidRPr="007F7EE4">
        <w:rPr>
          <w:rFonts w:hint="eastAsia"/>
        </w:rPr>
        <w:t>，通过了</w:t>
      </w:r>
      <w:r w:rsidRPr="007F7EE4">
        <w:rPr>
          <w:rFonts w:hint="eastAsia"/>
        </w:rPr>
        <w:t>5%</w:t>
      </w:r>
      <w:r w:rsidRPr="007F7EE4">
        <w:rPr>
          <w:rFonts w:hint="eastAsia"/>
        </w:rPr>
        <w:t>水平下的显著性检验，本文研究假设</w:t>
      </w:r>
      <w:r w:rsidRPr="007F7EE4">
        <w:rPr>
          <w:rFonts w:hint="eastAsia"/>
        </w:rPr>
        <w:t>H2</w:t>
      </w:r>
      <w:r w:rsidRPr="007F7EE4">
        <w:rPr>
          <w:rFonts w:hint="eastAsia"/>
        </w:rPr>
        <w:t>得到实证结果的支持。</w:t>
      </w:r>
    </w:p>
    <w:p w14:paraId="128487C9" w14:textId="77777777" w:rsidR="00D45CD8" w:rsidRPr="007F7EE4" w:rsidRDefault="00AC3F08">
      <w:pPr>
        <w:ind w:firstLine="420"/>
      </w:pPr>
      <w:r w:rsidRPr="007F7EE4">
        <w:rPr>
          <w:rFonts w:hint="eastAsia"/>
        </w:rPr>
        <w:t>更进一步地，进一步区分不同类型的媒体关注合法性类型，</w:t>
      </w:r>
      <w:r w:rsidR="00D675D0" w:rsidRPr="007F7EE4">
        <w:rPr>
          <w:rFonts w:hint="eastAsia"/>
        </w:rPr>
        <w:t>进一步考察政策导向型媒体关注在企业社会责任与企业绿色技术创新之间的调节效应，基于</w:t>
      </w:r>
      <w:r w:rsidRPr="007F7EE4">
        <w:rPr>
          <w:rFonts w:hint="eastAsia"/>
        </w:rPr>
        <w:t>表</w:t>
      </w:r>
      <w:r w:rsidRPr="007F7EE4">
        <w:rPr>
          <w:rFonts w:hint="eastAsia"/>
        </w:rPr>
        <w:t>5</w:t>
      </w:r>
      <w:r w:rsidRPr="007F7EE4">
        <w:rPr>
          <w:rFonts w:hint="eastAsia"/>
        </w:rPr>
        <w:t>的列（</w:t>
      </w:r>
      <w:r w:rsidRPr="007F7EE4">
        <w:rPr>
          <w:rFonts w:hint="eastAsia"/>
        </w:rPr>
        <w:t>3</w:t>
      </w:r>
      <w:r w:rsidRPr="007F7EE4">
        <w:rPr>
          <w:rFonts w:hint="eastAsia"/>
        </w:rPr>
        <w:t>）</w:t>
      </w:r>
      <w:r w:rsidRPr="007F7EE4">
        <w:rPr>
          <w:rFonts w:hint="eastAsia"/>
        </w:rPr>
        <w:t>-</w:t>
      </w:r>
      <w:r w:rsidRPr="007F7EE4">
        <w:rPr>
          <w:rFonts w:hint="eastAsia"/>
        </w:rPr>
        <w:t>（</w:t>
      </w:r>
      <w:r w:rsidRPr="007F7EE4">
        <w:rPr>
          <w:rFonts w:hint="eastAsia"/>
        </w:rPr>
        <w:t>4</w:t>
      </w:r>
      <w:r w:rsidRPr="007F7EE4">
        <w:rPr>
          <w:rFonts w:hint="eastAsia"/>
        </w:rPr>
        <w:t>）所示，</w:t>
      </w:r>
      <w:r w:rsidRPr="007F7EE4">
        <w:rPr>
          <w:rFonts w:hint="eastAsia"/>
        </w:rPr>
        <w:t>OLS</w:t>
      </w:r>
      <w:r w:rsidRPr="007F7EE4">
        <w:rPr>
          <w:rFonts w:hint="eastAsia"/>
        </w:rPr>
        <w:t>估计结果表明政策导向型媒体关注在企业社会责任与企业绿色技术创新绩效之间产生显著的正向效应调节，分企业专利申请与授权情境，</w:t>
      </w:r>
      <w:r w:rsidR="00D675D0" w:rsidRPr="007F7EE4">
        <w:rPr>
          <w:rFonts w:hint="eastAsia"/>
        </w:rPr>
        <w:t>政策导向型媒体关注与企业社会责任的</w:t>
      </w:r>
      <w:r w:rsidRPr="007F7EE4">
        <w:rPr>
          <w:rFonts w:hint="eastAsia"/>
        </w:rPr>
        <w:t>交互项（</w:t>
      </w:r>
      <w:proofErr w:type="spellStart"/>
      <w:r w:rsidRPr="007F7EE4">
        <w:rPr>
          <w:rFonts w:cs="Times New Roman"/>
          <w:kern w:val="0"/>
          <w:szCs w:val="21"/>
        </w:rPr>
        <w:t>lnCSR</w:t>
      </w:r>
      <w:proofErr w:type="spellEnd"/>
      <w:r w:rsidRPr="007F7EE4">
        <w:rPr>
          <w:rFonts w:cs="Times New Roman" w:hint="eastAsia"/>
          <w:kern w:val="0"/>
          <w:szCs w:val="21"/>
        </w:rPr>
        <w:t>*</w:t>
      </w:r>
      <w:proofErr w:type="spellStart"/>
      <w:r w:rsidRPr="007F7EE4">
        <w:rPr>
          <w:rFonts w:cs="Times New Roman"/>
          <w:kern w:val="0"/>
          <w:szCs w:val="21"/>
        </w:rPr>
        <w:t>lnMediaA</w:t>
      </w:r>
      <w:proofErr w:type="spellEnd"/>
      <w:r w:rsidRPr="007F7EE4">
        <w:rPr>
          <w:rFonts w:hint="eastAsia"/>
        </w:rPr>
        <w:t>）的系数分别为</w:t>
      </w:r>
      <w:r w:rsidRPr="007F7EE4">
        <w:rPr>
          <w:rFonts w:hint="eastAsia"/>
        </w:rPr>
        <w:t>0.026</w:t>
      </w:r>
      <w:r w:rsidRPr="007F7EE4">
        <w:rPr>
          <w:rFonts w:hint="eastAsia"/>
        </w:rPr>
        <w:t>和</w:t>
      </w:r>
      <w:r w:rsidRPr="007F7EE4">
        <w:rPr>
          <w:rFonts w:hint="eastAsia"/>
        </w:rPr>
        <w:t>0.021</w:t>
      </w:r>
      <w:r w:rsidRPr="007F7EE4">
        <w:rPr>
          <w:rFonts w:hint="eastAsia"/>
        </w:rPr>
        <w:t>，通过了</w:t>
      </w:r>
      <w:r w:rsidRPr="007F7EE4">
        <w:rPr>
          <w:rFonts w:hint="eastAsia"/>
        </w:rPr>
        <w:t>5%</w:t>
      </w:r>
      <w:r w:rsidRPr="007F7EE4">
        <w:rPr>
          <w:rFonts w:hint="eastAsia"/>
        </w:rPr>
        <w:t>水平下的显著性检验，在企业社会责任与企业绿色技术创新产生显著的正向调节效应，即本文提出的研究假设</w:t>
      </w:r>
      <w:r w:rsidRPr="007F7EE4">
        <w:rPr>
          <w:rFonts w:hint="eastAsia"/>
        </w:rPr>
        <w:t>H2a</w:t>
      </w:r>
      <w:r w:rsidRPr="007F7EE4">
        <w:rPr>
          <w:rFonts w:hint="eastAsia"/>
        </w:rPr>
        <w:t>得到实证结果的支持。</w:t>
      </w:r>
    </w:p>
    <w:p w14:paraId="0159D9C1" w14:textId="77777777" w:rsidR="00D45CD8" w:rsidRPr="007F7EE4" w:rsidRDefault="00AC3F08">
      <w:pPr>
        <w:ind w:firstLine="420"/>
      </w:pPr>
      <w:r w:rsidRPr="007F7EE4">
        <w:rPr>
          <w:rFonts w:hint="eastAsia"/>
        </w:rPr>
        <w:t>最后，考察市场类媒体关注在企业社会责任与企业绿色技术创新绩效之间的调节效应，基于表</w:t>
      </w:r>
      <w:r w:rsidRPr="007F7EE4">
        <w:rPr>
          <w:rFonts w:hint="eastAsia"/>
        </w:rPr>
        <w:t>5</w:t>
      </w:r>
      <w:r w:rsidRPr="007F7EE4">
        <w:rPr>
          <w:rFonts w:hint="eastAsia"/>
        </w:rPr>
        <w:t>的列（</w:t>
      </w:r>
      <w:r w:rsidRPr="007F7EE4">
        <w:rPr>
          <w:rFonts w:hint="eastAsia"/>
        </w:rPr>
        <w:t>5</w:t>
      </w:r>
      <w:r w:rsidRPr="007F7EE4">
        <w:rPr>
          <w:rFonts w:hint="eastAsia"/>
        </w:rPr>
        <w:t>）</w:t>
      </w:r>
      <w:r w:rsidRPr="007F7EE4">
        <w:rPr>
          <w:rFonts w:hint="eastAsia"/>
        </w:rPr>
        <w:t>-</w:t>
      </w:r>
      <w:r w:rsidRPr="007F7EE4">
        <w:rPr>
          <w:rFonts w:hint="eastAsia"/>
        </w:rPr>
        <w:t>（</w:t>
      </w:r>
      <w:r w:rsidRPr="007F7EE4">
        <w:rPr>
          <w:rFonts w:hint="eastAsia"/>
        </w:rPr>
        <w:t>6</w:t>
      </w:r>
      <w:r w:rsidRPr="007F7EE4">
        <w:rPr>
          <w:rFonts w:hint="eastAsia"/>
        </w:rPr>
        <w:t>）发现</w:t>
      </w:r>
      <w:r w:rsidR="00D675D0" w:rsidRPr="007F7EE4">
        <w:rPr>
          <w:rFonts w:hint="eastAsia"/>
        </w:rPr>
        <w:t>市场导向型媒体关注与企业社会责任的</w:t>
      </w:r>
      <w:r w:rsidRPr="007F7EE4">
        <w:rPr>
          <w:rFonts w:hint="eastAsia"/>
        </w:rPr>
        <w:t>交互项（</w:t>
      </w:r>
      <w:proofErr w:type="spellStart"/>
      <w:r w:rsidRPr="007F7EE4">
        <w:t>lnCSR</w:t>
      </w:r>
      <w:proofErr w:type="spellEnd"/>
      <w:r w:rsidRPr="007F7EE4">
        <w:t>*</w:t>
      </w:r>
      <w:proofErr w:type="spellStart"/>
      <w:r w:rsidRPr="007F7EE4">
        <w:t>lnMediaM</w:t>
      </w:r>
      <w:proofErr w:type="spellEnd"/>
      <w:r w:rsidRPr="007F7EE4">
        <w:rPr>
          <w:rFonts w:hint="eastAsia"/>
        </w:rPr>
        <w:t>）对企业绿色专利申请和专利授权分别通过</w:t>
      </w:r>
      <w:r w:rsidRPr="007F7EE4">
        <w:rPr>
          <w:rFonts w:hint="eastAsia"/>
        </w:rPr>
        <w:t>10%</w:t>
      </w:r>
      <w:r w:rsidRPr="007F7EE4">
        <w:rPr>
          <w:rFonts w:hint="eastAsia"/>
        </w:rPr>
        <w:t>水平下的显著性检验，说明市场导向型媒体关注在企业社会责任与企业绿色技术创新之间产生有效地规范合法性压力传导机制进而强化企业绿色技术创新导向，本文研究假设</w:t>
      </w:r>
      <w:r w:rsidRPr="007F7EE4">
        <w:rPr>
          <w:rFonts w:hint="eastAsia"/>
        </w:rPr>
        <w:t>H2b</w:t>
      </w:r>
      <w:r w:rsidRPr="007F7EE4">
        <w:rPr>
          <w:rFonts w:hint="eastAsia"/>
        </w:rPr>
        <w:t>得到实证结果的支持，但是调节效应的显著性与影响系数弱于政府导向型媒体关注的调节效应。总之，考虑外部制度合法性视角下的媒体关注类型驱动企业社会责任与企业绿色技术创新的压力机制的差异性，发现经验证据支持政策导向型媒体与市场导向型媒体的规制与规范合法性压力能够强化企业可持续导向进而强化企业绿色技术创新绩效。</w:t>
      </w:r>
    </w:p>
    <w:p w14:paraId="6F036946"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t>5</w:t>
      </w:r>
      <w:r w:rsidRPr="007F7EE4">
        <w:rPr>
          <w:rFonts w:hint="eastAsia"/>
        </w:rPr>
        <w:t xml:space="preserve"> </w:t>
      </w:r>
      <w:r w:rsidRPr="007F7EE4">
        <w:rPr>
          <w:rFonts w:hint="eastAsia"/>
        </w:rPr>
        <w:t>媒体关注调节机制检验</w:t>
      </w:r>
    </w:p>
    <w:p w14:paraId="70EA8A0E"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1216"/>
        <w:gridCol w:w="1219"/>
        <w:gridCol w:w="1217"/>
        <w:gridCol w:w="1219"/>
        <w:gridCol w:w="1217"/>
        <w:gridCol w:w="1219"/>
        <w:gridCol w:w="1215"/>
      </w:tblGrid>
      <w:tr w:rsidR="007F7EE4" w:rsidRPr="007F7EE4" w14:paraId="18B8DC22" w14:textId="77777777">
        <w:tc>
          <w:tcPr>
            <w:tcW w:w="1216" w:type="dxa"/>
            <w:tcBorders>
              <w:top w:val="single" w:sz="4" w:space="0" w:color="auto"/>
              <w:left w:val="nil"/>
              <w:bottom w:val="nil"/>
              <w:right w:val="nil"/>
            </w:tcBorders>
            <w:vAlign w:val="center"/>
          </w:tcPr>
          <w:p w14:paraId="70BF288E"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single" w:sz="4" w:space="0" w:color="auto"/>
              <w:left w:val="nil"/>
              <w:bottom w:val="nil"/>
              <w:right w:val="nil"/>
            </w:tcBorders>
            <w:vAlign w:val="center"/>
          </w:tcPr>
          <w:p w14:paraId="7083B7F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217" w:type="dxa"/>
            <w:tcBorders>
              <w:top w:val="single" w:sz="4" w:space="0" w:color="auto"/>
              <w:left w:val="nil"/>
              <w:bottom w:val="nil"/>
              <w:right w:val="nil"/>
            </w:tcBorders>
            <w:vAlign w:val="center"/>
          </w:tcPr>
          <w:p w14:paraId="0835334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219" w:type="dxa"/>
            <w:tcBorders>
              <w:top w:val="single" w:sz="4" w:space="0" w:color="auto"/>
              <w:left w:val="nil"/>
              <w:bottom w:val="nil"/>
              <w:right w:val="nil"/>
            </w:tcBorders>
            <w:vAlign w:val="center"/>
          </w:tcPr>
          <w:p w14:paraId="7BFC2B3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217" w:type="dxa"/>
            <w:tcBorders>
              <w:top w:val="single" w:sz="4" w:space="0" w:color="auto"/>
              <w:left w:val="nil"/>
              <w:bottom w:val="nil"/>
              <w:right w:val="nil"/>
            </w:tcBorders>
            <w:vAlign w:val="center"/>
          </w:tcPr>
          <w:p w14:paraId="1411C3D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c>
          <w:tcPr>
            <w:tcW w:w="1219" w:type="dxa"/>
            <w:tcBorders>
              <w:top w:val="single" w:sz="4" w:space="0" w:color="auto"/>
              <w:left w:val="nil"/>
              <w:bottom w:val="nil"/>
              <w:right w:val="nil"/>
            </w:tcBorders>
            <w:vAlign w:val="center"/>
          </w:tcPr>
          <w:p w14:paraId="08926B5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(5)</w:t>
            </w:r>
          </w:p>
        </w:tc>
        <w:tc>
          <w:tcPr>
            <w:tcW w:w="1215" w:type="dxa"/>
            <w:tcBorders>
              <w:top w:val="single" w:sz="4" w:space="0" w:color="auto"/>
              <w:left w:val="nil"/>
              <w:bottom w:val="nil"/>
              <w:right w:val="nil"/>
            </w:tcBorders>
            <w:vAlign w:val="center"/>
          </w:tcPr>
          <w:p w14:paraId="742DB65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(6)</w:t>
            </w:r>
          </w:p>
        </w:tc>
      </w:tr>
      <w:tr w:rsidR="007F7EE4" w:rsidRPr="007F7EE4" w14:paraId="36DDEC9E" w14:textId="77777777">
        <w:tc>
          <w:tcPr>
            <w:tcW w:w="1216" w:type="dxa"/>
            <w:tcBorders>
              <w:top w:val="nil"/>
              <w:left w:val="nil"/>
              <w:bottom w:val="nil"/>
              <w:right w:val="nil"/>
            </w:tcBorders>
            <w:vAlign w:val="center"/>
          </w:tcPr>
          <w:p w14:paraId="06E1C492"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1E3EBBB4"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1217" w:type="dxa"/>
            <w:tcBorders>
              <w:top w:val="nil"/>
              <w:left w:val="nil"/>
              <w:bottom w:val="nil"/>
              <w:right w:val="nil"/>
            </w:tcBorders>
            <w:vAlign w:val="center"/>
          </w:tcPr>
          <w:p w14:paraId="67B3B7BD"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c>
          <w:tcPr>
            <w:tcW w:w="1219" w:type="dxa"/>
            <w:tcBorders>
              <w:top w:val="nil"/>
              <w:left w:val="nil"/>
              <w:bottom w:val="nil"/>
              <w:right w:val="nil"/>
            </w:tcBorders>
            <w:vAlign w:val="center"/>
          </w:tcPr>
          <w:p w14:paraId="749CB535"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1217" w:type="dxa"/>
            <w:tcBorders>
              <w:top w:val="nil"/>
              <w:left w:val="nil"/>
              <w:bottom w:val="nil"/>
              <w:right w:val="nil"/>
            </w:tcBorders>
            <w:vAlign w:val="center"/>
          </w:tcPr>
          <w:p w14:paraId="3AE0B381"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c>
          <w:tcPr>
            <w:tcW w:w="1219" w:type="dxa"/>
            <w:tcBorders>
              <w:top w:val="nil"/>
              <w:left w:val="nil"/>
              <w:bottom w:val="nil"/>
              <w:right w:val="nil"/>
            </w:tcBorders>
            <w:vAlign w:val="center"/>
          </w:tcPr>
          <w:p w14:paraId="59534270"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1215" w:type="dxa"/>
            <w:tcBorders>
              <w:top w:val="nil"/>
              <w:left w:val="nil"/>
              <w:bottom w:val="nil"/>
              <w:right w:val="nil"/>
            </w:tcBorders>
            <w:vAlign w:val="center"/>
          </w:tcPr>
          <w:p w14:paraId="6A28B613"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5B1D8BB0" w14:textId="77777777">
        <w:tc>
          <w:tcPr>
            <w:tcW w:w="1216" w:type="dxa"/>
            <w:tcBorders>
              <w:top w:val="single" w:sz="4" w:space="0" w:color="auto"/>
              <w:left w:val="nil"/>
              <w:bottom w:val="nil"/>
              <w:right w:val="nil"/>
            </w:tcBorders>
            <w:vAlign w:val="center"/>
          </w:tcPr>
          <w:p w14:paraId="7ACB2A95"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lastRenderedPageBreak/>
              <w:t>lnCSR</w:t>
            </w:r>
            <w:proofErr w:type="spellEnd"/>
          </w:p>
        </w:tc>
        <w:tc>
          <w:tcPr>
            <w:tcW w:w="1219" w:type="dxa"/>
            <w:tcBorders>
              <w:top w:val="single" w:sz="4" w:space="0" w:color="auto"/>
              <w:left w:val="nil"/>
              <w:bottom w:val="nil"/>
              <w:right w:val="nil"/>
            </w:tcBorders>
            <w:vAlign w:val="center"/>
          </w:tcPr>
          <w:p w14:paraId="5F2D976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0.014</w:t>
            </w:r>
          </w:p>
        </w:tc>
        <w:tc>
          <w:tcPr>
            <w:tcW w:w="1217" w:type="dxa"/>
            <w:tcBorders>
              <w:top w:val="single" w:sz="4" w:space="0" w:color="auto"/>
              <w:left w:val="nil"/>
              <w:bottom w:val="nil"/>
              <w:right w:val="nil"/>
            </w:tcBorders>
            <w:vAlign w:val="center"/>
          </w:tcPr>
          <w:p w14:paraId="73154AD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0.010</w:t>
            </w:r>
          </w:p>
        </w:tc>
        <w:tc>
          <w:tcPr>
            <w:tcW w:w="1219" w:type="dxa"/>
            <w:tcBorders>
              <w:top w:val="single" w:sz="4" w:space="0" w:color="auto"/>
              <w:left w:val="nil"/>
              <w:bottom w:val="nil"/>
              <w:right w:val="nil"/>
            </w:tcBorders>
            <w:vAlign w:val="center"/>
          </w:tcPr>
          <w:p w14:paraId="12E400F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0.024</w:t>
            </w:r>
          </w:p>
        </w:tc>
        <w:tc>
          <w:tcPr>
            <w:tcW w:w="1217" w:type="dxa"/>
            <w:tcBorders>
              <w:top w:val="single" w:sz="4" w:space="0" w:color="auto"/>
              <w:left w:val="nil"/>
              <w:bottom w:val="nil"/>
              <w:right w:val="nil"/>
            </w:tcBorders>
            <w:vAlign w:val="center"/>
          </w:tcPr>
          <w:p w14:paraId="50055FF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0.011</w:t>
            </w:r>
          </w:p>
        </w:tc>
        <w:tc>
          <w:tcPr>
            <w:tcW w:w="1219" w:type="dxa"/>
            <w:tcBorders>
              <w:top w:val="single" w:sz="4" w:space="0" w:color="auto"/>
              <w:left w:val="nil"/>
              <w:bottom w:val="nil"/>
              <w:right w:val="nil"/>
            </w:tcBorders>
            <w:vAlign w:val="center"/>
          </w:tcPr>
          <w:p w14:paraId="7940547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0.025</w:t>
            </w:r>
          </w:p>
        </w:tc>
        <w:tc>
          <w:tcPr>
            <w:tcW w:w="1215" w:type="dxa"/>
            <w:tcBorders>
              <w:top w:val="single" w:sz="4" w:space="0" w:color="auto"/>
              <w:left w:val="nil"/>
              <w:bottom w:val="nil"/>
              <w:right w:val="nil"/>
            </w:tcBorders>
            <w:vAlign w:val="center"/>
          </w:tcPr>
          <w:p w14:paraId="33F50DC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0.020</w:t>
            </w:r>
          </w:p>
        </w:tc>
      </w:tr>
      <w:tr w:rsidR="007F7EE4" w:rsidRPr="007F7EE4" w14:paraId="003FA1DD" w14:textId="77777777">
        <w:tc>
          <w:tcPr>
            <w:tcW w:w="1216" w:type="dxa"/>
            <w:tcBorders>
              <w:top w:val="nil"/>
              <w:left w:val="nil"/>
              <w:bottom w:val="nil"/>
              <w:right w:val="nil"/>
            </w:tcBorders>
            <w:vAlign w:val="center"/>
          </w:tcPr>
          <w:p w14:paraId="1784D254"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5D85AFD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(0.028)</w:t>
            </w:r>
          </w:p>
        </w:tc>
        <w:tc>
          <w:tcPr>
            <w:tcW w:w="1217" w:type="dxa"/>
            <w:tcBorders>
              <w:top w:val="nil"/>
              <w:left w:val="nil"/>
              <w:bottom w:val="nil"/>
              <w:right w:val="nil"/>
            </w:tcBorders>
            <w:vAlign w:val="center"/>
          </w:tcPr>
          <w:p w14:paraId="6CB898D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(0.025)</w:t>
            </w:r>
          </w:p>
        </w:tc>
        <w:tc>
          <w:tcPr>
            <w:tcW w:w="1219" w:type="dxa"/>
            <w:tcBorders>
              <w:top w:val="nil"/>
              <w:left w:val="nil"/>
              <w:bottom w:val="nil"/>
              <w:right w:val="nil"/>
            </w:tcBorders>
            <w:vAlign w:val="center"/>
          </w:tcPr>
          <w:p w14:paraId="00CC24A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(0.019)</w:t>
            </w:r>
          </w:p>
        </w:tc>
        <w:tc>
          <w:tcPr>
            <w:tcW w:w="1217" w:type="dxa"/>
            <w:tcBorders>
              <w:top w:val="nil"/>
              <w:left w:val="nil"/>
              <w:bottom w:val="nil"/>
              <w:right w:val="nil"/>
            </w:tcBorders>
            <w:vAlign w:val="center"/>
          </w:tcPr>
          <w:p w14:paraId="32A61B1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(0.017)</w:t>
            </w:r>
          </w:p>
        </w:tc>
        <w:tc>
          <w:tcPr>
            <w:tcW w:w="1219" w:type="dxa"/>
            <w:tcBorders>
              <w:top w:val="nil"/>
              <w:left w:val="nil"/>
              <w:bottom w:val="nil"/>
              <w:right w:val="nil"/>
            </w:tcBorders>
            <w:vAlign w:val="center"/>
          </w:tcPr>
          <w:p w14:paraId="2969283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(0.025)</w:t>
            </w:r>
          </w:p>
        </w:tc>
        <w:tc>
          <w:tcPr>
            <w:tcW w:w="1215" w:type="dxa"/>
            <w:tcBorders>
              <w:top w:val="nil"/>
              <w:left w:val="nil"/>
              <w:bottom w:val="nil"/>
              <w:right w:val="nil"/>
            </w:tcBorders>
            <w:vAlign w:val="center"/>
          </w:tcPr>
          <w:p w14:paraId="42382DB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(0.022)</w:t>
            </w:r>
          </w:p>
        </w:tc>
      </w:tr>
      <w:tr w:rsidR="007F7EE4" w:rsidRPr="007F7EE4" w14:paraId="04A5D3FB" w14:textId="77777777">
        <w:tc>
          <w:tcPr>
            <w:tcW w:w="1216" w:type="dxa"/>
            <w:tcBorders>
              <w:top w:val="nil"/>
              <w:left w:val="nil"/>
              <w:bottom w:val="nil"/>
              <w:right w:val="nil"/>
            </w:tcBorders>
            <w:vAlign w:val="center"/>
          </w:tcPr>
          <w:p w14:paraId="24315030"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lnMedia</w:t>
            </w:r>
            <w:proofErr w:type="spellEnd"/>
          </w:p>
        </w:tc>
        <w:tc>
          <w:tcPr>
            <w:tcW w:w="1219" w:type="dxa"/>
            <w:tcBorders>
              <w:top w:val="nil"/>
              <w:left w:val="nil"/>
              <w:bottom w:val="nil"/>
              <w:right w:val="nil"/>
            </w:tcBorders>
            <w:vAlign w:val="center"/>
          </w:tcPr>
          <w:p w14:paraId="12DDFE0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0.035</w:t>
            </w:r>
          </w:p>
        </w:tc>
        <w:tc>
          <w:tcPr>
            <w:tcW w:w="1217" w:type="dxa"/>
            <w:tcBorders>
              <w:top w:val="nil"/>
              <w:left w:val="nil"/>
              <w:bottom w:val="nil"/>
              <w:right w:val="nil"/>
            </w:tcBorders>
            <w:vAlign w:val="center"/>
          </w:tcPr>
          <w:p w14:paraId="6968454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0.032</w:t>
            </w:r>
          </w:p>
        </w:tc>
        <w:tc>
          <w:tcPr>
            <w:tcW w:w="1219" w:type="dxa"/>
            <w:tcBorders>
              <w:top w:val="nil"/>
              <w:left w:val="nil"/>
              <w:bottom w:val="nil"/>
              <w:right w:val="nil"/>
            </w:tcBorders>
            <w:vAlign w:val="center"/>
          </w:tcPr>
          <w:p w14:paraId="6036F86E"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37E577EB"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793631AF"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5" w:type="dxa"/>
            <w:tcBorders>
              <w:top w:val="nil"/>
              <w:left w:val="nil"/>
              <w:bottom w:val="nil"/>
              <w:right w:val="nil"/>
            </w:tcBorders>
            <w:vAlign w:val="center"/>
          </w:tcPr>
          <w:p w14:paraId="2F1CF312" w14:textId="77777777" w:rsidR="00D45CD8" w:rsidRPr="007F7EE4" w:rsidRDefault="00D45CD8">
            <w:pPr>
              <w:autoSpaceDE w:val="0"/>
              <w:autoSpaceDN w:val="0"/>
              <w:adjustRightInd w:val="0"/>
              <w:ind w:firstLineChars="0" w:firstLine="0"/>
              <w:jc w:val="center"/>
              <w:rPr>
                <w:rFonts w:cs="Times New Roman"/>
                <w:kern w:val="0"/>
                <w:sz w:val="15"/>
                <w:szCs w:val="15"/>
              </w:rPr>
            </w:pPr>
          </w:p>
        </w:tc>
      </w:tr>
      <w:tr w:rsidR="007F7EE4" w:rsidRPr="007F7EE4" w14:paraId="434ED1D0" w14:textId="77777777">
        <w:tc>
          <w:tcPr>
            <w:tcW w:w="1216" w:type="dxa"/>
            <w:tcBorders>
              <w:top w:val="nil"/>
              <w:left w:val="nil"/>
              <w:bottom w:val="nil"/>
              <w:right w:val="nil"/>
            </w:tcBorders>
            <w:vAlign w:val="center"/>
          </w:tcPr>
          <w:p w14:paraId="68C200E0"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75A8702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(0.025)</w:t>
            </w:r>
          </w:p>
        </w:tc>
        <w:tc>
          <w:tcPr>
            <w:tcW w:w="1217" w:type="dxa"/>
            <w:tcBorders>
              <w:top w:val="nil"/>
              <w:left w:val="nil"/>
              <w:bottom w:val="nil"/>
              <w:right w:val="nil"/>
            </w:tcBorders>
            <w:vAlign w:val="center"/>
          </w:tcPr>
          <w:p w14:paraId="59E3A61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(0.023)</w:t>
            </w:r>
          </w:p>
        </w:tc>
        <w:tc>
          <w:tcPr>
            <w:tcW w:w="1219" w:type="dxa"/>
            <w:tcBorders>
              <w:top w:val="nil"/>
              <w:left w:val="nil"/>
              <w:bottom w:val="nil"/>
              <w:right w:val="nil"/>
            </w:tcBorders>
            <w:vAlign w:val="center"/>
          </w:tcPr>
          <w:p w14:paraId="0D68A2D8"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023BF910"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51CE7DF4"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5" w:type="dxa"/>
            <w:tcBorders>
              <w:top w:val="nil"/>
              <w:left w:val="nil"/>
              <w:bottom w:val="nil"/>
              <w:right w:val="nil"/>
            </w:tcBorders>
            <w:vAlign w:val="center"/>
          </w:tcPr>
          <w:p w14:paraId="79C2DABF" w14:textId="77777777" w:rsidR="00D45CD8" w:rsidRPr="007F7EE4" w:rsidRDefault="00D45CD8">
            <w:pPr>
              <w:autoSpaceDE w:val="0"/>
              <w:autoSpaceDN w:val="0"/>
              <w:adjustRightInd w:val="0"/>
              <w:ind w:firstLineChars="0" w:firstLine="0"/>
              <w:jc w:val="center"/>
              <w:rPr>
                <w:rFonts w:cs="Times New Roman"/>
                <w:kern w:val="0"/>
                <w:sz w:val="15"/>
                <w:szCs w:val="15"/>
              </w:rPr>
            </w:pPr>
          </w:p>
        </w:tc>
      </w:tr>
      <w:tr w:rsidR="007F7EE4" w:rsidRPr="007F7EE4" w14:paraId="53162F46" w14:textId="77777777">
        <w:tc>
          <w:tcPr>
            <w:tcW w:w="1216" w:type="dxa"/>
            <w:tcBorders>
              <w:top w:val="nil"/>
              <w:left w:val="nil"/>
              <w:bottom w:val="nil"/>
              <w:right w:val="nil"/>
            </w:tcBorders>
            <w:vAlign w:val="center"/>
          </w:tcPr>
          <w:p w14:paraId="41D3FF4A"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lnMediaA</w:t>
            </w:r>
            <w:proofErr w:type="spellEnd"/>
          </w:p>
        </w:tc>
        <w:tc>
          <w:tcPr>
            <w:tcW w:w="1219" w:type="dxa"/>
            <w:tcBorders>
              <w:top w:val="nil"/>
              <w:left w:val="nil"/>
              <w:bottom w:val="nil"/>
              <w:right w:val="nil"/>
            </w:tcBorders>
            <w:vAlign w:val="center"/>
          </w:tcPr>
          <w:p w14:paraId="7CF594D8"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745C0FF0"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0ADC529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0.017</w:t>
            </w:r>
          </w:p>
        </w:tc>
        <w:tc>
          <w:tcPr>
            <w:tcW w:w="1217" w:type="dxa"/>
            <w:tcBorders>
              <w:top w:val="nil"/>
              <w:left w:val="nil"/>
              <w:bottom w:val="nil"/>
              <w:right w:val="nil"/>
            </w:tcBorders>
            <w:vAlign w:val="center"/>
          </w:tcPr>
          <w:p w14:paraId="4158393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0.008</w:t>
            </w:r>
          </w:p>
        </w:tc>
        <w:tc>
          <w:tcPr>
            <w:tcW w:w="1219" w:type="dxa"/>
            <w:tcBorders>
              <w:top w:val="nil"/>
              <w:left w:val="nil"/>
              <w:bottom w:val="nil"/>
              <w:right w:val="nil"/>
            </w:tcBorders>
            <w:vAlign w:val="center"/>
          </w:tcPr>
          <w:p w14:paraId="70974007"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5" w:type="dxa"/>
            <w:tcBorders>
              <w:top w:val="nil"/>
              <w:left w:val="nil"/>
              <w:bottom w:val="nil"/>
              <w:right w:val="nil"/>
            </w:tcBorders>
            <w:vAlign w:val="center"/>
          </w:tcPr>
          <w:p w14:paraId="758038F6" w14:textId="77777777" w:rsidR="00D45CD8" w:rsidRPr="007F7EE4" w:rsidRDefault="00D45CD8">
            <w:pPr>
              <w:autoSpaceDE w:val="0"/>
              <w:autoSpaceDN w:val="0"/>
              <w:adjustRightInd w:val="0"/>
              <w:ind w:firstLineChars="0" w:firstLine="0"/>
              <w:jc w:val="center"/>
              <w:rPr>
                <w:rFonts w:cs="Times New Roman"/>
                <w:kern w:val="0"/>
                <w:sz w:val="15"/>
                <w:szCs w:val="15"/>
              </w:rPr>
            </w:pPr>
          </w:p>
        </w:tc>
      </w:tr>
      <w:tr w:rsidR="007F7EE4" w:rsidRPr="007F7EE4" w14:paraId="068BEB27" w14:textId="77777777">
        <w:tc>
          <w:tcPr>
            <w:tcW w:w="1216" w:type="dxa"/>
            <w:tcBorders>
              <w:top w:val="nil"/>
              <w:left w:val="nil"/>
              <w:bottom w:val="nil"/>
              <w:right w:val="nil"/>
            </w:tcBorders>
            <w:vAlign w:val="center"/>
          </w:tcPr>
          <w:p w14:paraId="15207EA7"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1AA78790"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28087050"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66C96E1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(0.030)</w:t>
            </w:r>
          </w:p>
        </w:tc>
        <w:tc>
          <w:tcPr>
            <w:tcW w:w="1217" w:type="dxa"/>
            <w:tcBorders>
              <w:top w:val="nil"/>
              <w:left w:val="nil"/>
              <w:bottom w:val="nil"/>
              <w:right w:val="nil"/>
            </w:tcBorders>
            <w:vAlign w:val="center"/>
          </w:tcPr>
          <w:p w14:paraId="5891A86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(0.027)</w:t>
            </w:r>
          </w:p>
        </w:tc>
        <w:tc>
          <w:tcPr>
            <w:tcW w:w="1219" w:type="dxa"/>
            <w:tcBorders>
              <w:top w:val="nil"/>
              <w:left w:val="nil"/>
              <w:bottom w:val="nil"/>
              <w:right w:val="nil"/>
            </w:tcBorders>
            <w:vAlign w:val="center"/>
          </w:tcPr>
          <w:p w14:paraId="66F6196F"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5" w:type="dxa"/>
            <w:tcBorders>
              <w:top w:val="nil"/>
              <w:left w:val="nil"/>
              <w:bottom w:val="nil"/>
              <w:right w:val="nil"/>
            </w:tcBorders>
            <w:vAlign w:val="center"/>
          </w:tcPr>
          <w:p w14:paraId="0A3AA300" w14:textId="77777777" w:rsidR="00D45CD8" w:rsidRPr="007F7EE4" w:rsidRDefault="00D45CD8">
            <w:pPr>
              <w:autoSpaceDE w:val="0"/>
              <w:autoSpaceDN w:val="0"/>
              <w:adjustRightInd w:val="0"/>
              <w:ind w:firstLineChars="0" w:firstLine="0"/>
              <w:jc w:val="center"/>
              <w:rPr>
                <w:rFonts w:cs="Times New Roman"/>
                <w:kern w:val="0"/>
                <w:sz w:val="15"/>
                <w:szCs w:val="15"/>
              </w:rPr>
            </w:pPr>
          </w:p>
        </w:tc>
      </w:tr>
      <w:tr w:rsidR="007F7EE4" w:rsidRPr="007F7EE4" w14:paraId="462F16B3" w14:textId="77777777">
        <w:tc>
          <w:tcPr>
            <w:tcW w:w="1216" w:type="dxa"/>
            <w:tcBorders>
              <w:top w:val="nil"/>
              <w:left w:val="nil"/>
              <w:bottom w:val="nil"/>
              <w:right w:val="nil"/>
            </w:tcBorders>
            <w:vAlign w:val="center"/>
          </w:tcPr>
          <w:p w14:paraId="40C8FAD4"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lnMediaM</w:t>
            </w:r>
            <w:proofErr w:type="spellEnd"/>
          </w:p>
        </w:tc>
        <w:tc>
          <w:tcPr>
            <w:tcW w:w="1219" w:type="dxa"/>
            <w:tcBorders>
              <w:top w:val="nil"/>
              <w:left w:val="nil"/>
              <w:bottom w:val="nil"/>
              <w:right w:val="nil"/>
            </w:tcBorders>
            <w:vAlign w:val="center"/>
          </w:tcPr>
          <w:p w14:paraId="794B71AD"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5E54F1CE"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7BCD64B1"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119CD9FB"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4963397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0.034</w:t>
            </w:r>
          </w:p>
        </w:tc>
        <w:tc>
          <w:tcPr>
            <w:tcW w:w="1215" w:type="dxa"/>
            <w:tcBorders>
              <w:top w:val="nil"/>
              <w:left w:val="nil"/>
              <w:bottom w:val="nil"/>
              <w:right w:val="nil"/>
            </w:tcBorders>
            <w:vAlign w:val="center"/>
          </w:tcPr>
          <w:p w14:paraId="7E9F73E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0.032</w:t>
            </w:r>
          </w:p>
        </w:tc>
      </w:tr>
      <w:tr w:rsidR="007F7EE4" w:rsidRPr="007F7EE4" w14:paraId="76689EB2" w14:textId="77777777">
        <w:tc>
          <w:tcPr>
            <w:tcW w:w="1216" w:type="dxa"/>
            <w:tcBorders>
              <w:top w:val="nil"/>
              <w:left w:val="nil"/>
              <w:bottom w:val="nil"/>
              <w:right w:val="nil"/>
            </w:tcBorders>
            <w:vAlign w:val="center"/>
          </w:tcPr>
          <w:p w14:paraId="1786B582"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25EE05F5"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376757A7"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129A7EBB"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7" w:type="dxa"/>
            <w:tcBorders>
              <w:top w:val="nil"/>
              <w:left w:val="nil"/>
              <w:bottom w:val="nil"/>
              <w:right w:val="nil"/>
            </w:tcBorders>
            <w:vAlign w:val="center"/>
          </w:tcPr>
          <w:p w14:paraId="4BFC9656"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3420493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(0.023)</w:t>
            </w:r>
          </w:p>
        </w:tc>
        <w:tc>
          <w:tcPr>
            <w:tcW w:w="1215" w:type="dxa"/>
            <w:tcBorders>
              <w:top w:val="nil"/>
              <w:left w:val="nil"/>
              <w:bottom w:val="nil"/>
              <w:right w:val="nil"/>
            </w:tcBorders>
            <w:vAlign w:val="center"/>
          </w:tcPr>
          <w:p w14:paraId="55A6ADD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(0.021)</w:t>
            </w:r>
          </w:p>
        </w:tc>
      </w:tr>
      <w:tr w:rsidR="007F7EE4" w:rsidRPr="007F7EE4" w14:paraId="5965EBC4" w14:textId="77777777">
        <w:tc>
          <w:tcPr>
            <w:tcW w:w="1216" w:type="dxa"/>
            <w:tcBorders>
              <w:top w:val="nil"/>
              <w:left w:val="nil"/>
              <w:bottom w:val="nil"/>
              <w:right w:val="nil"/>
            </w:tcBorders>
            <w:vAlign w:val="center"/>
          </w:tcPr>
          <w:p w14:paraId="269D015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lnCSR</w:t>
            </w:r>
            <w:proofErr w:type="spellEnd"/>
            <w:r w:rsidRPr="007F7EE4">
              <w:rPr>
                <w:rFonts w:cs="Times New Roman" w:hint="eastAsia"/>
                <w:kern w:val="0"/>
                <w:sz w:val="15"/>
                <w:szCs w:val="15"/>
              </w:rPr>
              <w:t>*</w:t>
            </w:r>
            <w:proofErr w:type="spellStart"/>
            <w:r w:rsidRPr="007F7EE4">
              <w:rPr>
                <w:rFonts w:cs="Times New Roman"/>
                <w:kern w:val="0"/>
                <w:sz w:val="15"/>
                <w:szCs w:val="15"/>
              </w:rPr>
              <w:t>lnMedia</w:t>
            </w:r>
            <w:proofErr w:type="spellEnd"/>
          </w:p>
        </w:tc>
        <w:tc>
          <w:tcPr>
            <w:tcW w:w="1219" w:type="dxa"/>
            <w:tcBorders>
              <w:top w:val="nil"/>
              <w:left w:val="nil"/>
              <w:bottom w:val="nil"/>
              <w:right w:val="nil"/>
            </w:tcBorders>
            <w:vAlign w:val="center"/>
          </w:tcPr>
          <w:p w14:paraId="7048FEA8"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0.019**</w:t>
            </w:r>
          </w:p>
        </w:tc>
        <w:tc>
          <w:tcPr>
            <w:tcW w:w="1217" w:type="dxa"/>
            <w:tcBorders>
              <w:top w:val="nil"/>
              <w:left w:val="nil"/>
              <w:bottom w:val="nil"/>
              <w:right w:val="nil"/>
            </w:tcBorders>
            <w:vAlign w:val="center"/>
          </w:tcPr>
          <w:p w14:paraId="3B5E58A2"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0.015**</w:t>
            </w:r>
          </w:p>
        </w:tc>
        <w:tc>
          <w:tcPr>
            <w:tcW w:w="1219" w:type="dxa"/>
            <w:tcBorders>
              <w:top w:val="nil"/>
              <w:left w:val="nil"/>
              <w:bottom w:val="nil"/>
              <w:right w:val="nil"/>
            </w:tcBorders>
            <w:vAlign w:val="center"/>
          </w:tcPr>
          <w:p w14:paraId="2D7B2461"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682F7BCC"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00AD23CB"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5" w:type="dxa"/>
            <w:tcBorders>
              <w:top w:val="nil"/>
              <w:left w:val="nil"/>
              <w:bottom w:val="nil"/>
              <w:right w:val="nil"/>
            </w:tcBorders>
            <w:vAlign w:val="center"/>
          </w:tcPr>
          <w:p w14:paraId="0D42DEB1" w14:textId="77777777" w:rsidR="00D45CD8" w:rsidRPr="007F7EE4" w:rsidRDefault="00D45CD8">
            <w:pPr>
              <w:autoSpaceDE w:val="0"/>
              <w:autoSpaceDN w:val="0"/>
              <w:adjustRightInd w:val="0"/>
              <w:ind w:firstLineChars="0" w:firstLine="0"/>
              <w:jc w:val="center"/>
              <w:rPr>
                <w:rFonts w:cs="Times New Roman"/>
                <w:b/>
                <w:kern w:val="0"/>
                <w:sz w:val="15"/>
                <w:szCs w:val="15"/>
              </w:rPr>
            </w:pPr>
          </w:p>
        </w:tc>
      </w:tr>
      <w:tr w:rsidR="007F7EE4" w:rsidRPr="007F7EE4" w14:paraId="340B0619" w14:textId="77777777">
        <w:tc>
          <w:tcPr>
            <w:tcW w:w="1216" w:type="dxa"/>
            <w:tcBorders>
              <w:top w:val="nil"/>
              <w:left w:val="nil"/>
              <w:bottom w:val="nil"/>
              <w:right w:val="nil"/>
            </w:tcBorders>
            <w:vAlign w:val="center"/>
          </w:tcPr>
          <w:p w14:paraId="36129DC6"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033B95BE"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(0.008)</w:t>
            </w:r>
          </w:p>
        </w:tc>
        <w:tc>
          <w:tcPr>
            <w:tcW w:w="1217" w:type="dxa"/>
            <w:tcBorders>
              <w:top w:val="nil"/>
              <w:left w:val="nil"/>
              <w:bottom w:val="nil"/>
              <w:right w:val="nil"/>
            </w:tcBorders>
            <w:vAlign w:val="center"/>
          </w:tcPr>
          <w:p w14:paraId="1FEC4137"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(0.007)</w:t>
            </w:r>
          </w:p>
        </w:tc>
        <w:tc>
          <w:tcPr>
            <w:tcW w:w="1219" w:type="dxa"/>
            <w:tcBorders>
              <w:top w:val="nil"/>
              <w:left w:val="nil"/>
              <w:bottom w:val="nil"/>
              <w:right w:val="nil"/>
            </w:tcBorders>
            <w:vAlign w:val="center"/>
          </w:tcPr>
          <w:p w14:paraId="458E8E62"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08F92750"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5965D624"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5" w:type="dxa"/>
            <w:tcBorders>
              <w:top w:val="nil"/>
              <w:left w:val="nil"/>
              <w:bottom w:val="nil"/>
              <w:right w:val="nil"/>
            </w:tcBorders>
            <w:vAlign w:val="center"/>
          </w:tcPr>
          <w:p w14:paraId="32D5181E" w14:textId="77777777" w:rsidR="00D45CD8" w:rsidRPr="007F7EE4" w:rsidRDefault="00D45CD8">
            <w:pPr>
              <w:autoSpaceDE w:val="0"/>
              <w:autoSpaceDN w:val="0"/>
              <w:adjustRightInd w:val="0"/>
              <w:ind w:firstLineChars="0" w:firstLine="0"/>
              <w:jc w:val="center"/>
              <w:rPr>
                <w:rFonts w:cs="Times New Roman"/>
                <w:b/>
                <w:kern w:val="0"/>
                <w:sz w:val="15"/>
                <w:szCs w:val="15"/>
              </w:rPr>
            </w:pPr>
          </w:p>
        </w:tc>
      </w:tr>
      <w:tr w:rsidR="007F7EE4" w:rsidRPr="007F7EE4" w14:paraId="304D4BFF" w14:textId="77777777">
        <w:tc>
          <w:tcPr>
            <w:tcW w:w="1216" w:type="dxa"/>
            <w:tcBorders>
              <w:top w:val="nil"/>
              <w:left w:val="nil"/>
              <w:bottom w:val="nil"/>
              <w:right w:val="nil"/>
            </w:tcBorders>
            <w:vAlign w:val="center"/>
          </w:tcPr>
          <w:p w14:paraId="25F5C6B3"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lnCSR</w:t>
            </w:r>
            <w:proofErr w:type="spellEnd"/>
            <w:r w:rsidRPr="007F7EE4">
              <w:rPr>
                <w:rFonts w:cs="Times New Roman" w:hint="eastAsia"/>
                <w:kern w:val="0"/>
                <w:sz w:val="15"/>
                <w:szCs w:val="15"/>
              </w:rPr>
              <w:t>*</w:t>
            </w:r>
            <w:proofErr w:type="spellStart"/>
            <w:r w:rsidRPr="007F7EE4">
              <w:rPr>
                <w:rFonts w:cs="Times New Roman"/>
                <w:kern w:val="0"/>
                <w:sz w:val="15"/>
                <w:szCs w:val="15"/>
              </w:rPr>
              <w:t>lnMediaA</w:t>
            </w:r>
            <w:proofErr w:type="spellEnd"/>
          </w:p>
        </w:tc>
        <w:tc>
          <w:tcPr>
            <w:tcW w:w="1219" w:type="dxa"/>
            <w:tcBorders>
              <w:top w:val="nil"/>
              <w:left w:val="nil"/>
              <w:bottom w:val="nil"/>
              <w:right w:val="nil"/>
            </w:tcBorders>
            <w:vAlign w:val="center"/>
          </w:tcPr>
          <w:p w14:paraId="60D47DCB"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52EABA7F"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12018D9B"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0.034***</w:t>
            </w:r>
          </w:p>
        </w:tc>
        <w:tc>
          <w:tcPr>
            <w:tcW w:w="1217" w:type="dxa"/>
            <w:tcBorders>
              <w:top w:val="nil"/>
              <w:left w:val="nil"/>
              <w:bottom w:val="nil"/>
              <w:right w:val="nil"/>
            </w:tcBorders>
            <w:vAlign w:val="center"/>
          </w:tcPr>
          <w:p w14:paraId="60A22343"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0.031***</w:t>
            </w:r>
          </w:p>
        </w:tc>
        <w:tc>
          <w:tcPr>
            <w:tcW w:w="1219" w:type="dxa"/>
            <w:tcBorders>
              <w:top w:val="nil"/>
              <w:left w:val="nil"/>
              <w:bottom w:val="nil"/>
              <w:right w:val="nil"/>
            </w:tcBorders>
            <w:vAlign w:val="center"/>
          </w:tcPr>
          <w:p w14:paraId="472FA4C5"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5" w:type="dxa"/>
            <w:tcBorders>
              <w:top w:val="nil"/>
              <w:left w:val="nil"/>
              <w:bottom w:val="nil"/>
              <w:right w:val="nil"/>
            </w:tcBorders>
            <w:vAlign w:val="center"/>
          </w:tcPr>
          <w:p w14:paraId="09D0F4D5" w14:textId="77777777" w:rsidR="00D45CD8" w:rsidRPr="007F7EE4" w:rsidRDefault="00D45CD8">
            <w:pPr>
              <w:autoSpaceDE w:val="0"/>
              <w:autoSpaceDN w:val="0"/>
              <w:adjustRightInd w:val="0"/>
              <w:ind w:firstLineChars="0" w:firstLine="0"/>
              <w:jc w:val="center"/>
              <w:rPr>
                <w:rFonts w:cs="Times New Roman"/>
                <w:b/>
                <w:kern w:val="0"/>
                <w:sz w:val="15"/>
                <w:szCs w:val="15"/>
              </w:rPr>
            </w:pPr>
          </w:p>
        </w:tc>
      </w:tr>
      <w:tr w:rsidR="007F7EE4" w:rsidRPr="007F7EE4" w14:paraId="52F749BD" w14:textId="77777777">
        <w:tc>
          <w:tcPr>
            <w:tcW w:w="1216" w:type="dxa"/>
            <w:tcBorders>
              <w:top w:val="nil"/>
              <w:left w:val="nil"/>
              <w:bottom w:val="nil"/>
              <w:right w:val="nil"/>
            </w:tcBorders>
            <w:vAlign w:val="center"/>
          </w:tcPr>
          <w:p w14:paraId="20694D74"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02CD307D"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14C9DA9E"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1ED4A383"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(0.009)</w:t>
            </w:r>
          </w:p>
        </w:tc>
        <w:tc>
          <w:tcPr>
            <w:tcW w:w="1217" w:type="dxa"/>
            <w:tcBorders>
              <w:top w:val="nil"/>
              <w:left w:val="nil"/>
              <w:bottom w:val="nil"/>
              <w:right w:val="nil"/>
            </w:tcBorders>
            <w:vAlign w:val="center"/>
          </w:tcPr>
          <w:p w14:paraId="5E91A757"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(0.008)</w:t>
            </w:r>
          </w:p>
        </w:tc>
        <w:tc>
          <w:tcPr>
            <w:tcW w:w="1219" w:type="dxa"/>
            <w:tcBorders>
              <w:top w:val="nil"/>
              <w:left w:val="nil"/>
              <w:bottom w:val="nil"/>
              <w:right w:val="nil"/>
            </w:tcBorders>
            <w:vAlign w:val="center"/>
          </w:tcPr>
          <w:p w14:paraId="14CD8AC7"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5" w:type="dxa"/>
            <w:tcBorders>
              <w:top w:val="nil"/>
              <w:left w:val="nil"/>
              <w:bottom w:val="nil"/>
              <w:right w:val="nil"/>
            </w:tcBorders>
            <w:vAlign w:val="center"/>
          </w:tcPr>
          <w:p w14:paraId="2C51A36D" w14:textId="77777777" w:rsidR="00D45CD8" w:rsidRPr="007F7EE4" w:rsidRDefault="00D45CD8">
            <w:pPr>
              <w:autoSpaceDE w:val="0"/>
              <w:autoSpaceDN w:val="0"/>
              <w:adjustRightInd w:val="0"/>
              <w:ind w:firstLineChars="0" w:firstLine="0"/>
              <w:jc w:val="center"/>
              <w:rPr>
                <w:rFonts w:cs="Times New Roman"/>
                <w:b/>
                <w:kern w:val="0"/>
                <w:sz w:val="15"/>
                <w:szCs w:val="15"/>
              </w:rPr>
            </w:pPr>
          </w:p>
        </w:tc>
      </w:tr>
      <w:tr w:rsidR="007F7EE4" w:rsidRPr="007F7EE4" w14:paraId="2EDF62AE" w14:textId="77777777">
        <w:tc>
          <w:tcPr>
            <w:tcW w:w="1216" w:type="dxa"/>
            <w:tcBorders>
              <w:top w:val="nil"/>
              <w:left w:val="nil"/>
              <w:bottom w:val="nil"/>
              <w:right w:val="nil"/>
            </w:tcBorders>
            <w:vAlign w:val="center"/>
          </w:tcPr>
          <w:p w14:paraId="73D4B9E3"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lnCSR</w:t>
            </w:r>
            <w:proofErr w:type="spellEnd"/>
            <w:r w:rsidRPr="007F7EE4">
              <w:rPr>
                <w:rFonts w:cs="Times New Roman" w:hint="eastAsia"/>
                <w:kern w:val="0"/>
                <w:sz w:val="15"/>
                <w:szCs w:val="15"/>
              </w:rPr>
              <w:t>*</w:t>
            </w:r>
            <w:proofErr w:type="spellStart"/>
            <w:r w:rsidRPr="007F7EE4">
              <w:rPr>
                <w:rFonts w:cs="Times New Roman"/>
                <w:kern w:val="0"/>
                <w:sz w:val="15"/>
                <w:szCs w:val="15"/>
              </w:rPr>
              <w:t>lnMediaM</w:t>
            </w:r>
            <w:proofErr w:type="spellEnd"/>
          </w:p>
        </w:tc>
        <w:tc>
          <w:tcPr>
            <w:tcW w:w="1219" w:type="dxa"/>
            <w:tcBorders>
              <w:top w:val="nil"/>
              <w:left w:val="nil"/>
              <w:bottom w:val="nil"/>
              <w:right w:val="nil"/>
            </w:tcBorders>
            <w:vAlign w:val="center"/>
          </w:tcPr>
          <w:p w14:paraId="42EC3EB0"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7C2DBE46"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01E9898E"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774EC574"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23F9EE2D"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0.017**</w:t>
            </w:r>
          </w:p>
        </w:tc>
        <w:tc>
          <w:tcPr>
            <w:tcW w:w="1215" w:type="dxa"/>
            <w:tcBorders>
              <w:top w:val="nil"/>
              <w:left w:val="nil"/>
              <w:bottom w:val="nil"/>
              <w:right w:val="nil"/>
            </w:tcBorders>
            <w:vAlign w:val="center"/>
          </w:tcPr>
          <w:p w14:paraId="463308A4"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0.012*</w:t>
            </w:r>
          </w:p>
        </w:tc>
      </w:tr>
      <w:tr w:rsidR="007F7EE4" w:rsidRPr="007F7EE4" w14:paraId="57FFA702" w14:textId="77777777">
        <w:tc>
          <w:tcPr>
            <w:tcW w:w="1216" w:type="dxa"/>
            <w:tcBorders>
              <w:top w:val="nil"/>
              <w:left w:val="nil"/>
              <w:bottom w:val="nil"/>
              <w:right w:val="nil"/>
            </w:tcBorders>
            <w:vAlign w:val="center"/>
          </w:tcPr>
          <w:p w14:paraId="4AD984A7"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15C2D389"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6E39F294"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401C005E"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7" w:type="dxa"/>
            <w:tcBorders>
              <w:top w:val="nil"/>
              <w:left w:val="nil"/>
              <w:bottom w:val="nil"/>
              <w:right w:val="nil"/>
            </w:tcBorders>
            <w:vAlign w:val="center"/>
          </w:tcPr>
          <w:p w14:paraId="0D46DF82" w14:textId="77777777" w:rsidR="00D45CD8" w:rsidRPr="007F7EE4" w:rsidRDefault="00D45CD8">
            <w:pPr>
              <w:autoSpaceDE w:val="0"/>
              <w:autoSpaceDN w:val="0"/>
              <w:adjustRightInd w:val="0"/>
              <w:ind w:firstLineChars="0" w:firstLine="0"/>
              <w:jc w:val="center"/>
              <w:rPr>
                <w:rFonts w:cs="Times New Roman"/>
                <w:b/>
                <w:kern w:val="0"/>
                <w:sz w:val="15"/>
                <w:szCs w:val="15"/>
              </w:rPr>
            </w:pPr>
          </w:p>
        </w:tc>
        <w:tc>
          <w:tcPr>
            <w:tcW w:w="1219" w:type="dxa"/>
            <w:tcBorders>
              <w:top w:val="nil"/>
              <w:left w:val="nil"/>
              <w:bottom w:val="nil"/>
              <w:right w:val="nil"/>
            </w:tcBorders>
            <w:vAlign w:val="center"/>
          </w:tcPr>
          <w:p w14:paraId="72F92B08"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(0.007)</w:t>
            </w:r>
          </w:p>
        </w:tc>
        <w:tc>
          <w:tcPr>
            <w:tcW w:w="1215" w:type="dxa"/>
            <w:tcBorders>
              <w:top w:val="nil"/>
              <w:left w:val="nil"/>
              <w:bottom w:val="nil"/>
              <w:right w:val="nil"/>
            </w:tcBorders>
            <w:vAlign w:val="center"/>
          </w:tcPr>
          <w:p w14:paraId="5BF4C392" w14:textId="77777777" w:rsidR="00D45CD8" w:rsidRPr="007F7EE4" w:rsidRDefault="00AC3F08">
            <w:pPr>
              <w:autoSpaceDE w:val="0"/>
              <w:autoSpaceDN w:val="0"/>
              <w:adjustRightInd w:val="0"/>
              <w:ind w:firstLineChars="0" w:firstLine="0"/>
              <w:jc w:val="center"/>
              <w:rPr>
                <w:rFonts w:cs="Times New Roman"/>
                <w:b/>
                <w:kern w:val="0"/>
                <w:sz w:val="15"/>
                <w:szCs w:val="15"/>
              </w:rPr>
            </w:pPr>
            <w:r w:rsidRPr="007F7EE4">
              <w:rPr>
                <w:rFonts w:cs="Times New Roman"/>
                <w:b/>
                <w:kern w:val="0"/>
                <w:sz w:val="15"/>
                <w:szCs w:val="15"/>
              </w:rPr>
              <w:t>(0.007)</w:t>
            </w:r>
          </w:p>
        </w:tc>
      </w:tr>
      <w:tr w:rsidR="007F7EE4" w:rsidRPr="007F7EE4" w14:paraId="35697DEB" w14:textId="77777777">
        <w:tc>
          <w:tcPr>
            <w:tcW w:w="1216" w:type="dxa"/>
            <w:tcBorders>
              <w:top w:val="nil"/>
              <w:left w:val="nil"/>
              <w:bottom w:val="nil"/>
              <w:right w:val="nil"/>
            </w:tcBorders>
            <w:vAlign w:val="center"/>
          </w:tcPr>
          <w:p w14:paraId="05B6D1F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_cons</w:t>
            </w:r>
          </w:p>
        </w:tc>
        <w:tc>
          <w:tcPr>
            <w:tcW w:w="1219" w:type="dxa"/>
            <w:tcBorders>
              <w:top w:val="nil"/>
              <w:left w:val="nil"/>
              <w:bottom w:val="nil"/>
              <w:right w:val="nil"/>
            </w:tcBorders>
            <w:vAlign w:val="center"/>
          </w:tcPr>
          <w:p w14:paraId="51A0D8B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-2.222***</w:t>
            </w:r>
          </w:p>
        </w:tc>
        <w:tc>
          <w:tcPr>
            <w:tcW w:w="1217" w:type="dxa"/>
            <w:tcBorders>
              <w:top w:val="nil"/>
              <w:left w:val="nil"/>
              <w:bottom w:val="nil"/>
              <w:right w:val="nil"/>
            </w:tcBorders>
            <w:vAlign w:val="center"/>
          </w:tcPr>
          <w:p w14:paraId="22A6362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-1.966***</w:t>
            </w:r>
          </w:p>
        </w:tc>
        <w:tc>
          <w:tcPr>
            <w:tcW w:w="1219" w:type="dxa"/>
            <w:tcBorders>
              <w:top w:val="nil"/>
              <w:left w:val="nil"/>
              <w:bottom w:val="nil"/>
              <w:right w:val="nil"/>
            </w:tcBorders>
            <w:vAlign w:val="center"/>
          </w:tcPr>
          <w:p w14:paraId="5D792C7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-2.288***</w:t>
            </w:r>
          </w:p>
        </w:tc>
        <w:tc>
          <w:tcPr>
            <w:tcW w:w="1217" w:type="dxa"/>
            <w:tcBorders>
              <w:top w:val="nil"/>
              <w:left w:val="nil"/>
              <w:bottom w:val="nil"/>
              <w:right w:val="nil"/>
            </w:tcBorders>
            <w:vAlign w:val="center"/>
          </w:tcPr>
          <w:p w14:paraId="0CAAF1E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-1.998***</w:t>
            </w:r>
          </w:p>
        </w:tc>
        <w:tc>
          <w:tcPr>
            <w:tcW w:w="1219" w:type="dxa"/>
            <w:tcBorders>
              <w:top w:val="nil"/>
              <w:left w:val="nil"/>
              <w:bottom w:val="nil"/>
              <w:right w:val="nil"/>
            </w:tcBorders>
            <w:vAlign w:val="center"/>
          </w:tcPr>
          <w:p w14:paraId="150FC2C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-2.206***</w:t>
            </w:r>
          </w:p>
        </w:tc>
        <w:tc>
          <w:tcPr>
            <w:tcW w:w="1215" w:type="dxa"/>
            <w:tcBorders>
              <w:top w:val="nil"/>
              <w:left w:val="nil"/>
              <w:bottom w:val="nil"/>
              <w:right w:val="nil"/>
            </w:tcBorders>
            <w:vAlign w:val="center"/>
          </w:tcPr>
          <w:p w14:paraId="18B0102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-1.957***</w:t>
            </w:r>
          </w:p>
        </w:tc>
      </w:tr>
      <w:tr w:rsidR="007F7EE4" w:rsidRPr="007F7EE4" w14:paraId="172A1BFC" w14:textId="77777777">
        <w:tc>
          <w:tcPr>
            <w:tcW w:w="1216" w:type="dxa"/>
            <w:tcBorders>
              <w:top w:val="nil"/>
              <w:left w:val="nil"/>
              <w:bottom w:val="nil"/>
              <w:right w:val="nil"/>
            </w:tcBorders>
            <w:vAlign w:val="center"/>
          </w:tcPr>
          <w:p w14:paraId="2B10659B"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219" w:type="dxa"/>
            <w:tcBorders>
              <w:top w:val="nil"/>
              <w:left w:val="nil"/>
              <w:bottom w:val="nil"/>
              <w:right w:val="nil"/>
            </w:tcBorders>
            <w:vAlign w:val="center"/>
          </w:tcPr>
          <w:p w14:paraId="2F16BED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(0.107)</w:t>
            </w:r>
          </w:p>
        </w:tc>
        <w:tc>
          <w:tcPr>
            <w:tcW w:w="1217" w:type="dxa"/>
            <w:tcBorders>
              <w:top w:val="nil"/>
              <w:left w:val="nil"/>
              <w:bottom w:val="nil"/>
              <w:right w:val="nil"/>
            </w:tcBorders>
            <w:vAlign w:val="center"/>
          </w:tcPr>
          <w:p w14:paraId="16A49F5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(0.094)</w:t>
            </w:r>
          </w:p>
        </w:tc>
        <w:tc>
          <w:tcPr>
            <w:tcW w:w="1219" w:type="dxa"/>
            <w:tcBorders>
              <w:top w:val="nil"/>
              <w:left w:val="nil"/>
              <w:bottom w:val="nil"/>
              <w:right w:val="nil"/>
            </w:tcBorders>
            <w:vAlign w:val="center"/>
          </w:tcPr>
          <w:p w14:paraId="4481A6E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(0.086)</w:t>
            </w:r>
          </w:p>
        </w:tc>
        <w:tc>
          <w:tcPr>
            <w:tcW w:w="1217" w:type="dxa"/>
            <w:tcBorders>
              <w:top w:val="nil"/>
              <w:left w:val="nil"/>
              <w:bottom w:val="nil"/>
              <w:right w:val="nil"/>
            </w:tcBorders>
            <w:vAlign w:val="center"/>
          </w:tcPr>
          <w:p w14:paraId="3CEC744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(0.074)</w:t>
            </w:r>
          </w:p>
        </w:tc>
        <w:tc>
          <w:tcPr>
            <w:tcW w:w="1219" w:type="dxa"/>
            <w:tcBorders>
              <w:top w:val="nil"/>
              <w:left w:val="nil"/>
              <w:bottom w:val="nil"/>
              <w:right w:val="nil"/>
            </w:tcBorders>
            <w:vAlign w:val="center"/>
          </w:tcPr>
          <w:p w14:paraId="5636E1B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(0.100)</w:t>
            </w:r>
          </w:p>
        </w:tc>
        <w:tc>
          <w:tcPr>
            <w:tcW w:w="1215" w:type="dxa"/>
            <w:tcBorders>
              <w:top w:val="nil"/>
              <w:left w:val="nil"/>
              <w:bottom w:val="nil"/>
              <w:right w:val="nil"/>
            </w:tcBorders>
            <w:vAlign w:val="center"/>
          </w:tcPr>
          <w:p w14:paraId="127E6D0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(0.087)</w:t>
            </w:r>
          </w:p>
        </w:tc>
      </w:tr>
      <w:tr w:rsidR="007F7EE4" w:rsidRPr="007F7EE4" w14:paraId="101CA686" w14:textId="77777777" w:rsidTr="00364D74">
        <w:tc>
          <w:tcPr>
            <w:tcW w:w="1216" w:type="dxa"/>
            <w:tcBorders>
              <w:top w:val="nil"/>
              <w:left w:val="nil"/>
              <w:bottom w:val="nil"/>
              <w:right w:val="nil"/>
            </w:tcBorders>
            <w:vAlign w:val="center"/>
          </w:tcPr>
          <w:p w14:paraId="458055FB"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Controls</w:t>
            </w:r>
          </w:p>
        </w:tc>
        <w:tc>
          <w:tcPr>
            <w:tcW w:w="1219" w:type="dxa"/>
            <w:tcBorders>
              <w:top w:val="nil"/>
              <w:left w:val="nil"/>
              <w:bottom w:val="nil"/>
              <w:right w:val="nil"/>
            </w:tcBorders>
            <w:vAlign w:val="center"/>
          </w:tcPr>
          <w:p w14:paraId="676F6A4E"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217" w:type="dxa"/>
            <w:tcBorders>
              <w:top w:val="nil"/>
              <w:left w:val="nil"/>
              <w:bottom w:val="nil"/>
              <w:right w:val="nil"/>
            </w:tcBorders>
          </w:tcPr>
          <w:p w14:paraId="384E104C"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219" w:type="dxa"/>
            <w:tcBorders>
              <w:top w:val="nil"/>
              <w:left w:val="nil"/>
              <w:bottom w:val="nil"/>
              <w:right w:val="nil"/>
            </w:tcBorders>
          </w:tcPr>
          <w:p w14:paraId="25D404E9"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217" w:type="dxa"/>
            <w:tcBorders>
              <w:top w:val="nil"/>
              <w:left w:val="nil"/>
              <w:bottom w:val="nil"/>
              <w:right w:val="nil"/>
            </w:tcBorders>
          </w:tcPr>
          <w:p w14:paraId="51CD1531"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219" w:type="dxa"/>
            <w:tcBorders>
              <w:top w:val="nil"/>
              <w:left w:val="nil"/>
              <w:bottom w:val="nil"/>
              <w:right w:val="nil"/>
            </w:tcBorders>
            <w:vAlign w:val="center"/>
          </w:tcPr>
          <w:p w14:paraId="43B2DBA2"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215" w:type="dxa"/>
            <w:tcBorders>
              <w:top w:val="nil"/>
              <w:left w:val="nil"/>
              <w:bottom w:val="nil"/>
              <w:right w:val="nil"/>
            </w:tcBorders>
            <w:vAlign w:val="center"/>
          </w:tcPr>
          <w:p w14:paraId="3FA09FBB"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19A0C394" w14:textId="77777777">
        <w:tc>
          <w:tcPr>
            <w:tcW w:w="1216" w:type="dxa"/>
            <w:tcBorders>
              <w:top w:val="nil"/>
              <w:left w:val="nil"/>
              <w:bottom w:val="nil"/>
              <w:right w:val="nil"/>
            </w:tcBorders>
            <w:vAlign w:val="center"/>
          </w:tcPr>
          <w:p w14:paraId="362D112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Industry FE</w:t>
            </w:r>
          </w:p>
        </w:tc>
        <w:tc>
          <w:tcPr>
            <w:tcW w:w="1219" w:type="dxa"/>
            <w:tcBorders>
              <w:top w:val="nil"/>
              <w:left w:val="nil"/>
              <w:bottom w:val="nil"/>
              <w:right w:val="nil"/>
            </w:tcBorders>
            <w:vAlign w:val="center"/>
          </w:tcPr>
          <w:p w14:paraId="79F736D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7" w:type="dxa"/>
            <w:tcBorders>
              <w:top w:val="nil"/>
              <w:left w:val="nil"/>
              <w:bottom w:val="nil"/>
              <w:right w:val="nil"/>
            </w:tcBorders>
            <w:vAlign w:val="center"/>
          </w:tcPr>
          <w:p w14:paraId="1C00C39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9" w:type="dxa"/>
            <w:tcBorders>
              <w:top w:val="nil"/>
              <w:left w:val="nil"/>
              <w:bottom w:val="nil"/>
              <w:right w:val="nil"/>
            </w:tcBorders>
            <w:vAlign w:val="center"/>
          </w:tcPr>
          <w:p w14:paraId="645CECF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7" w:type="dxa"/>
            <w:tcBorders>
              <w:top w:val="nil"/>
              <w:left w:val="nil"/>
              <w:bottom w:val="nil"/>
              <w:right w:val="nil"/>
            </w:tcBorders>
            <w:vAlign w:val="center"/>
          </w:tcPr>
          <w:p w14:paraId="5BFADF5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9" w:type="dxa"/>
            <w:tcBorders>
              <w:top w:val="nil"/>
              <w:left w:val="nil"/>
              <w:bottom w:val="nil"/>
              <w:right w:val="nil"/>
            </w:tcBorders>
            <w:vAlign w:val="center"/>
          </w:tcPr>
          <w:p w14:paraId="4258291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5" w:type="dxa"/>
            <w:tcBorders>
              <w:top w:val="nil"/>
              <w:left w:val="nil"/>
              <w:bottom w:val="nil"/>
              <w:right w:val="nil"/>
            </w:tcBorders>
            <w:vAlign w:val="center"/>
          </w:tcPr>
          <w:p w14:paraId="4B2D083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41B1723E" w14:textId="77777777">
        <w:tc>
          <w:tcPr>
            <w:tcW w:w="1216" w:type="dxa"/>
            <w:tcBorders>
              <w:top w:val="nil"/>
              <w:left w:val="nil"/>
              <w:bottom w:val="single" w:sz="4" w:space="0" w:color="auto"/>
              <w:right w:val="nil"/>
            </w:tcBorders>
            <w:vAlign w:val="center"/>
          </w:tcPr>
          <w:p w14:paraId="477BD4F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Year FE</w:t>
            </w:r>
          </w:p>
        </w:tc>
        <w:tc>
          <w:tcPr>
            <w:tcW w:w="1219" w:type="dxa"/>
            <w:tcBorders>
              <w:top w:val="nil"/>
              <w:left w:val="nil"/>
              <w:bottom w:val="single" w:sz="4" w:space="0" w:color="auto"/>
              <w:right w:val="nil"/>
            </w:tcBorders>
            <w:vAlign w:val="center"/>
          </w:tcPr>
          <w:p w14:paraId="74A4E2A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7" w:type="dxa"/>
            <w:tcBorders>
              <w:top w:val="nil"/>
              <w:left w:val="nil"/>
              <w:bottom w:val="single" w:sz="4" w:space="0" w:color="auto"/>
              <w:right w:val="nil"/>
            </w:tcBorders>
            <w:vAlign w:val="center"/>
          </w:tcPr>
          <w:p w14:paraId="749867A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9" w:type="dxa"/>
            <w:tcBorders>
              <w:top w:val="nil"/>
              <w:left w:val="nil"/>
              <w:bottom w:val="single" w:sz="4" w:space="0" w:color="auto"/>
              <w:right w:val="nil"/>
            </w:tcBorders>
            <w:vAlign w:val="center"/>
          </w:tcPr>
          <w:p w14:paraId="15CE427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7" w:type="dxa"/>
            <w:tcBorders>
              <w:top w:val="nil"/>
              <w:left w:val="nil"/>
              <w:bottom w:val="single" w:sz="4" w:space="0" w:color="auto"/>
              <w:right w:val="nil"/>
            </w:tcBorders>
            <w:vAlign w:val="center"/>
          </w:tcPr>
          <w:p w14:paraId="24D8E1B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9" w:type="dxa"/>
            <w:tcBorders>
              <w:top w:val="nil"/>
              <w:left w:val="nil"/>
              <w:bottom w:val="single" w:sz="4" w:space="0" w:color="auto"/>
              <w:right w:val="nil"/>
            </w:tcBorders>
            <w:vAlign w:val="center"/>
          </w:tcPr>
          <w:p w14:paraId="2F58077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215" w:type="dxa"/>
            <w:tcBorders>
              <w:top w:val="nil"/>
              <w:left w:val="nil"/>
              <w:bottom w:val="single" w:sz="4" w:space="0" w:color="auto"/>
              <w:right w:val="nil"/>
            </w:tcBorders>
            <w:vAlign w:val="center"/>
          </w:tcPr>
          <w:p w14:paraId="5F224B5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559B9CCE" w14:textId="77777777">
        <w:tc>
          <w:tcPr>
            <w:tcW w:w="1216" w:type="dxa"/>
            <w:tcBorders>
              <w:top w:val="single" w:sz="4" w:space="0" w:color="auto"/>
              <w:left w:val="nil"/>
              <w:bottom w:val="nil"/>
              <w:right w:val="nil"/>
            </w:tcBorders>
            <w:vAlign w:val="center"/>
          </w:tcPr>
          <w:p w14:paraId="4F78975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N</w:t>
            </w:r>
          </w:p>
        </w:tc>
        <w:tc>
          <w:tcPr>
            <w:tcW w:w="1219" w:type="dxa"/>
            <w:tcBorders>
              <w:top w:val="single" w:sz="4" w:space="0" w:color="auto"/>
              <w:left w:val="nil"/>
              <w:bottom w:val="nil"/>
              <w:right w:val="nil"/>
            </w:tcBorders>
            <w:vAlign w:val="center"/>
          </w:tcPr>
          <w:p w14:paraId="605347F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217" w:type="dxa"/>
            <w:tcBorders>
              <w:top w:val="single" w:sz="4" w:space="0" w:color="auto"/>
              <w:left w:val="nil"/>
              <w:bottom w:val="nil"/>
              <w:right w:val="nil"/>
            </w:tcBorders>
            <w:vAlign w:val="center"/>
          </w:tcPr>
          <w:p w14:paraId="75FB9FC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219" w:type="dxa"/>
            <w:tcBorders>
              <w:top w:val="single" w:sz="4" w:space="0" w:color="auto"/>
              <w:left w:val="nil"/>
              <w:bottom w:val="nil"/>
              <w:right w:val="nil"/>
            </w:tcBorders>
            <w:vAlign w:val="center"/>
          </w:tcPr>
          <w:p w14:paraId="512D43B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217" w:type="dxa"/>
            <w:tcBorders>
              <w:top w:val="single" w:sz="4" w:space="0" w:color="auto"/>
              <w:left w:val="nil"/>
              <w:bottom w:val="nil"/>
              <w:right w:val="nil"/>
            </w:tcBorders>
            <w:vAlign w:val="center"/>
          </w:tcPr>
          <w:p w14:paraId="508CE7E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219" w:type="dxa"/>
            <w:tcBorders>
              <w:top w:val="single" w:sz="4" w:space="0" w:color="auto"/>
              <w:left w:val="nil"/>
              <w:bottom w:val="nil"/>
              <w:right w:val="nil"/>
            </w:tcBorders>
            <w:vAlign w:val="center"/>
          </w:tcPr>
          <w:p w14:paraId="48A969E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215" w:type="dxa"/>
            <w:tcBorders>
              <w:top w:val="single" w:sz="4" w:space="0" w:color="auto"/>
              <w:left w:val="nil"/>
              <w:bottom w:val="nil"/>
              <w:right w:val="nil"/>
            </w:tcBorders>
            <w:vAlign w:val="center"/>
          </w:tcPr>
          <w:p w14:paraId="264F91D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r>
      <w:tr w:rsidR="00D45CD8" w:rsidRPr="007F7EE4" w14:paraId="56B9D15C" w14:textId="77777777">
        <w:tc>
          <w:tcPr>
            <w:tcW w:w="1216" w:type="dxa"/>
            <w:tcBorders>
              <w:top w:val="nil"/>
              <w:left w:val="nil"/>
              <w:bottom w:val="single" w:sz="4" w:space="0" w:color="auto"/>
              <w:right w:val="nil"/>
            </w:tcBorders>
            <w:vAlign w:val="center"/>
          </w:tcPr>
          <w:p w14:paraId="4DDB7CA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r2_a</w:t>
            </w:r>
          </w:p>
        </w:tc>
        <w:tc>
          <w:tcPr>
            <w:tcW w:w="1219" w:type="dxa"/>
            <w:tcBorders>
              <w:top w:val="nil"/>
              <w:left w:val="nil"/>
              <w:bottom w:val="single" w:sz="4" w:space="0" w:color="auto"/>
              <w:right w:val="nil"/>
            </w:tcBorders>
            <w:vAlign w:val="center"/>
          </w:tcPr>
          <w:p w14:paraId="7849E92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0.297</w:t>
            </w:r>
          </w:p>
        </w:tc>
        <w:tc>
          <w:tcPr>
            <w:tcW w:w="1217" w:type="dxa"/>
            <w:tcBorders>
              <w:top w:val="nil"/>
              <w:left w:val="nil"/>
              <w:bottom w:val="single" w:sz="4" w:space="0" w:color="auto"/>
              <w:right w:val="nil"/>
            </w:tcBorders>
            <w:vAlign w:val="center"/>
          </w:tcPr>
          <w:p w14:paraId="4681AEB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0.281</w:t>
            </w:r>
          </w:p>
        </w:tc>
        <w:tc>
          <w:tcPr>
            <w:tcW w:w="1219" w:type="dxa"/>
            <w:tcBorders>
              <w:top w:val="nil"/>
              <w:left w:val="nil"/>
              <w:bottom w:val="single" w:sz="4" w:space="0" w:color="auto"/>
              <w:right w:val="nil"/>
            </w:tcBorders>
            <w:vAlign w:val="center"/>
          </w:tcPr>
          <w:p w14:paraId="78189BF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0.298</w:t>
            </w:r>
          </w:p>
        </w:tc>
        <w:tc>
          <w:tcPr>
            <w:tcW w:w="1217" w:type="dxa"/>
            <w:tcBorders>
              <w:top w:val="nil"/>
              <w:left w:val="nil"/>
              <w:bottom w:val="single" w:sz="4" w:space="0" w:color="auto"/>
              <w:right w:val="nil"/>
            </w:tcBorders>
            <w:vAlign w:val="center"/>
          </w:tcPr>
          <w:p w14:paraId="632330E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0.283</w:t>
            </w:r>
          </w:p>
        </w:tc>
        <w:tc>
          <w:tcPr>
            <w:tcW w:w="1219" w:type="dxa"/>
            <w:tcBorders>
              <w:top w:val="nil"/>
              <w:left w:val="nil"/>
              <w:bottom w:val="single" w:sz="4" w:space="0" w:color="auto"/>
              <w:right w:val="nil"/>
            </w:tcBorders>
            <w:vAlign w:val="center"/>
          </w:tcPr>
          <w:p w14:paraId="5817411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0.296</w:t>
            </w:r>
          </w:p>
        </w:tc>
        <w:tc>
          <w:tcPr>
            <w:tcW w:w="1215" w:type="dxa"/>
            <w:tcBorders>
              <w:top w:val="nil"/>
              <w:left w:val="nil"/>
              <w:bottom w:val="single" w:sz="4" w:space="0" w:color="auto"/>
              <w:right w:val="nil"/>
            </w:tcBorders>
            <w:vAlign w:val="center"/>
          </w:tcPr>
          <w:p w14:paraId="0F29EEC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0.281</w:t>
            </w:r>
          </w:p>
        </w:tc>
      </w:tr>
    </w:tbl>
    <w:p w14:paraId="31A18F70" w14:textId="77777777" w:rsidR="00D45CD8" w:rsidRPr="007F7EE4" w:rsidRDefault="00D45CD8">
      <w:pPr>
        <w:pStyle w:val="af6"/>
        <w:jc w:val="left"/>
      </w:pPr>
    </w:p>
    <w:p w14:paraId="1E088D70" w14:textId="77777777" w:rsidR="00D45CD8" w:rsidRPr="007F7EE4" w:rsidRDefault="00AC3F08">
      <w:pPr>
        <w:pStyle w:val="2"/>
      </w:pPr>
      <w:r w:rsidRPr="007F7EE4">
        <w:rPr>
          <w:rFonts w:hint="eastAsia"/>
        </w:rPr>
        <w:t>（五）稳健性与内生性检验</w:t>
      </w:r>
    </w:p>
    <w:p w14:paraId="4926BBAF" w14:textId="77777777" w:rsidR="00D45CD8" w:rsidRPr="007F7EE4" w:rsidRDefault="00AC3F08">
      <w:pPr>
        <w:pStyle w:val="3"/>
        <w:rPr>
          <w:b/>
        </w:rPr>
      </w:pPr>
      <w:r w:rsidRPr="007F7EE4">
        <w:rPr>
          <w:b/>
        </w:rPr>
        <w:t>1</w:t>
      </w:r>
      <w:r w:rsidRPr="007F7EE4">
        <w:rPr>
          <w:rFonts w:hint="eastAsia"/>
          <w:b/>
        </w:rPr>
        <w:t>.稳健性检验</w:t>
      </w:r>
    </w:p>
    <w:p w14:paraId="6DFAF2AD" w14:textId="77777777" w:rsidR="00D45CD8" w:rsidRPr="007F7EE4" w:rsidRDefault="00AC3F08">
      <w:pPr>
        <w:ind w:firstLine="420"/>
      </w:pPr>
      <w:r w:rsidRPr="007F7EE4">
        <w:rPr>
          <w:rFonts w:hint="eastAsia"/>
        </w:rPr>
        <w:t>更进一步地，考虑到本文对绿色专利申请的测度可能有偏，本文主要采取两种方式予以稳健性检验。第一种方式是替换计量模型的重新估计，考虑到本文对企业绿色技术创新的测度中存在部分企业缺乏绿色技术创新专利数据，即企业未开展相应的绿色技术创新实现专利申请或者专利授权，因此本文主要采取</w:t>
      </w:r>
      <w:r w:rsidRPr="007F7EE4">
        <w:rPr>
          <w:rFonts w:hint="eastAsia"/>
        </w:rPr>
        <w:t>Tobit</w:t>
      </w:r>
      <w:r w:rsidRPr="007F7EE4">
        <w:rPr>
          <w:rFonts w:hint="eastAsia"/>
        </w:rPr>
        <w:t>模型重新估计企业社会责任对企业绿色技术创新的影响，基于表</w:t>
      </w:r>
      <w:r w:rsidRPr="007F7EE4">
        <w:rPr>
          <w:rFonts w:hint="eastAsia"/>
        </w:rPr>
        <w:t>6</w:t>
      </w:r>
      <w:r w:rsidRPr="007F7EE4">
        <w:rPr>
          <w:rFonts w:hint="eastAsia"/>
        </w:rPr>
        <w:t>列（</w:t>
      </w:r>
      <w:r w:rsidRPr="007F7EE4">
        <w:rPr>
          <w:rFonts w:hint="eastAsia"/>
        </w:rPr>
        <w:t>1</w:t>
      </w:r>
      <w:r w:rsidRPr="007F7EE4">
        <w:rPr>
          <w:rFonts w:hint="eastAsia"/>
        </w:rPr>
        <w:t>）和（</w:t>
      </w:r>
      <w:r w:rsidRPr="007F7EE4">
        <w:rPr>
          <w:rFonts w:hint="eastAsia"/>
        </w:rPr>
        <w:t>2</w:t>
      </w:r>
      <w:r w:rsidRPr="007F7EE4">
        <w:rPr>
          <w:rFonts w:hint="eastAsia"/>
        </w:rPr>
        <w:t>）的研究结果表明，企业社会责任对企业绿色技术创新的影响系数分别为</w:t>
      </w:r>
      <w:r w:rsidRPr="007F7EE4">
        <w:rPr>
          <w:rFonts w:hint="eastAsia"/>
        </w:rPr>
        <w:t>0.182</w:t>
      </w:r>
      <w:r w:rsidRPr="007F7EE4">
        <w:rPr>
          <w:rFonts w:hint="eastAsia"/>
        </w:rPr>
        <w:t>和</w:t>
      </w:r>
      <w:r w:rsidRPr="007F7EE4">
        <w:rPr>
          <w:rFonts w:hint="eastAsia"/>
        </w:rPr>
        <w:t>0.158</w:t>
      </w:r>
      <w:r w:rsidRPr="007F7EE4">
        <w:rPr>
          <w:rFonts w:hint="eastAsia"/>
        </w:rPr>
        <w:t>，通过了</w:t>
      </w:r>
      <w:r w:rsidRPr="007F7EE4">
        <w:rPr>
          <w:rFonts w:hint="eastAsia"/>
        </w:rPr>
        <w:t>1%</w:t>
      </w:r>
      <w:r w:rsidRPr="007F7EE4">
        <w:rPr>
          <w:rFonts w:hint="eastAsia"/>
        </w:rPr>
        <w:t>水平下的显著性检验，说明本文主要研究假设</w:t>
      </w:r>
      <w:r w:rsidRPr="007F7EE4">
        <w:rPr>
          <w:rFonts w:hint="eastAsia"/>
        </w:rPr>
        <w:t>H1a</w:t>
      </w:r>
      <w:r w:rsidRPr="007F7EE4">
        <w:rPr>
          <w:rFonts w:hint="eastAsia"/>
        </w:rPr>
        <w:t>的研究结论基本稳健。第二种方式是企业社会责任测度的多类数据源替代，本文主要采取润灵环球企业社会责任评级数据库中的企业社会责任评价指数替代本文的企业社会责任，进一步基于研究模型（</w:t>
      </w:r>
      <w:r w:rsidRPr="007F7EE4">
        <w:rPr>
          <w:rFonts w:hint="eastAsia"/>
        </w:rPr>
        <w:t>1</w:t>
      </w:r>
      <w:r w:rsidRPr="007F7EE4">
        <w:rPr>
          <w:rFonts w:hint="eastAsia"/>
        </w:rPr>
        <w:t>）考察企业社会责任对企业绿色技术创新中专利申请与专利授权的影响，基于表</w:t>
      </w:r>
      <w:r w:rsidRPr="007F7EE4">
        <w:rPr>
          <w:rFonts w:hint="eastAsia"/>
        </w:rPr>
        <w:t>6</w:t>
      </w:r>
      <w:r w:rsidRPr="007F7EE4">
        <w:rPr>
          <w:rFonts w:hint="eastAsia"/>
        </w:rPr>
        <w:t>的列（</w:t>
      </w:r>
      <w:r w:rsidRPr="007F7EE4">
        <w:rPr>
          <w:rFonts w:hint="eastAsia"/>
        </w:rPr>
        <w:t>3</w:t>
      </w:r>
      <w:r w:rsidRPr="007F7EE4">
        <w:rPr>
          <w:rFonts w:hint="eastAsia"/>
        </w:rPr>
        <w:t>）</w:t>
      </w:r>
      <w:r w:rsidRPr="007F7EE4">
        <w:rPr>
          <w:rFonts w:hint="eastAsia"/>
        </w:rPr>
        <w:t>-</w:t>
      </w:r>
      <w:r w:rsidRPr="007F7EE4">
        <w:rPr>
          <w:rFonts w:hint="eastAsia"/>
        </w:rPr>
        <w:t>（</w:t>
      </w:r>
      <w:r w:rsidRPr="007F7EE4">
        <w:rPr>
          <w:rFonts w:hint="eastAsia"/>
        </w:rPr>
        <w:t>4</w:t>
      </w:r>
      <w:r w:rsidRPr="007F7EE4">
        <w:rPr>
          <w:rFonts w:hint="eastAsia"/>
        </w:rPr>
        <w:t>）研究结果表现不管是对绿色专利申请还是绿色专利授权，都能产生显著的促进效应，意味着企业社会责任能够强化企业绿色技术创新导向促进企业绿色技术创新绩效。</w:t>
      </w:r>
    </w:p>
    <w:p w14:paraId="4F3CC956"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rPr>
          <w:rFonts w:hint="eastAsia"/>
        </w:rPr>
        <w:t>6</w:t>
      </w:r>
      <w:r w:rsidRPr="007F7EE4">
        <w:t xml:space="preserve"> </w:t>
      </w:r>
      <w:r w:rsidRPr="007F7EE4">
        <w:rPr>
          <w:rFonts w:hint="eastAsia"/>
        </w:rPr>
        <w:t>变更计量方法和变更解释变量</w:t>
      </w:r>
    </w:p>
    <w:p w14:paraId="6A04D70F"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1891"/>
        <w:gridCol w:w="1519"/>
        <w:gridCol w:w="1704"/>
        <w:gridCol w:w="1704"/>
        <w:gridCol w:w="1704"/>
      </w:tblGrid>
      <w:tr w:rsidR="007F7EE4" w:rsidRPr="007F7EE4" w14:paraId="1396378C" w14:textId="77777777">
        <w:tc>
          <w:tcPr>
            <w:tcW w:w="1891" w:type="dxa"/>
            <w:tcBorders>
              <w:top w:val="single" w:sz="4" w:space="0" w:color="auto"/>
              <w:left w:val="nil"/>
              <w:right w:val="nil"/>
            </w:tcBorders>
            <w:vAlign w:val="center"/>
          </w:tcPr>
          <w:p w14:paraId="56BB4D17"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519" w:type="dxa"/>
            <w:tcBorders>
              <w:top w:val="single" w:sz="4" w:space="0" w:color="auto"/>
              <w:left w:val="nil"/>
              <w:right w:val="nil"/>
            </w:tcBorders>
            <w:vAlign w:val="center"/>
          </w:tcPr>
          <w:p w14:paraId="6A8941B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704" w:type="dxa"/>
            <w:tcBorders>
              <w:top w:val="single" w:sz="4" w:space="0" w:color="auto"/>
              <w:left w:val="nil"/>
              <w:right w:val="nil"/>
            </w:tcBorders>
            <w:vAlign w:val="center"/>
          </w:tcPr>
          <w:p w14:paraId="2EAC26C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704" w:type="dxa"/>
            <w:tcBorders>
              <w:top w:val="single" w:sz="4" w:space="0" w:color="auto"/>
              <w:left w:val="nil"/>
              <w:right w:val="nil"/>
            </w:tcBorders>
            <w:vAlign w:val="center"/>
          </w:tcPr>
          <w:p w14:paraId="1D58C42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704" w:type="dxa"/>
            <w:tcBorders>
              <w:top w:val="single" w:sz="4" w:space="0" w:color="auto"/>
              <w:left w:val="nil"/>
              <w:right w:val="nil"/>
            </w:tcBorders>
            <w:vAlign w:val="center"/>
          </w:tcPr>
          <w:p w14:paraId="716A3C3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r>
      <w:tr w:rsidR="007F7EE4" w:rsidRPr="007F7EE4" w14:paraId="7A295D8B" w14:textId="77777777">
        <w:tc>
          <w:tcPr>
            <w:tcW w:w="1891" w:type="dxa"/>
            <w:tcBorders>
              <w:top w:val="nil"/>
              <w:left w:val="nil"/>
              <w:bottom w:val="single" w:sz="4" w:space="0" w:color="auto"/>
              <w:right w:val="nil"/>
            </w:tcBorders>
            <w:vAlign w:val="center"/>
          </w:tcPr>
          <w:p w14:paraId="04DDB6AD"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519" w:type="dxa"/>
            <w:tcBorders>
              <w:top w:val="nil"/>
              <w:left w:val="nil"/>
              <w:bottom w:val="single" w:sz="4" w:space="0" w:color="auto"/>
              <w:right w:val="nil"/>
            </w:tcBorders>
            <w:vAlign w:val="center"/>
          </w:tcPr>
          <w:p w14:paraId="48B5C2E5"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p w14:paraId="00029FF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Tobit</w:t>
            </w:r>
            <w:r w:rsidRPr="007F7EE4">
              <w:rPr>
                <w:rFonts w:cs="Times New Roman" w:hint="eastAsia"/>
                <w:kern w:val="0"/>
                <w:sz w:val="15"/>
                <w:szCs w:val="15"/>
              </w:rPr>
              <w:t>模型</w:t>
            </w:r>
          </w:p>
        </w:tc>
        <w:tc>
          <w:tcPr>
            <w:tcW w:w="1704" w:type="dxa"/>
            <w:tcBorders>
              <w:top w:val="nil"/>
              <w:left w:val="nil"/>
              <w:bottom w:val="single" w:sz="4" w:space="0" w:color="auto"/>
              <w:right w:val="nil"/>
            </w:tcBorders>
            <w:vAlign w:val="center"/>
          </w:tcPr>
          <w:p w14:paraId="7FBE7E5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p w14:paraId="4A02E79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Tobit</w:t>
            </w:r>
            <w:r w:rsidRPr="007F7EE4">
              <w:rPr>
                <w:rFonts w:cs="Times New Roman" w:hint="eastAsia"/>
                <w:kern w:val="0"/>
                <w:sz w:val="15"/>
                <w:szCs w:val="15"/>
              </w:rPr>
              <w:t>模型</w:t>
            </w:r>
          </w:p>
        </w:tc>
        <w:tc>
          <w:tcPr>
            <w:tcW w:w="1704" w:type="dxa"/>
            <w:tcBorders>
              <w:top w:val="nil"/>
              <w:left w:val="nil"/>
              <w:bottom w:val="single" w:sz="4" w:space="0" w:color="auto"/>
              <w:right w:val="nil"/>
            </w:tcBorders>
            <w:vAlign w:val="center"/>
          </w:tcPr>
          <w:p w14:paraId="6C7B74D4"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1704" w:type="dxa"/>
            <w:tcBorders>
              <w:top w:val="nil"/>
              <w:left w:val="nil"/>
              <w:bottom w:val="single" w:sz="4" w:space="0" w:color="auto"/>
              <w:right w:val="nil"/>
            </w:tcBorders>
            <w:vAlign w:val="center"/>
          </w:tcPr>
          <w:p w14:paraId="573DD53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74E4EB44" w14:textId="77777777">
        <w:tc>
          <w:tcPr>
            <w:tcW w:w="1891" w:type="dxa"/>
            <w:tcBorders>
              <w:top w:val="single" w:sz="4" w:space="0" w:color="auto"/>
              <w:left w:val="nil"/>
              <w:bottom w:val="nil"/>
              <w:right w:val="nil"/>
            </w:tcBorders>
            <w:vAlign w:val="center"/>
          </w:tcPr>
          <w:p w14:paraId="1FF6910A"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lastRenderedPageBreak/>
              <w:t>lnCSR</w:t>
            </w:r>
            <w:proofErr w:type="spellEnd"/>
            <w:r w:rsidRPr="007F7EE4">
              <w:rPr>
                <w:rFonts w:cs="Times New Roman" w:hint="eastAsia"/>
                <w:kern w:val="0"/>
                <w:sz w:val="15"/>
                <w:szCs w:val="15"/>
              </w:rPr>
              <w:t>（和讯）</w:t>
            </w:r>
          </w:p>
        </w:tc>
        <w:tc>
          <w:tcPr>
            <w:tcW w:w="1519" w:type="dxa"/>
            <w:tcBorders>
              <w:top w:val="single" w:sz="4" w:space="0" w:color="auto"/>
              <w:left w:val="nil"/>
              <w:bottom w:val="nil"/>
              <w:right w:val="nil"/>
            </w:tcBorders>
            <w:vAlign w:val="center"/>
          </w:tcPr>
          <w:p w14:paraId="5126E3B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0.182***</w:t>
            </w:r>
          </w:p>
        </w:tc>
        <w:tc>
          <w:tcPr>
            <w:tcW w:w="1704" w:type="dxa"/>
            <w:tcBorders>
              <w:top w:val="single" w:sz="4" w:space="0" w:color="auto"/>
              <w:left w:val="nil"/>
              <w:bottom w:val="nil"/>
              <w:right w:val="nil"/>
            </w:tcBorders>
            <w:vAlign w:val="center"/>
          </w:tcPr>
          <w:p w14:paraId="5BFA5DA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0.158***</w:t>
            </w:r>
          </w:p>
        </w:tc>
        <w:tc>
          <w:tcPr>
            <w:tcW w:w="1704" w:type="dxa"/>
            <w:tcBorders>
              <w:top w:val="single" w:sz="4" w:space="0" w:color="auto"/>
              <w:left w:val="nil"/>
              <w:bottom w:val="nil"/>
              <w:right w:val="nil"/>
            </w:tcBorders>
            <w:vAlign w:val="center"/>
          </w:tcPr>
          <w:p w14:paraId="2EE7099D"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4" w:type="dxa"/>
            <w:tcBorders>
              <w:top w:val="single" w:sz="4" w:space="0" w:color="auto"/>
              <w:left w:val="nil"/>
              <w:bottom w:val="nil"/>
              <w:right w:val="nil"/>
            </w:tcBorders>
            <w:vAlign w:val="center"/>
          </w:tcPr>
          <w:p w14:paraId="706885E1" w14:textId="77777777" w:rsidR="00D45CD8" w:rsidRPr="007F7EE4" w:rsidRDefault="00D45CD8">
            <w:pPr>
              <w:autoSpaceDE w:val="0"/>
              <w:autoSpaceDN w:val="0"/>
              <w:adjustRightInd w:val="0"/>
              <w:ind w:firstLineChars="0" w:firstLine="0"/>
              <w:jc w:val="center"/>
              <w:rPr>
                <w:rFonts w:cs="Times New Roman"/>
                <w:kern w:val="0"/>
                <w:sz w:val="15"/>
                <w:szCs w:val="15"/>
              </w:rPr>
            </w:pPr>
          </w:p>
        </w:tc>
      </w:tr>
      <w:tr w:rsidR="007F7EE4" w:rsidRPr="007F7EE4" w14:paraId="4B50D10A" w14:textId="77777777">
        <w:tc>
          <w:tcPr>
            <w:tcW w:w="1891" w:type="dxa"/>
            <w:tcBorders>
              <w:top w:val="nil"/>
              <w:left w:val="nil"/>
              <w:bottom w:val="nil"/>
              <w:right w:val="nil"/>
            </w:tcBorders>
            <w:vAlign w:val="center"/>
          </w:tcPr>
          <w:p w14:paraId="0D228A84"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519" w:type="dxa"/>
            <w:tcBorders>
              <w:top w:val="nil"/>
              <w:left w:val="nil"/>
              <w:bottom w:val="nil"/>
              <w:right w:val="nil"/>
            </w:tcBorders>
            <w:vAlign w:val="center"/>
          </w:tcPr>
          <w:p w14:paraId="0128925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(0.027)</w:t>
            </w:r>
          </w:p>
        </w:tc>
        <w:tc>
          <w:tcPr>
            <w:tcW w:w="1704" w:type="dxa"/>
            <w:tcBorders>
              <w:top w:val="nil"/>
              <w:left w:val="nil"/>
              <w:bottom w:val="nil"/>
              <w:right w:val="nil"/>
            </w:tcBorders>
            <w:vAlign w:val="center"/>
          </w:tcPr>
          <w:p w14:paraId="0C82E9C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(0.026)</w:t>
            </w:r>
          </w:p>
        </w:tc>
        <w:tc>
          <w:tcPr>
            <w:tcW w:w="1704" w:type="dxa"/>
            <w:tcBorders>
              <w:top w:val="nil"/>
              <w:left w:val="nil"/>
              <w:bottom w:val="nil"/>
              <w:right w:val="nil"/>
            </w:tcBorders>
            <w:vAlign w:val="center"/>
          </w:tcPr>
          <w:p w14:paraId="154F266D"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4" w:type="dxa"/>
            <w:tcBorders>
              <w:top w:val="nil"/>
              <w:left w:val="nil"/>
              <w:bottom w:val="nil"/>
              <w:right w:val="nil"/>
            </w:tcBorders>
            <w:vAlign w:val="center"/>
          </w:tcPr>
          <w:p w14:paraId="1881EC3E" w14:textId="77777777" w:rsidR="00D45CD8" w:rsidRPr="007F7EE4" w:rsidRDefault="00D45CD8">
            <w:pPr>
              <w:autoSpaceDE w:val="0"/>
              <w:autoSpaceDN w:val="0"/>
              <w:adjustRightInd w:val="0"/>
              <w:ind w:firstLineChars="0" w:firstLine="0"/>
              <w:jc w:val="center"/>
              <w:rPr>
                <w:rFonts w:cs="Times New Roman"/>
                <w:kern w:val="0"/>
                <w:sz w:val="15"/>
                <w:szCs w:val="15"/>
              </w:rPr>
            </w:pPr>
          </w:p>
        </w:tc>
      </w:tr>
      <w:tr w:rsidR="007F7EE4" w:rsidRPr="007F7EE4" w14:paraId="13F1960F" w14:textId="77777777">
        <w:tc>
          <w:tcPr>
            <w:tcW w:w="1891" w:type="dxa"/>
            <w:tcBorders>
              <w:top w:val="nil"/>
              <w:left w:val="nil"/>
              <w:bottom w:val="nil"/>
              <w:right w:val="nil"/>
            </w:tcBorders>
            <w:vAlign w:val="center"/>
          </w:tcPr>
          <w:p w14:paraId="76704BE7"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lnCSRR</w:t>
            </w:r>
            <w:proofErr w:type="spellEnd"/>
            <w:r w:rsidRPr="007F7EE4">
              <w:rPr>
                <w:rFonts w:cs="Times New Roman" w:hint="eastAsia"/>
                <w:kern w:val="0"/>
                <w:sz w:val="15"/>
                <w:szCs w:val="15"/>
              </w:rPr>
              <w:t>（润灵）</w:t>
            </w:r>
          </w:p>
        </w:tc>
        <w:tc>
          <w:tcPr>
            <w:tcW w:w="1519" w:type="dxa"/>
            <w:tcBorders>
              <w:top w:val="nil"/>
              <w:left w:val="nil"/>
              <w:bottom w:val="nil"/>
              <w:right w:val="nil"/>
            </w:tcBorders>
            <w:vAlign w:val="center"/>
          </w:tcPr>
          <w:p w14:paraId="4D1CC837"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4" w:type="dxa"/>
            <w:tcBorders>
              <w:top w:val="nil"/>
              <w:left w:val="nil"/>
              <w:bottom w:val="nil"/>
              <w:right w:val="nil"/>
            </w:tcBorders>
            <w:vAlign w:val="center"/>
          </w:tcPr>
          <w:p w14:paraId="6439C403"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4" w:type="dxa"/>
            <w:tcBorders>
              <w:top w:val="nil"/>
              <w:left w:val="nil"/>
              <w:bottom w:val="nil"/>
              <w:right w:val="nil"/>
            </w:tcBorders>
            <w:vAlign w:val="center"/>
          </w:tcPr>
          <w:p w14:paraId="1721A5B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0.460***</w:t>
            </w:r>
          </w:p>
        </w:tc>
        <w:tc>
          <w:tcPr>
            <w:tcW w:w="1704" w:type="dxa"/>
            <w:tcBorders>
              <w:top w:val="nil"/>
              <w:left w:val="nil"/>
              <w:bottom w:val="nil"/>
              <w:right w:val="nil"/>
            </w:tcBorders>
            <w:vAlign w:val="center"/>
          </w:tcPr>
          <w:p w14:paraId="00DF5CA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0.385***</w:t>
            </w:r>
          </w:p>
        </w:tc>
      </w:tr>
      <w:tr w:rsidR="007F7EE4" w:rsidRPr="007F7EE4" w14:paraId="559B6407" w14:textId="77777777">
        <w:tc>
          <w:tcPr>
            <w:tcW w:w="1891" w:type="dxa"/>
            <w:tcBorders>
              <w:top w:val="nil"/>
              <w:left w:val="nil"/>
              <w:bottom w:val="nil"/>
              <w:right w:val="nil"/>
            </w:tcBorders>
            <w:vAlign w:val="center"/>
          </w:tcPr>
          <w:p w14:paraId="361683CF"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519" w:type="dxa"/>
            <w:tcBorders>
              <w:top w:val="nil"/>
              <w:left w:val="nil"/>
              <w:bottom w:val="nil"/>
              <w:right w:val="nil"/>
            </w:tcBorders>
            <w:vAlign w:val="center"/>
          </w:tcPr>
          <w:p w14:paraId="18CB70AF"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4" w:type="dxa"/>
            <w:tcBorders>
              <w:top w:val="nil"/>
              <w:left w:val="nil"/>
              <w:bottom w:val="nil"/>
              <w:right w:val="nil"/>
            </w:tcBorders>
            <w:vAlign w:val="center"/>
          </w:tcPr>
          <w:p w14:paraId="4FAEA883"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4" w:type="dxa"/>
            <w:tcBorders>
              <w:top w:val="nil"/>
              <w:left w:val="nil"/>
              <w:bottom w:val="nil"/>
              <w:right w:val="nil"/>
            </w:tcBorders>
            <w:vAlign w:val="center"/>
          </w:tcPr>
          <w:p w14:paraId="7A83999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(0.068)</w:t>
            </w:r>
          </w:p>
        </w:tc>
        <w:tc>
          <w:tcPr>
            <w:tcW w:w="1704" w:type="dxa"/>
            <w:tcBorders>
              <w:top w:val="nil"/>
              <w:left w:val="nil"/>
              <w:bottom w:val="nil"/>
              <w:right w:val="nil"/>
            </w:tcBorders>
            <w:vAlign w:val="center"/>
          </w:tcPr>
          <w:p w14:paraId="25A8BE5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(0.061)</w:t>
            </w:r>
          </w:p>
        </w:tc>
      </w:tr>
      <w:tr w:rsidR="007F7EE4" w:rsidRPr="007F7EE4" w14:paraId="16767113" w14:textId="77777777">
        <w:tc>
          <w:tcPr>
            <w:tcW w:w="1891" w:type="dxa"/>
            <w:tcBorders>
              <w:top w:val="nil"/>
              <w:left w:val="nil"/>
              <w:bottom w:val="nil"/>
              <w:right w:val="nil"/>
            </w:tcBorders>
            <w:vAlign w:val="center"/>
          </w:tcPr>
          <w:p w14:paraId="4559388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_cons</w:t>
            </w:r>
          </w:p>
        </w:tc>
        <w:tc>
          <w:tcPr>
            <w:tcW w:w="1519" w:type="dxa"/>
            <w:tcBorders>
              <w:top w:val="nil"/>
              <w:left w:val="nil"/>
              <w:bottom w:val="nil"/>
              <w:right w:val="nil"/>
            </w:tcBorders>
            <w:vAlign w:val="center"/>
          </w:tcPr>
          <w:p w14:paraId="0AD9B68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-6.989***</w:t>
            </w:r>
          </w:p>
        </w:tc>
        <w:tc>
          <w:tcPr>
            <w:tcW w:w="1704" w:type="dxa"/>
            <w:tcBorders>
              <w:top w:val="nil"/>
              <w:left w:val="nil"/>
              <w:bottom w:val="nil"/>
              <w:right w:val="nil"/>
            </w:tcBorders>
            <w:vAlign w:val="center"/>
          </w:tcPr>
          <w:p w14:paraId="5D3B668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-6.813***</w:t>
            </w:r>
          </w:p>
        </w:tc>
        <w:tc>
          <w:tcPr>
            <w:tcW w:w="1704" w:type="dxa"/>
            <w:tcBorders>
              <w:top w:val="nil"/>
              <w:left w:val="nil"/>
              <w:bottom w:val="nil"/>
              <w:right w:val="nil"/>
            </w:tcBorders>
            <w:vAlign w:val="center"/>
          </w:tcPr>
          <w:p w14:paraId="4ADA1A7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-4.443***</w:t>
            </w:r>
          </w:p>
        </w:tc>
        <w:tc>
          <w:tcPr>
            <w:tcW w:w="1704" w:type="dxa"/>
            <w:tcBorders>
              <w:top w:val="nil"/>
              <w:left w:val="nil"/>
              <w:bottom w:val="nil"/>
              <w:right w:val="nil"/>
            </w:tcBorders>
            <w:vAlign w:val="center"/>
          </w:tcPr>
          <w:p w14:paraId="2C355E7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-3.689***</w:t>
            </w:r>
          </w:p>
        </w:tc>
      </w:tr>
      <w:tr w:rsidR="007F7EE4" w:rsidRPr="007F7EE4" w14:paraId="23903896" w14:textId="77777777">
        <w:tc>
          <w:tcPr>
            <w:tcW w:w="1891" w:type="dxa"/>
            <w:tcBorders>
              <w:top w:val="nil"/>
              <w:left w:val="nil"/>
              <w:bottom w:val="nil"/>
              <w:right w:val="nil"/>
            </w:tcBorders>
            <w:vAlign w:val="center"/>
          </w:tcPr>
          <w:p w14:paraId="58DC97F4"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519" w:type="dxa"/>
            <w:tcBorders>
              <w:top w:val="nil"/>
              <w:left w:val="nil"/>
              <w:bottom w:val="nil"/>
              <w:right w:val="nil"/>
            </w:tcBorders>
            <w:vAlign w:val="center"/>
          </w:tcPr>
          <w:p w14:paraId="21BE525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(0.195)</w:t>
            </w:r>
          </w:p>
        </w:tc>
        <w:tc>
          <w:tcPr>
            <w:tcW w:w="1704" w:type="dxa"/>
            <w:tcBorders>
              <w:top w:val="nil"/>
              <w:left w:val="nil"/>
              <w:bottom w:val="nil"/>
              <w:right w:val="nil"/>
            </w:tcBorders>
            <w:vAlign w:val="center"/>
          </w:tcPr>
          <w:p w14:paraId="1D6ABB1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(0.187)</w:t>
            </w:r>
          </w:p>
        </w:tc>
        <w:tc>
          <w:tcPr>
            <w:tcW w:w="1704" w:type="dxa"/>
            <w:tcBorders>
              <w:top w:val="nil"/>
              <w:left w:val="nil"/>
              <w:bottom w:val="nil"/>
              <w:right w:val="nil"/>
            </w:tcBorders>
            <w:vAlign w:val="center"/>
          </w:tcPr>
          <w:p w14:paraId="22990EA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(0.251)</w:t>
            </w:r>
          </w:p>
        </w:tc>
        <w:tc>
          <w:tcPr>
            <w:tcW w:w="1704" w:type="dxa"/>
            <w:tcBorders>
              <w:top w:val="nil"/>
              <w:left w:val="nil"/>
              <w:bottom w:val="nil"/>
              <w:right w:val="nil"/>
            </w:tcBorders>
            <w:vAlign w:val="center"/>
          </w:tcPr>
          <w:p w14:paraId="64D391E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(0.223)</w:t>
            </w:r>
          </w:p>
        </w:tc>
      </w:tr>
      <w:tr w:rsidR="007F7EE4" w:rsidRPr="007F7EE4" w14:paraId="5775A88B" w14:textId="77777777" w:rsidTr="00364D74">
        <w:tc>
          <w:tcPr>
            <w:tcW w:w="1891" w:type="dxa"/>
            <w:tcBorders>
              <w:top w:val="nil"/>
              <w:left w:val="nil"/>
              <w:bottom w:val="nil"/>
              <w:right w:val="nil"/>
            </w:tcBorders>
            <w:vAlign w:val="center"/>
          </w:tcPr>
          <w:p w14:paraId="6ED78FC8"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Controls</w:t>
            </w:r>
          </w:p>
        </w:tc>
        <w:tc>
          <w:tcPr>
            <w:tcW w:w="1519" w:type="dxa"/>
            <w:tcBorders>
              <w:top w:val="nil"/>
              <w:left w:val="nil"/>
              <w:bottom w:val="nil"/>
              <w:right w:val="nil"/>
            </w:tcBorders>
            <w:vAlign w:val="center"/>
          </w:tcPr>
          <w:p w14:paraId="5EB3DBD3"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35050458"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1C8483E1"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22C41566"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2AE0413C" w14:textId="77777777">
        <w:tc>
          <w:tcPr>
            <w:tcW w:w="1891" w:type="dxa"/>
            <w:tcBorders>
              <w:top w:val="nil"/>
              <w:left w:val="nil"/>
              <w:bottom w:val="nil"/>
              <w:right w:val="nil"/>
            </w:tcBorders>
            <w:vAlign w:val="center"/>
          </w:tcPr>
          <w:p w14:paraId="57CFC91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Industry FE</w:t>
            </w:r>
          </w:p>
        </w:tc>
        <w:tc>
          <w:tcPr>
            <w:tcW w:w="1519" w:type="dxa"/>
            <w:tcBorders>
              <w:top w:val="nil"/>
              <w:left w:val="nil"/>
              <w:bottom w:val="nil"/>
              <w:right w:val="nil"/>
            </w:tcBorders>
            <w:vAlign w:val="center"/>
          </w:tcPr>
          <w:p w14:paraId="5961729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vAlign w:val="center"/>
          </w:tcPr>
          <w:p w14:paraId="0A759D1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vAlign w:val="center"/>
          </w:tcPr>
          <w:p w14:paraId="5D174DF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vAlign w:val="center"/>
          </w:tcPr>
          <w:p w14:paraId="6217172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6267D081" w14:textId="77777777">
        <w:tc>
          <w:tcPr>
            <w:tcW w:w="1891" w:type="dxa"/>
            <w:tcBorders>
              <w:top w:val="nil"/>
              <w:left w:val="nil"/>
              <w:bottom w:val="single" w:sz="4" w:space="0" w:color="auto"/>
              <w:right w:val="nil"/>
            </w:tcBorders>
            <w:vAlign w:val="center"/>
          </w:tcPr>
          <w:p w14:paraId="78335D4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Year FE</w:t>
            </w:r>
          </w:p>
        </w:tc>
        <w:tc>
          <w:tcPr>
            <w:tcW w:w="1519" w:type="dxa"/>
            <w:tcBorders>
              <w:top w:val="nil"/>
              <w:left w:val="nil"/>
              <w:bottom w:val="single" w:sz="4" w:space="0" w:color="auto"/>
              <w:right w:val="nil"/>
            </w:tcBorders>
            <w:vAlign w:val="center"/>
          </w:tcPr>
          <w:p w14:paraId="658D8B3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vAlign w:val="center"/>
          </w:tcPr>
          <w:p w14:paraId="02236A1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vAlign w:val="center"/>
          </w:tcPr>
          <w:p w14:paraId="23AADB4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vAlign w:val="center"/>
          </w:tcPr>
          <w:p w14:paraId="6CAA756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0095C834" w14:textId="77777777">
        <w:tc>
          <w:tcPr>
            <w:tcW w:w="1891" w:type="dxa"/>
            <w:tcBorders>
              <w:top w:val="single" w:sz="4" w:space="0" w:color="auto"/>
              <w:left w:val="nil"/>
              <w:bottom w:val="nil"/>
              <w:right w:val="nil"/>
            </w:tcBorders>
            <w:vAlign w:val="center"/>
          </w:tcPr>
          <w:p w14:paraId="43B6D31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N</w:t>
            </w:r>
          </w:p>
        </w:tc>
        <w:tc>
          <w:tcPr>
            <w:tcW w:w="1519" w:type="dxa"/>
            <w:tcBorders>
              <w:top w:val="single" w:sz="4" w:space="0" w:color="auto"/>
              <w:left w:val="nil"/>
              <w:bottom w:val="nil"/>
              <w:right w:val="nil"/>
            </w:tcBorders>
            <w:vAlign w:val="center"/>
          </w:tcPr>
          <w:p w14:paraId="57CCADE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704" w:type="dxa"/>
            <w:tcBorders>
              <w:top w:val="single" w:sz="4" w:space="0" w:color="auto"/>
              <w:left w:val="nil"/>
              <w:bottom w:val="nil"/>
              <w:right w:val="nil"/>
            </w:tcBorders>
            <w:vAlign w:val="center"/>
          </w:tcPr>
          <w:p w14:paraId="6237AE7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sz w:val="15"/>
                <w:szCs w:val="15"/>
              </w:rPr>
              <w:t>22417</w:t>
            </w:r>
          </w:p>
        </w:tc>
        <w:tc>
          <w:tcPr>
            <w:tcW w:w="1704" w:type="dxa"/>
            <w:tcBorders>
              <w:top w:val="single" w:sz="4" w:space="0" w:color="auto"/>
              <w:left w:val="nil"/>
              <w:bottom w:val="nil"/>
              <w:right w:val="nil"/>
            </w:tcBorders>
            <w:vAlign w:val="center"/>
          </w:tcPr>
          <w:p w14:paraId="0D2CCC4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4433</w:t>
            </w:r>
          </w:p>
        </w:tc>
        <w:tc>
          <w:tcPr>
            <w:tcW w:w="1704" w:type="dxa"/>
            <w:tcBorders>
              <w:top w:val="single" w:sz="4" w:space="0" w:color="auto"/>
              <w:left w:val="nil"/>
              <w:bottom w:val="nil"/>
              <w:right w:val="nil"/>
            </w:tcBorders>
            <w:vAlign w:val="center"/>
          </w:tcPr>
          <w:p w14:paraId="0AA5400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4433</w:t>
            </w:r>
          </w:p>
        </w:tc>
      </w:tr>
      <w:tr w:rsidR="00D45CD8" w:rsidRPr="007F7EE4" w14:paraId="5B1831BB" w14:textId="77777777">
        <w:tc>
          <w:tcPr>
            <w:tcW w:w="1891" w:type="dxa"/>
            <w:tcBorders>
              <w:top w:val="nil"/>
              <w:left w:val="nil"/>
              <w:bottom w:val="single" w:sz="4" w:space="0" w:color="auto"/>
              <w:right w:val="nil"/>
            </w:tcBorders>
            <w:vAlign w:val="center"/>
          </w:tcPr>
          <w:p w14:paraId="0D2E11D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r2_a</w:t>
            </w:r>
            <w:r w:rsidRPr="007F7EE4">
              <w:rPr>
                <w:rFonts w:cs="Times New Roman" w:hint="eastAsia"/>
                <w:kern w:val="0"/>
                <w:sz w:val="15"/>
                <w:szCs w:val="15"/>
              </w:rPr>
              <w:t>/</w:t>
            </w:r>
            <w:r w:rsidRPr="007F7EE4">
              <w:rPr>
                <w:rFonts w:cs="Times New Roman"/>
                <w:kern w:val="0"/>
                <w:sz w:val="15"/>
                <w:szCs w:val="15"/>
              </w:rPr>
              <w:t>r</w:t>
            </w:r>
            <w:r w:rsidRPr="007F7EE4">
              <w:rPr>
                <w:rFonts w:cs="Times New Roman" w:hint="eastAsia"/>
                <w:kern w:val="0"/>
                <w:sz w:val="15"/>
                <w:szCs w:val="15"/>
              </w:rPr>
              <w:t>2</w:t>
            </w:r>
            <w:r w:rsidRPr="007F7EE4">
              <w:rPr>
                <w:rFonts w:cs="Times New Roman"/>
                <w:kern w:val="0"/>
                <w:sz w:val="15"/>
                <w:szCs w:val="15"/>
              </w:rPr>
              <w:t>_p</w:t>
            </w:r>
          </w:p>
        </w:tc>
        <w:tc>
          <w:tcPr>
            <w:tcW w:w="1519" w:type="dxa"/>
            <w:tcBorders>
              <w:top w:val="nil"/>
              <w:left w:val="nil"/>
              <w:bottom w:val="single" w:sz="4" w:space="0" w:color="auto"/>
              <w:right w:val="nil"/>
            </w:tcBorders>
            <w:vAlign w:val="center"/>
          </w:tcPr>
          <w:p w14:paraId="3B6F194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0.130</w:t>
            </w:r>
          </w:p>
        </w:tc>
        <w:tc>
          <w:tcPr>
            <w:tcW w:w="1704" w:type="dxa"/>
            <w:tcBorders>
              <w:top w:val="nil"/>
              <w:left w:val="nil"/>
              <w:bottom w:val="single" w:sz="4" w:space="0" w:color="auto"/>
              <w:right w:val="nil"/>
            </w:tcBorders>
            <w:vAlign w:val="center"/>
          </w:tcPr>
          <w:p w14:paraId="3028C82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0.136</w:t>
            </w:r>
          </w:p>
        </w:tc>
        <w:tc>
          <w:tcPr>
            <w:tcW w:w="1704" w:type="dxa"/>
            <w:tcBorders>
              <w:top w:val="nil"/>
              <w:left w:val="nil"/>
              <w:bottom w:val="single" w:sz="4" w:space="0" w:color="auto"/>
              <w:right w:val="nil"/>
            </w:tcBorders>
            <w:vAlign w:val="center"/>
          </w:tcPr>
          <w:p w14:paraId="2792D01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0.436</w:t>
            </w:r>
          </w:p>
        </w:tc>
        <w:tc>
          <w:tcPr>
            <w:tcW w:w="1704" w:type="dxa"/>
            <w:tcBorders>
              <w:top w:val="nil"/>
              <w:left w:val="nil"/>
              <w:bottom w:val="single" w:sz="4" w:space="0" w:color="auto"/>
              <w:right w:val="nil"/>
            </w:tcBorders>
            <w:vAlign w:val="center"/>
          </w:tcPr>
          <w:p w14:paraId="4644DE7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0.408</w:t>
            </w:r>
          </w:p>
        </w:tc>
      </w:tr>
    </w:tbl>
    <w:p w14:paraId="4A38C859" w14:textId="77777777" w:rsidR="00D45CD8" w:rsidRPr="007F7EE4" w:rsidRDefault="00D45CD8">
      <w:pPr>
        <w:ind w:firstLineChars="0" w:firstLine="0"/>
      </w:pPr>
    </w:p>
    <w:p w14:paraId="7F6ACA02" w14:textId="77777777" w:rsidR="00D45CD8" w:rsidRPr="007F7EE4" w:rsidRDefault="00AC3F08">
      <w:pPr>
        <w:ind w:firstLine="420"/>
      </w:pPr>
      <w:r w:rsidRPr="007F7EE4">
        <w:rPr>
          <w:rFonts w:hint="eastAsia"/>
        </w:rPr>
        <w:t>更进一步地，考虑到本文主回归模型对企业绿色专利测度主要是采取对数化的方式予以衡量，本文进一步考虑到绿色专利类型的差异性以及绿色专利在整个专利库中的比重反映企业绿色技术创新的质量以及绿色技术创新导向的强度，进一步替代本文的因变量进一步测量企业绿色技术创新。基于本文基础模型设定（</w:t>
      </w:r>
      <w:r w:rsidRPr="007F7EE4">
        <w:rPr>
          <w:rFonts w:hint="eastAsia"/>
        </w:rPr>
        <w:t>1</w:t>
      </w:r>
      <w:r w:rsidRPr="007F7EE4">
        <w:rPr>
          <w:rFonts w:hint="eastAsia"/>
        </w:rPr>
        <w:t>），研究发现企业社会责任对企业绿色发明专利的申请量与授权量都产生显著的促进效应，即企业社会责任有助于企业绿色发明专利申请与授权，促进企业提高绿色技术创新的质量。同时，从绿色专利占总专利比重来看，基于表</w:t>
      </w:r>
      <w:r w:rsidRPr="007F7EE4">
        <w:rPr>
          <w:rFonts w:hint="eastAsia"/>
        </w:rPr>
        <w:t>7</w:t>
      </w:r>
      <w:r w:rsidRPr="007F7EE4">
        <w:rPr>
          <w:rFonts w:hint="eastAsia"/>
        </w:rPr>
        <w:t>的列（</w:t>
      </w:r>
      <w:r w:rsidRPr="007F7EE4">
        <w:rPr>
          <w:rFonts w:hint="eastAsia"/>
        </w:rPr>
        <w:t>1</w:t>
      </w:r>
      <w:r w:rsidRPr="007F7EE4">
        <w:rPr>
          <w:rFonts w:hint="eastAsia"/>
        </w:rPr>
        <w:t>）</w:t>
      </w:r>
      <w:r w:rsidRPr="007F7EE4">
        <w:rPr>
          <w:rFonts w:hint="eastAsia"/>
        </w:rPr>
        <w:t>-</w:t>
      </w:r>
      <w:r w:rsidRPr="007F7EE4">
        <w:rPr>
          <w:rFonts w:hint="eastAsia"/>
        </w:rPr>
        <w:t>（</w:t>
      </w:r>
      <w:r w:rsidRPr="007F7EE4">
        <w:rPr>
          <w:rFonts w:hint="eastAsia"/>
        </w:rPr>
        <w:t>4</w:t>
      </w:r>
      <w:r w:rsidRPr="007F7EE4">
        <w:rPr>
          <w:rFonts w:hint="eastAsia"/>
        </w:rPr>
        <w:t>）的回归结果，企业社会责任有助于强化企业的绿色专利申请与授权导向，促进企业绿色技术创新绩效。</w:t>
      </w:r>
    </w:p>
    <w:p w14:paraId="3ED49A19"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rPr>
          <w:rFonts w:hint="eastAsia"/>
        </w:rPr>
        <w:t>7</w:t>
      </w:r>
      <w:r w:rsidRPr="007F7EE4">
        <w:t xml:space="preserve"> </w:t>
      </w:r>
      <w:r w:rsidRPr="007F7EE4">
        <w:rPr>
          <w:rFonts w:hint="eastAsia"/>
        </w:rPr>
        <w:t>变更被解释变量</w:t>
      </w:r>
    </w:p>
    <w:p w14:paraId="7D289628"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1705"/>
        <w:gridCol w:w="1705"/>
        <w:gridCol w:w="1704"/>
        <w:gridCol w:w="1704"/>
        <w:gridCol w:w="1704"/>
      </w:tblGrid>
      <w:tr w:rsidR="007F7EE4" w:rsidRPr="007F7EE4" w14:paraId="306FD068" w14:textId="77777777">
        <w:tc>
          <w:tcPr>
            <w:tcW w:w="1705" w:type="dxa"/>
            <w:tcBorders>
              <w:top w:val="single" w:sz="4" w:space="0" w:color="auto"/>
              <w:left w:val="nil"/>
              <w:bottom w:val="nil"/>
              <w:right w:val="nil"/>
            </w:tcBorders>
            <w:vAlign w:val="center"/>
          </w:tcPr>
          <w:p w14:paraId="19157E03"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5" w:type="dxa"/>
            <w:tcBorders>
              <w:top w:val="single" w:sz="4" w:space="0" w:color="auto"/>
              <w:left w:val="nil"/>
              <w:bottom w:val="nil"/>
              <w:right w:val="nil"/>
            </w:tcBorders>
            <w:vAlign w:val="center"/>
          </w:tcPr>
          <w:p w14:paraId="688FE7C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704" w:type="dxa"/>
            <w:tcBorders>
              <w:top w:val="single" w:sz="4" w:space="0" w:color="auto"/>
              <w:left w:val="nil"/>
              <w:bottom w:val="nil"/>
              <w:right w:val="nil"/>
            </w:tcBorders>
            <w:vAlign w:val="center"/>
          </w:tcPr>
          <w:p w14:paraId="73BB509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704" w:type="dxa"/>
            <w:tcBorders>
              <w:top w:val="single" w:sz="4" w:space="0" w:color="auto"/>
              <w:left w:val="nil"/>
              <w:bottom w:val="nil"/>
              <w:right w:val="nil"/>
            </w:tcBorders>
            <w:vAlign w:val="center"/>
          </w:tcPr>
          <w:p w14:paraId="7410DEB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704" w:type="dxa"/>
            <w:tcBorders>
              <w:top w:val="single" w:sz="4" w:space="0" w:color="auto"/>
              <w:left w:val="nil"/>
              <w:bottom w:val="nil"/>
              <w:right w:val="nil"/>
            </w:tcBorders>
            <w:vAlign w:val="center"/>
          </w:tcPr>
          <w:p w14:paraId="463D158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r>
      <w:tr w:rsidR="007F7EE4" w:rsidRPr="007F7EE4" w14:paraId="255F8AFB" w14:textId="77777777">
        <w:tc>
          <w:tcPr>
            <w:tcW w:w="1705" w:type="dxa"/>
            <w:tcBorders>
              <w:top w:val="single" w:sz="4" w:space="0" w:color="auto"/>
              <w:left w:val="nil"/>
              <w:bottom w:val="nil"/>
              <w:right w:val="nil"/>
            </w:tcBorders>
            <w:vAlign w:val="center"/>
          </w:tcPr>
          <w:p w14:paraId="4C9B02FE"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3409" w:type="dxa"/>
            <w:gridSpan w:val="2"/>
            <w:tcBorders>
              <w:top w:val="single" w:sz="4" w:space="0" w:color="auto"/>
              <w:left w:val="nil"/>
              <w:bottom w:val="nil"/>
              <w:right w:val="nil"/>
            </w:tcBorders>
            <w:vAlign w:val="center"/>
          </w:tcPr>
          <w:p w14:paraId="71CEA29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绿色总专利</w:t>
            </w:r>
            <w:r w:rsidRPr="007F7EE4">
              <w:rPr>
                <w:rFonts w:cs="Times New Roman" w:hint="eastAsia"/>
                <w:kern w:val="0"/>
                <w:sz w:val="15"/>
                <w:szCs w:val="15"/>
              </w:rPr>
              <w:t>/</w:t>
            </w:r>
            <w:r w:rsidRPr="007F7EE4">
              <w:rPr>
                <w:rFonts w:cs="Times New Roman" w:hint="eastAsia"/>
                <w:kern w:val="0"/>
                <w:sz w:val="15"/>
                <w:szCs w:val="15"/>
              </w:rPr>
              <w:t>总专利</w:t>
            </w:r>
          </w:p>
        </w:tc>
        <w:tc>
          <w:tcPr>
            <w:tcW w:w="3408" w:type="dxa"/>
            <w:gridSpan w:val="2"/>
            <w:tcBorders>
              <w:top w:val="single" w:sz="4" w:space="0" w:color="auto"/>
              <w:left w:val="nil"/>
              <w:bottom w:val="nil"/>
              <w:right w:val="nil"/>
            </w:tcBorders>
            <w:vAlign w:val="center"/>
          </w:tcPr>
          <w:p w14:paraId="1F4140C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绿色发明专利</w:t>
            </w:r>
            <w:r w:rsidRPr="007F7EE4">
              <w:rPr>
                <w:rFonts w:cs="Times New Roman" w:hint="eastAsia"/>
                <w:kern w:val="0"/>
                <w:sz w:val="15"/>
                <w:szCs w:val="15"/>
              </w:rPr>
              <w:t>/</w:t>
            </w:r>
            <w:r w:rsidRPr="007F7EE4">
              <w:rPr>
                <w:rFonts w:cs="Times New Roman" w:hint="eastAsia"/>
                <w:kern w:val="0"/>
                <w:sz w:val="15"/>
                <w:szCs w:val="15"/>
              </w:rPr>
              <w:t>绿色总专利</w:t>
            </w:r>
          </w:p>
        </w:tc>
      </w:tr>
      <w:tr w:rsidR="007F7EE4" w:rsidRPr="007F7EE4" w14:paraId="7B74FF29" w14:textId="77777777">
        <w:tc>
          <w:tcPr>
            <w:tcW w:w="1705" w:type="dxa"/>
            <w:tcBorders>
              <w:top w:val="nil"/>
              <w:left w:val="nil"/>
              <w:bottom w:val="nil"/>
              <w:right w:val="nil"/>
            </w:tcBorders>
            <w:vAlign w:val="center"/>
          </w:tcPr>
          <w:p w14:paraId="5D6393DA"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5" w:type="dxa"/>
            <w:tcBorders>
              <w:top w:val="nil"/>
              <w:left w:val="nil"/>
              <w:bottom w:val="nil"/>
              <w:right w:val="nil"/>
            </w:tcBorders>
            <w:vAlign w:val="center"/>
          </w:tcPr>
          <w:p w14:paraId="502BF5C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AGreenr</w:t>
            </w:r>
            <w:proofErr w:type="spellEnd"/>
            <w:r w:rsidRPr="007F7EE4">
              <w:rPr>
                <w:rFonts w:cs="Times New Roman" w:hint="eastAsia"/>
                <w:kern w:val="0"/>
                <w:sz w:val="15"/>
                <w:szCs w:val="15"/>
              </w:rPr>
              <w:t>申请</w:t>
            </w:r>
          </w:p>
        </w:tc>
        <w:tc>
          <w:tcPr>
            <w:tcW w:w="1704" w:type="dxa"/>
            <w:tcBorders>
              <w:top w:val="nil"/>
              <w:left w:val="nil"/>
              <w:bottom w:val="nil"/>
              <w:right w:val="nil"/>
            </w:tcBorders>
            <w:vAlign w:val="center"/>
          </w:tcPr>
          <w:p w14:paraId="41809621"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GGreenr</w:t>
            </w:r>
            <w:proofErr w:type="spellEnd"/>
            <w:r w:rsidRPr="007F7EE4">
              <w:rPr>
                <w:rFonts w:cs="Times New Roman" w:hint="eastAsia"/>
                <w:kern w:val="0"/>
                <w:sz w:val="15"/>
                <w:szCs w:val="15"/>
              </w:rPr>
              <w:t>授权</w:t>
            </w:r>
          </w:p>
        </w:tc>
        <w:tc>
          <w:tcPr>
            <w:tcW w:w="1704" w:type="dxa"/>
            <w:tcBorders>
              <w:top w:val="nil"/>
              <w:left w:val="nil"/>
              <w:bottom w:val="nil"/>
              <w:right w:val="nil"/>
            </w:tcBorders>
            <w:vAlign w:val="center"/>
          </w:tcPr>
          <w:p w14:paraId="7D0C4AB9"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AIGreenr</w:t>
            </w:r>
            <w:proofErr w:type="spellEnd"/>
            <w:r w:rsidRPr="007F7EE4">
              <w:rPr>
                <w:rFonts w:cs="Times New Roman" w:hint="eastAsia"/>
                <w:kern w:val="0"/>
                <w:sz w:val="15"/>
                <w:szCs w:val="15"/>
              </w:rPr>
              <w:t>申请</w:t>
            </w:r>
          </w:p>
        </w:tc>
        <w:tc>
          <w:tcPr>
            <w:tcW w:w="1704" w:type="dxa"/>
            <w:tcBorders>
              <w:top w:val="nil"/>
              <w:left w:val="nil"/>
              <w:bottom w:val="nil"/>
              <w:right w:val="nil"/>
            </w:tcBorders>
            <w:vAlign w:val="center"/>
          </w:tcPr>
          <w:p w14:paraId="5B9B9A22"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GIGreenr</w:t>
            </w:r>
            <w:proofErr w:type="spellEnd"/>
            <w:r w:rsidRPr="007F7EE4">
              <w:rPr>
                <w:rFonts w:cs="Times New Roman" w:hint="eastAsia"/>
                <w:kern w:val="0"/>
                <w:sz w:val="15"/>
                <w:szCs w:val="15"/>
              </w:rPr>
              <w:t>授权</w:t>
            </w:r>
          </w:p>
        </w:tc>
      </w:tr>
      <w:tr w:rsidR="007F7EE4" w:rsidRPr="007F7EE4" w14:paraId="6F8A075F" w14:textId="77777777">
        <w:tc>
          <w:tcPr>
            <w:tcW w:w="1705" w:type="dxa"/>
            <w:tcBorders>
              <w:top w:val="single" w:sz="4" w:space="0" w:color="auto"/>
              <w:left w:val="nil"/>
              <w:bottom w:val="nil"/>
              <w:right w:val="nil"/>
            </w:tcBorders>
            <w:vAlign w:val="center"/>
          </w:tcPr>
          <w:p w14:paraId="526DCEEA"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lnCSR</w:t>
            </w:r>
            <w:proofErr w:type="spellEnd"/>
          </w:p>
        </w:tc>
        <w:tc>
          <w:tcPr>
            <w:tcW w:w="1705" w:type="dxa"/>
            <w:tcBorders>
              <w:top w:val="single" w:sz="4" w:space="0" w:color="auto"/>
              <w:left w:val="nil"/>
              <w:bottom w:val="nil"/>
              <w:right w:val="nil"/>
            </w:tcBorders>
            <w:vAlign w:val="center"/>
          </w:tcPr>
          <w:p w14:paraId="59A7CD2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0.015**</w:t>
            </w:r>
          </w:p>
        </w:tc>
        <w:tc>
          <w:tcPr>
            <w:tcW w:w="1704" w:type="dxa"/>
            <w:tcBorders>
              <w:top w:val="single" w:sz="4" w:space="0" w:color="auto"/>
              <w:left w:val="nil"/>
              <w:bottom w:val="nil"/>
              <w:right w:val="nil"/>
            </w:tcBorders>
            <w:vAlign w:val="center"/>
          </w:tcPr>
          <w:p w14:paraId="1575814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0.015***</w:t>
            </w:r>
          </w:p>
        </w:tc>
        <w:tc>
          <w:tcPr>
            <w:tcW w:w="1704" w:type="dxa"/>
            <w:tcBorders>
              <w:top w:val="single" w:sz="4" w:space="0" w:color="auto"/>
              <w:left w:val="nil"/>
              <w:bottom w:val="nil"/>
              <w:right w:val="nil"/>
            </w:tcBorders>
            <w:vAlign w:val="center"/>
          </w:tcPr>
          <w:p w14:paraId="57EE025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0.018***</w:t>
            </w:r>
          </w:p>
        </w:tc>
        <w:tc>
          <w:tcPr>
            <w:tcW w:w="1704" w:type="dxa"/>
            <w:tcBorders>
              <w:top w:val="single" w:sz="4" w:space="0" w:color="auto"/>
              <w:left w:val="nil"/>
              <w:bottom w:val="nil"/>
              <w:right w:val="nil"/>
            </w:tcBorders>
            <w:vAlign w:val="center"/>
          </w:tcPr>
          <w:p w14:paraId="60DBE91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0.020***</w:t>
            </w:r>
          </w:p>
        </w:tc>
      </w:tr>
      <w:tr w:rsidR="007F7EE4" w:rsidRPr="007F7EE4" w14:paraId="287E1296" w14:textId="77777777">
        <w:tc>
          <w:tcPr>
            <w:tcW w:w="1705" w:type="dxa"/>
            <w:tcBorders>
              <w:top w:val="nil"/>
              <w:left w:val="nil"/>
              <w:bottom w:val="nil"/>
              <w:right w:val="nil"/>
            </w:tcBorders>
            <w:vAlign w:val="center"/>
          </w:tcPr>
          <w:p w14:paraId="1D49B68F"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5" w:type="dxa"/>
            <w:tcBorders>
              <w:top w:val="nil"/>
              <w:left w:val="nil"/>
              <w:bottom w:val="nil"/>
              <w:right w:val="nil"/>
            </w:tcBorders>
            <w:vAlign w:val="center"/>
          </w:tcPr>
          <w:p w14:paraId="2FED46E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(0.006)</w:t>
            </w:r>
          </w:p>
        </w:tc>
        <w:tc>
          <w:tcPr>
            <w:tcW w:w="1704" w:type="dxa"/>
            <w:tcBorders>
              <w:top w:val="nil"/>
              <w:left w:val="nil"/>
              <w:bottom w:val="nil"/>
              <w:right w:val="nil"/>
            </w:tcBorders>
            <w:vAlign w:val="center"/>
          </w:tcPr>
          <w:p w14:paraId="3CC67D5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(0.005)</w:t>
            </w:r>
          </w:p>
        </w:tc>
        <w:tc>
          <w:tcPr>
            <w:tcW w:w="1704" w:type="dxa"/>
            <w:tcBorders>
              <w:top w:val="nil"/>
              <w:left w:val="nil"/>
              <w:bottom w:val="nil"/>
              <w:right w:val="nil"/>
            </w:tcBorders>
            <w:vAlign w:val="center"/>
          </w:tcPr>
          <w:p w14:paraId="25C32F8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(0.007)</w:t>
            </w:r>
          </w:p>
        </w:tc>
        <w:tc>
          <w:tcPr>
            <w:tcW w:w="1704" w:type="dxa"/>
            <w:tcBorders>
              <w:top w:val="nil"/>
              <w:left w:val="nil"/>
              <w:bottom w:val="nil"/>
              <w:right w:val="nil"/>
            </w:tcBorders>
            <w:vAlign w:val="center"/>
          </w:tcPr>
          <w:p w14:paraId="4C02F50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(0.008)</w:t>
            </w:r>
          </w:p>
        </w:tc>
      </w:tr>
      <w:tr w:rsidR="007F7EE4" w:rsidRPr="007F7EE4" w14:paraId="1DAB161D" w14:textId="77777777">
        <w:tc>
          <w:tcPr>
            <w:tcW w:w="1705" w:type="dxa"/>
            <w:tcBorders>
              <w:top w:val="nil"/>
              <w:left w:val="nil"/>
              <w:bottom w:val="nil"/>
              <w:right w:val="nil"/>
            </w:tcBorders>
            <w:vAlign w:val="center"/>
          </w:tcPr>
          <w:p w14:paraId="079BDB9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_cons</w:t>
            </w:r>
          </w:p>
        </w:tc>
        <w:tc>
          <w:tcPr>
            <w:tcW w:w="1705" w:type="dxa"/>
            <w:tcBorders>
              <w:top w:val="nil"/>
              <w:left w:val="nil"/>
              <w:bottom w:val="nil"/>
              <w:right w:val="nil"/>
            </w:tcBorders>
            <w:vAlign w:val="center"/>
          </w:tcPr>
          <w:p w14:paraId="0142D95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0.154***</w:t>
            </w:r>
          </w:p>
        </w:tc>
        <w:tc>
          <w:tcPr>
            <w:tcW w:w="1704" w:type="dxa"/>
            <w:tcBorders>
              <w:top w:val="nil"/>
              <w:left w:val="nil"/>
              <w:bottom w:val="nil"/>
              <w:right w:val="nil"/>
            </w:tcBorders>
            <w:vAlign w:val="center"/>
          </w:tcPr>
          <w:p w14:paraId="7C9890A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0.171***</w:t>
            </w:r>
          </w:p>
        </w:tc>
        <w:tc>
          <w:tcPr>
            <w:tcW w:w="1704" w:type="dxa"/>
            <w:tcBorders>
              <w:top w:val="nil"/>
              <w:left w:val="nil"/>
              <w:bottom w:val="nil"/>
              <w:right w:val="nil"/>
            </w:tcBorders>
            <w:vAlign w:val="center"/>
          </w:tcPr>
          <w:p w14:paraId="03F263C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0.549***</w:t>
            </w:r>
          </w:p>
        </w:tc>
        <w:tc>
          <w:tcPr>
            <w:tcW w:w="1704" w:type="dxa"/>
            <w:tcBorders>
              <w:top w:val="nil"/>
              <w:left w:val="nil"/>
              <w:bottom w:val="nil"/>
              <w:right w:val="nil"/>
            </w:tcBorders>
            <w:vAlign w:val="center"/>
          </w:tcPr>
          <w:p w14:paraId="04E9F00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0.424***</w:t>
            </w:r>
          </w:p>
        </w:tc>
      </w:tr>
      <w:tr w:rsidR="007F7EE4" w:rsidRPr="007F7EE4" w14:paraId="69E67330" w14:textId="77777777">
        <w:tc>
          <w:tcPr>
            <w:tcW w:w="1705" w:type="dxa"/>
            <w:tcBorders>
              <w:top w:val="nil"/>
              <w:left w:val="nil"/>
              <w:bottom w:val="nil"/>
              <w:right w:val="nil"/>
            </w:tcBorders>
            <w:vAlign w:val="center"/>
          </w:tcPr>
          <w:p w14:paraId="477C25E2"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705" w:type="dxa"/>
            <w:tcBorders>
              <w:top w:val="nil"/>
              <w:left w:val="nil"/>
              <w:bottom w:val="nil"/>
              <w:right w:val="nil"/>
            </w:tcBorders>
            <w:vAlign w:val="center"/>
          </w:tcPr>
          <w:p w14:paraId="00C636A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(0.042)</w:t>
            </w:r>
          </w:p>
        </w:tc>
        <w:tc>
          <w:tcPr>
            <w:tcW w:w="1704" w:type="dxa"/>
            <w:tcBorders>
              <w:top w:val="nil"/>
              <w:left w:val="nil"/>
              <w:bottom w:val="nil"/>
              <w:right w:val="nil"/>
            </w:tcBorders>
            <w:vAlign w:val="center"/>
          </w:tcPr>
          <w:p w14:paraId="4F2B7F8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(0.043)</w:t>
            </w:r>
          </w:p>
        </w:tc>
        <w:tc>
          <w:tcPr>
            <w:tcW w:w="1704" w:type="dxa"/>
            <w:tcBorders>
              <w:top w:val="nil"/>
              <w:left w:val="nil"/>
              <w:bottom w:val="nil"/>
              <w:right w:val="nil"/>
            </w:tcBorders>
            <w:vAlign w:val="center"/>
          </w:tcPr>
          <w:p w14:paraId="52C9511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(0.054)</w:t>
            </w:r>
          </w:p>
        </w:tc>
        <w:tc>
          <w:tcPr>
            <w:tcW w:w="1704" w:type="dxa"/>
            <w:tcBorders>
              <w:top w:val="nil"/>
              <w:left w:val="nil"/>
              <w:bottom w:val="nil"/>
              <w:right w:val="nil"/>
            </w:tcBorders>
            <w:vAlign w:val="center"/>
          </w:tcPr>
          <w:p w14:paraId="1038B0E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(0.065)</w:t>
            </w:r>
          </w:p>
        </w:tc>
      </w:tr>
      <w:tr w:rsidR="007F7EE4" w:rsidRPr="007F7EE4" w14:paraId="3EF1D20B" w14:textId="77777777" w:rsidTr="00364D74">
        <w:tc>
          <w:tcPr>
            <w:tcW w:w="1705" w:type="dxa"/>
            <w:tcBorders>
              <w:top w:val="nil"/>
              <w:left w:val="nil"/>
              <w:bottom w:val="nil"/>
              <w:right w:val="nil"/>
            </w:tcBorders>
            <w:vAlign w:val="center"/>
          </w:tcPr>
          <w:p w14:paraId="48DDF545"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Controls</w:t>
            </w:r>
          </w:p>
        </w:tc>
        <w:tc>
          <w:tcPr>
            <w:tcW w:w="1705" w:type="dxa"/>
            <w:tcBorders>
              <w:top w:val="nil"/>
              <w:left w:val="nil"/>
              <w:bottom w:val="nil"/>
              <w:right w:val="nil"/>
            </w:tcBorders>
            <w:vAlign w:val="center"/>
          </w:tcPr>
          <w:p w14:paraId="06172313"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40A93C8F"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37851DAE"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08D06CFD"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088F23C8" w14:textId="77777777">
        <w:tc>
          <w:tcPr>
            <w:tcW w:w="1705" w:type="dxa"/>
            <w:tcBorders>
              <w:top w:val="nil"/>
              <w:left w:val="nil"/>
              <w:bottom w:val="nil"/>
              <w:right w:val="nil"/>
            </w:tcBorders>
            <w:vAlign w:val="center"/>
          </w:tcPr>
          <w:p w14:paraId="5E13C94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Industry FE</w:t>
            </w:r>
          </w:p>
        </w:tc>
        <w:tc>
          <w:tcPr>
            <w:tcW w:w="1705" w:type="dxa"/>
            <w:tcBorders>
              <w:top w:val="nil"/>
              <w:left w:val="nil"/>
              <w:bottom w:val="nil"/>
              <w:right w:val="nil"/>
            </w:tcBorders>
            <w:vAlign w:val="center"/>
          </w:tcPr>
          <w:p w14:paraId="381EC95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vAlign w:val="center"/>
          </w:tcPr>
          <w:p w14:paraId="101E1EA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vAlign w:val="center"/>
          </w:tcPr>
          <w:p w14:paraId="6E8B2B5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vAlign w:val="center"/>
          </w:tcPr>
          <w:p w14:paraId="6C0B4CD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33706B5F" w14:textId="77777777">
        <w:tc>
          <w:tcPr>
            <w:tcW w:w="1705" w:type="dxa"/>
            <w:tcBorders>
              <w:top w:val="nil"/>
              <w:left w:val="nil"/>
              <w:bottom w:val="single" w:sz="4" w:space="0" w:color="auto"/>
              <w:right w:val="nil"/>
            </w:tcBorders>
            <w:vAlign w:val="center"/>
          </w:tcPr>
          <w:p w14:paraId="765C5D2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Year FE</w:t>
            </w:r>
          </w:p>
        </w:tc>
        <w:tc>
          <w:tcPr>
            <w:tcW w:w="1705" w:type="dxa"/>
            <w:tcBorders>
              <w:top w:val="nil"/>
              <w:left w:val="nil"/>
              <w:bottom w:val="single" w:sz="4" w:space="0" w:color="auto"/>
              <w:right w:val="nil"/>
            </w:tcBorders>
            <w:vAlign w:val="center"/>
          </w:tcPr>
          <w:p w14:paraId="506DEB5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vAlign w:val="center"/>
          </w:tcPr>
          <w:p w14:paraId="23EB657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vAlign w:val="center"/>
          </w:tcPr>
          <w:p w14:paraId="18A06AC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vAlign w:val="center"/>
          </w:tcPr>
          <w:p w14:paraId="5D2D71B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72B55D3D" w14:textId="77777777">
        <w:tc>
          <w:tcPr>
            <w:tcW w:w="1705" w:type="dxa"/>
            <w:tcBorders>
              <w:top w:val="single" w:sz="4" w:space="0" w:color="auto"/>
              <w:left w:val="nil"/>
              <w:bottom w:val="nil"/>
              <w:right w:val="nil"/>
            </w:tcBorders>
            <w:vAlign w:val="center"/>
          </w:tcPr>
          <w:p w14:paraId="7AD3F8F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N</w:t>
            </w:r>
          </w:p>
        </w:tc>
        <w:tc>
          <w:tcPr>
            <w:tcW w:w="1705" w:type="dxa"/>
            <w:tcBorders>
              <w:top w:val="single" w:sz="4" w:space="0" w:color="auto"/>
              <w:left w:val="nil"/>
              <w:bottom w:val="nil"/>
              <w:right w:val="nil"/>
            </w:tcBorders>
            <w:vAlign w:val="center"/>
          </w:tcPr>
          <w:p w14:paraId="3102492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12729</w:t>
            </w:r>
          </w:p>
        </w:tc>
        <w:tc>
          <w:tcPr>
            <w:tcW w:w="1704" w:type="dxa"/>
            <w:tcBorders>
              <w:top w:val="single" w:sz="4" w:space="0" w:color="auto"/>
              <w:left w:val="nil"/>
              <w:bottom w:val="nil"/>
              <w:right w:val="nil"/>
            </w:tcBorders>
            <w:vAlign w:val="center"/>
          </w:tcPr>
          <w:p w14:paraId="3FBD7D7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12554</w:t>
            </w:r>
          </w:p>
        </w:tc>
        <w:tc>
          <w:tcPr>
            <w:tcW w:w="1704" w:type="dxa"/>
            <w:tcBorders>
              <w:top w:val="single" w:sz="4" w:space="0" w:color="auto"/>
              <w:left w:val="nil"/>
              <w:bottom w:val="nil"/>
              <w:right w:val="nil"/>
            </w:tcBorders>
            <w:vAlign w:val="center"/>
          </w:tcPr>
          <w:p w14:paraId="63821FD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9698</w:t>
            </w:r>
          </w:p>
        </w:tc>
        <w:tc>
          <w:tcPr>
            <w:tcW w:w="1704" w:type="dxa"/>
            <w:tcBorders>
              <w:top w:val="single" w:sz="4" w:space="0" w:color="auto"/>
              <w:left w:val="nil"/>
              <w:bottom w:val="nil"/>
              <w:right w:val="nil"/>
            </w:tcBorders>
            <w:vAlign w:val="center"/>
          </w:tcPr>
          <w:p w14:paraId="120C08A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8863</w:t>
            </w:r>
          </w:p>
        </w:tc>
      </w:tr>
      <w:tr w:rsidR="00D45CD8" w:rsidRPr="007F7EE4" w14:paraId="687506E8" w14:textId="77777777">
        <w:tc>
          <w:tcPr>
            <w:tcW w:w="1705" w:type="dxa"/>
            <w:tcBorders>
              <w:top w:val="nil"/>
              <w:left w:val="nil"/>
              <w:bottom w:val="single" w:sz="4" w:space="0" w:color="auto"/>
              <w:right w:val="nil"/>
            </w:tcBorders>
            <w:vAlign w:val="center"/>
          </w:tcPr>
          <w:p w14:paraId="32C6D43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r2_a</w:t>
            </w:r>
          </w:p>
        </w:tc>
        <w:tc>
          <w:tcPr>
            <w:tcW w:w="1705" w:type="dxa"/>
            <w:tcBorders>
              <w:top w:val="nil"/>
              <w:left w:val="nil"/>
              <w:bottom w:val="single" w:sz="4" w:space="0" w:color="auto"/>
              <w:right w:val="nil"/>
            </w:tcBorders>
            <w:vAlign w:val="center"/>
          </w:tcPr>
          <w:p w14:paraId="10C705F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0.055</w:t>
            </w:r>
          </w:p>
        </w:tc>
        <w:tc>
          <w:tcPr>
            <w:tcW w:w="1704" w:type="dxa"/>
            <w:tcBorders>
              <w:top w:val="nil"/>
              <w:left w:val="nil"/>
              <w:bottom w:val="single" w:sz="4" w:space="0" w:color="auto"/>
              <w:right w:val="nil"/>
            </w:tcBorders>
            <w:vAlign w:val="center"/>
          </w:tcPr>
          <w:p w14:paraId="3E3D788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0.069</w:t>
            </w:r>
          </w:p>
        </w:tc>
        <w:tc>
          <w:tcPr>
            <w:tcW w:w="1704" w:type="dxa"/>
            <w:tcBorders>
              <w:top w:val="nil"/>
              <w:left w:val="nil"/>
              <w:bottom w:val="single" w:sz="4" w:space="0" w:color="auto"/>
              <w:right w:val="nil"/>
            </w:tcBorders>
            <w:vAlign w:val="center"/>
          </w:tcPr>
          <w:p w14:paraId="5744AC2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0.129</w:t>
            </w:r>
          </w:p>
        </w:tc>
        <w:tc>
          <w:tcPr>
            <w:tcW w:w="1704" w:type="dxa"/>
            <w:tcBorders>
              <w:top w:val="nil"/>
              <w:left w:val="nil"/>
              <w:bottom w:val="single" w:sz="4" w:space="0" w:color="auto"/>
              <w:right w:val="nil"/>
            </w:tcBorders>
            <w:vAlign w:val="center"/>
          </w:tcPr>
          <w:p w14:paraId="008E26D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0.055</w:t>
            </w:r>
          </w:p>
        </w:tc>
      </w:tr>
    </w:tbl>
    <w:p w14:paraId="6C96D556" w14:textId="77777777" w:rsidR="00D45CD8" w:rsidRPr="007F7EE4" w:rsidRDefault="00D45CD8">
      <w:pPr>
        <w:pStyle w:val="af6"/>
      </w:pPr>
    </w:p>
    <w:p w14:paraId="71832E7D" w14:textId="77777777" w:rsidR="00D45CD8" w:rsidRPr="007F7EE4" w:rsidRDefault="00AC3F08">
      <w:pPr>
        <w:ind w:firstLine="420"/>
      </w:pPr>
      <w:r w:rsidRPr="007F7EE4">
        <w:rPr>
          <w:rFonts w:hint="eastAsia"/>
        </w:rPr>
        <w:t>最后，进一步对企业社会责任测度方式以润灵企业社会责任进行替代，对研究假设</w:t>
      </w:r>
      <w:r w:rsidRPr="007F7EE4">
        <w:rPr>
          <w:rFonts w:hint="eastAsia"/>
        </w:rPr>
        <w:t>H1b</w:t>
      </w:r>
      <w:r w:rsidRPr="007F7EE4">
        <w:rPr>
          <w:rFonts w:hint="eastAsia"/>
        </w:rPr>
        <w:t>和</w:t>
      </w:r>
      <w:r w:rsidRPr="007F7EE4">
        <w:rPr>
          <w:rFonts w:hint="eastAsia"/>
        </w:rPr>
        <w:t>H2a-H2b</w:t>
      </w:r>
      <w:r w:rsidRPr="007F7EE4">
        <w:rPr>
          <w:rFonts w:hint="eastAsia"/>
        </w:rPr>
        <w:t>进一步进行稳健性检验</w:t>
      </w:r>
      <w:r w:rsidRPr="007F7EE4">
        <w:rPr>
          <w:rStyle w:val="af4"/>
        </w:rPr>
        <w:footnoteReference w:id="6"/>
      </w:r>
      <w:r w:rsidRPr="007F7EE4">
        <w:rPr>
          <w:rFonts w:hint="eastAsia"/>
        </w:rPr>
        <w:t>，</w:t>
      </w:r>
      <w:r w:rsidRPr="007F7EE4">
        <w:rPr>
          <w:rFonts w:hint="eastAsia"/>
        </w:rPr>
        <w:t xml:space="preserve"> </w:t>
      </w:r>
      <w:r w:rsidRPr="007F7EE4">
        <w:rPr>
          <w:rFonts w:hint="eastAsia"/>
        </w:rPr>
        <w:t>研究结果表明企业环保投资依然在企业社会责任与企业绿色技术创新绩效依然产生部分中介作用。且媒体关注依然在企业社会责任与企业绿色技术创新之间产生显著的正向调节效应。</w:t>
      </w:r>
    </w:p>
    <w:p w14:paraId="509B6121" w14:textId="77777777" w:rsidR="00D45CD8" w:rsidRPr="007F7EE4" w:rsidRDefault="00D45CD8">
      <w:pPr>
        <w:ind w:firstLine="420"/>
      </w:pPr>
    </w:p>
    <w:p w14:paraId="73EA023B" w14:textId="77777777" w:rsidR="00D45CD8" w:rsidRPr="007F7EE4" w:rsidRDefault="00AC3F08">
      <w:pPr>
        <w:pStyle w:val="3"/>
        <w:rPr>
          <w:b/>
        </w:rPr>
      </w:pPr>
      <w:r w:rsidRPr="007F7EE4">
        <w:rPr>
          <w:b/>
        </w:rPr>
        <w:lastRenderedPageBreak/>
        <w:t>2</w:t>
      </w:r>
      <w:r w:rsidRPr="007F7EE4">
        <w:rPr>
          <w:rFonts w:hint="eastAsia"/>
          <w:b/>
        </w:rPr>
        <w:t>.内生性检验</w:t>
      </w:r>
    </w:p>
    <w:p w14:paraId="73648A11" w14:textId="77777777" w:rsidR="00D45CD8" w:rsidRPr="007F7EE4" w:rsidRDefault="00AC3F08">
      <w:pPr>
        <w:ind w:firstLine="420"/>
      </w:pPr>
      <w:r w:rsidRPr="007F7EE4">
        <w:rPr>
          <w:rFonts w:hint="eastAsia"/>
        </w:rPr>
        <w:t>考虑到本文研究的企业社会责任与企业绿色技术创新绩效存在一定程度的互为因果关系，即企业绿色技术创新绩效越好的企业也可能促进了企业社会责任表现，且存在遗漏变量带来的估计结果的偏误带来的内生性问题。本文选取上市公司与证监会驻派监管机构的监管距离的对数化（</w:t>
      </w:r>
      <w:proofErr w:type="spellStart"/>
      <w:r w:rsidRPr="007F7EE4">
        <w:t>lnDist</w:t>
      </w:r>
      <w:proofErr w:type="spellEnd"/>
      <w:r w:rsidRPr="007F7EE4">
        <w:rPr>
          <w:rFonts w:hint="eastAsia"/>
        </w:rPr>
        <w:t>）作为工具变量，之所以选取上市公司与证监会驻派机构的监管距离作为工具变量，主要的原因在于证监会是监督与治理上市公司履行社会责任的重要制度主体</w:t>
      </w:r>
      <w:r w:rsidRPr="007F7EE4">
        <w:rPr>
          <w:rStyle w:val="af4"/>
        </w:rPr>
        <w:footnoteReference w:id="7"/>
      </w:r>
      <w:r w:rsidRPr="007F7EE4">
        <w:rPr>
          <w:rFonts w:hint="eastAsia"/>
        </w:rPr>
        <w:t>，其主要通过建立企业社会责任披露制度以及监督公司内部治理以及利益相关方履责情况，实现对上市公司企业社会责任的制度供给与激励与惩戒等治理效应，距离越近则具有对上市公司的履行社会责任的震慑效应。采用</w:t>
      </w:r>
      <w:r w:rsidRPr="007F7EE4">
        <w:rPr>
          <w:rFonts w:hint="eastAsia"/>
        </w:rPr>
        <w:t>2sls</w:t>
      </w:r>
      <w:r w:rsidRPr="007F7EE4">
        <w:rPr>
          <w:rFonts w:hint="eastAsia"/>
        </w:rPr>
        <w:t>回归方法对企业社会责任与企业绿色技术创新绩效的回归结果予以重新估计。基于表</w:t>
      </w:r>
      <w:r w:rsidRPr="007F7EE4">
        <w:rPr>
          <w:rFonts w:hint="eastAsia"/>
        </w:rPr>
        <w:t>8</w:t>
      </w:r>
      <w:r w:rsidRPr="007F7EE4">
        <w:rPr>
          <w:rFonts w:hint="eastAsia"/>
        </w:rPr>
        <w:t>的内生性检验结果表明，在第一阶段的相关性检验结果表明，上市公司与驻派证监会监管机构对企业社会责任的影响存在显著的负向关系，即监管距离越远（距离数值越大），企业社会责任表现越差。第二阶段分别基于</w:t>
      </w:r>
      <w:r w:rsidRPr="007F7EE4">
        <w:rPr>
          <w:rFonts w:hint="eastAsia"/>
        </w:rPr>
        <w:t>2sls</w:t>
      </w:r>
      <w:r w:rsidRPr="007F7EE4">
        <w:rPr>
          <w:rFonts w:hint="eastAsia"/>
        </w:rPr>
        <w:t>估计方法考察企业社会责任对企业绿色技术创新的影响效应，发现监管距离对企业绿色技术创新绩效存在显著的正向促进效应，不管是对企业绿色专利申请还是绿色专利授权都得到经验证据的支持。</w:t>
      </w:r>
    </w:p>
    <w:p w14:paraId="73119918"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rPr>
          <w:rFonts w:hint="eastAsia"/>
        </w:rPr>
        <w:t>8</w:t>
      </w:r>
      <w:r w:rsidRPr="007F7EE4">
        <w:t xml:space="preserve"> </w:t>
      </w:r>
      <w:r w:rsidRPr="007F7EE4">
        <w:rPr>
          <w:rFonts w:hint="eastAsia"/>
        </w:rPr>
        <w:t>内生性检验</w:t>
      </w:r>
    </w:p>
    <w:p w14:paraId="052B35B8"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2130"/>
        <w:gridCol w:w="2130"/>
        <w:gridCol w:w="2131"/>
        <w:gridCol w:w="2131"/>
      </w:tblGrid>
      <w:tr w:rsidR="007F7EE4" w:rsidRPr="007F7EE4" w14:paraId="6EA5ADFF" w14:textId="77777777">
        <w:tc>
          <w:tcPr>
            <w:tcW w:w="2130" w:type="dxa"/>
            <w:tcBorders>
              <w:top w:val="single" w:sz="4" w:space="0" w:color="auto"/>
              <w:left w:val="nil"/>
              <w:right w:val="nil"/>
            </w:tcBorders>
            <w:vAlign w:val="center"/>
          </w:tcPr>
          <w:p w14:paraId="65B87B07" w14:textId="77777777" w:rsidR="00D45CD8" w:rsidRPr="007F7EE4" w:rsidRDefault="00D45CD8">
            <w:pPr>
              <w:pStyle w:val="af8"/>
              <w:rPr>
                <w:sz w:val="15"/>
                <w:szCs w:val="15"/>
              </w:rPr>
            </w:pPr>
          </w:p>
        </w:tc>
        <w:tc>
          <w:tcPr>
            <w:tcW w:w="2130" w:type="dxa"/>
            <w:tcBorders>
              <w:top w:val="single" w:sz="4" w:space="0" w:color="auto"/>
              <w:left w:val="nil"/>
              <w:right w:val="nil"/>
            </w:tcBorders>
            <w:vAlign w:val="center"/>
          </w:tcPr>
          <w:p w14:paraId="7154BBAB" w14:textId="77777777" w:rsidR="00D45CD8" w:rsidRPr="007F7EE4" w:rsidRDefault="00AC3F08">
            <w:pPr>
              <w:pStyle w:val="af8"/>
              <w:rPr>
                <w:sz w:val="15"/>
                <w:szCs w:val="15"/>
              </w:rPr>
            </w:pPr>
            <w:r w:rsidRPr="007F7EE4">
              <w:rPr>
                <w:sz w:val="15"/>
                <w:szCs w:val="15"/>
              </w:rPr>
              <w:t>(1)</w:t>
            </w:r>
          </w:p>
        </w:tc>
        <w:tc>
          <w:tcPr>
            <w:tcW w:w="2131" w:type="dxa"/>
            <w:tcBorders>
              <w:top w:val="single" w:sz="4" w:space="0" w:color="auto"/>
              <w:left w:val="nil"/>
              <w:right w:val="nil"/>
            </w:tcBorders>
            <w:vAlign w:val="center"/>
          </w:tcPr>
          <w:p w14:paraId="5AB08030" w14:textId="77777777" w:rsidR="00D45CD8" w:rsidRPr="007F7EE4" w:rsidRDefault="00AC3F08">
            <w:pPr>
              <w:pStyle w:val="af8"/>
              <w:rPr>
                <w:sz w:val="15"/>
                <w:szCs w:val="15"/>
              </w:rPr>
            </w:pPr>
            <w:r w:rsidRPr="007F7EE4">
              <w:rPr>
                <w:sz w:val="15"/>
                <w:szCs w:val="15"/>
              </w:rPr>
              <w:t>(2)</w:t>
            </w:r>
          </w:p>
        </w:tc>
        <w:tc>
          <w:tcPr>
            <w:tcW w:w="2131" w:type="dxa"/>
            <w:tcBorders>
              <w:top w:val="single" w:sz="4" w:space="0" w:color="auto"/>
              <w:left w:val="nil"/>
              <w:right w:val="nil"/>
            </w:tcBorders>
            <w:vAlign w:val="center"/>
          </w:tcPr>
          <w:p w14:paraId="40328F06" w14:textId="77777777" w:rsidR="00D45CD8" w:rsidRPr="007F7EE4" w:rsidRDefault="00AC3F08">
            <w:pPr>
              <w:pStyle w:val="af8"/>
              <w:rPr>
                <w:sz w:val="15"/>
                <w:szCs w:val="15"/>
              </w:rPr>
            </w:pPr>
            <w:r w:rsidRPr="007F7EE4">
              <w:rPr>
                <w:sz w:val="15"/>
                <w:szCs w:val="15"/>
              </w:rPr>
              <w:t>(3)</w:t>
            </w:r>
          </w:p>
        </w:tc>
      </w:tr>
      <w:tr w:rsidR="007F7EE4" w:rsidRPr="007F7EE4" w14:paraId="2DF084F3" w14:textId="77777777">
        <w:tc>
          <w:tcPr>
            <w:tcW w:w="2130" w:type="dxa"/>
            <w:tcBorders>
              <w:left w:val="nil"/>
              <w:right w:val="nil"/>
            </w:tcBorders>
            <w:vAlign w:val="center"/>
          </w:tcPr>
          <w:p w14:paraId="65110127" w14:textId="77777777" w:rsidR="00D45CD8" w:rsidRPr="007F7EE4" w:rsidRDefault="00D45CD8">
            <w:pPr>
              <w:pStyle w:val="af8"/>
              <w:rPr>
                <w:sz w:val="15"/>
                <w:szCs w:val="15"/>
              </w:rPr>
            </w:pPr>
          </w:p>
        </w:tc>
        <w:tc>
          <w:tcPr>
            <w:tcW w:w="2130" w:type="dxa"/>
            <w:tcBorders>
              <w:left w:val="nil"/>
              <w:right w:val="nil"/>
            </w:tcBorders>
            <w:vAlign w:val="center"/>
          </w:tcPr>
          <w:p w14:paraId="58661633" w14:textId="77777777" w:rsidR="00D45CD8" w:rsidRPr="007F7EE4" w:rsidRDefault="00AC3F08">
            <w:pPr>
              <w:pStyle w:val="af8"/>
              <w:rPr>
                <w:sz w:val="15"/>
                <w:szCs w:val="15"/>
              </w:rPr>
            </w:pPr>
            <w:r w:rsidRPr="007F7EE4">
              <w:rPr>
                <w:rFonts w:hint="eastAsia"/>
                <w:sz w:val="15"/>
                <w:szCs w:val="15"/>
              </w:rPr>
              <w:t>第一阶段</w:t>
            </w:r>
          </w:p>
        </w:tc>
        <w:tc>
          <w:tcPr>
            <w:tcW w:w="4262" w:type="dxa"/>
            <w:gridSpan w:val="2"/>
            <w:tcBorders>
              <w:left w:val="nil"/>
              <w:right w:val="nil"/>
            </w:tcBorders>
            <w:vAlign w:val="center"/>
          </w:tcPr>
          <w:p w14:paraId="5F6E84FB" w14:textId="77777777" w:rsidR="00D45CD8" w:rsidRPr="007F7EE4" w:rsidRDefault="00AC3F08">
            <w:pPr>
              <w:pStyle w:val="af8"/>
              <w:rPr>
                <w:sz w:val="15"/>
                <w:szCs w:val="15"/>
              </w:rPr>
            </w:pPr>
            <w:r w:rsidRPr="007F7EE4">
              <w:rPr>
                <w:rFonts w:hint="eastAsia"/>
                <w:sz w:val="15"/>
                <w:szCs w:val="15"/>
              </w:rPr>
              <w:t>第二阶段</w:t>
            </w:r>
          </w:p>
        </w:tc>
      </w:tr>
      <w:tr w:rsidR="007F7EE4" w:rsidRPr="007F7EE4" w14:paraId="00184916" w14:textId="77777777">
        <w:tc>
          <w:tcPr>
            <w:tcW w:w="2130" w:type="dxa"/>
            <w:tcBorders>
              <w:left w:val="nil"/>
              <w:bottom w:val="nil"/>
              <w:right w:val="nil"/>
            </w:tcBorders>
            <w:vAlign w:val="center"/>
          </w:tcPr>
          <w:p w14:paraId="7F292A1A" w14:textId="77777777" w:rsidR="00D45CD8" w:rsidRPr="007F7EE4" w:rsidRDefault="00D45CD8">
            <w:pPr>
              <w:pStyle w:val="af8"/>
              <w:rPr>
                <w:sz w:val="15"/>
                <w:szCs w:val="15"/>
              </w:rPr>
            </w:pPr>
          </w:p>
        </w:tc>
        <w:tc>
          <w:tcPr>
            <w:tcW w:w="2130" w:type="dxa"/>
            <w:tcBorders>
              <w:left w:val="nil"/>
              <w:bottom w:val="nil"/>
              <w:right w:val="nil"/>
            </w:tcBorders>
            <w:vAlign w:val="center"/>
          </w:tcPr>
          <w:p w14:paraId="694120C1" w14:textId="77777777" w:rsidR="00D45CD8" w:rsidRPr="007F7EE4" w:rsidRDefault="00AC3F08">
            <w:pPr>
              <w:pStyle w:val="af8"/>
              <w:rPr>
                <w:sz w:val="15"/>
                <w:szCs w:val="15"/>
              </w:rPr>
            </w:pPr>
            <w:r w:rsidRPr="007F7EE4">
              <w:rPr>
                <w:rFonts w:hint="eastAsia"/>
                <w:sz w:val="15"/>
                <w:szCs w:val="15"/>
              </w:rPr>
              <w:t>相关性检验</w:t>
            </w:r>
          </w:p>
        </w:tc>
        <w:tc>
          <w:tcPr>
            <w:tcW w:w="2131" w:type="dxa"/>
            <w:tcBorders>
              <w:left w:val="nil"/>
              <w:bottom w:val="nil"/>
              <w:right w:val="nil"/>
            </w:tcBorders>
            <w:vAlign w:val="center"/>
          </w:tcPr>
          <w:p w14:paraId="029268F4" w14:textId="77777777" w:rsidR="00D45CD8" w:rsidRPr="007F7EE4" w:rsidRDefault="00AC3F08">
            <w:pPr>
              <w:pStyle w:val="af8"/>
              <w:rPr>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2131" w:type="dxa"/>
            <w:tcBorders>
              <w:left w:val="nil"/>
              <w:bottom w:val="nil"/>
              <w:right w:val="nil"/>
            </w:tcBorders>
            <w:vAlign w:val="center"/>
          </w:tcPr>
          <w:p w14:paraId="45D10E24" w14:textId="77777777" w:rsidR="00D45CD8" w:rsidRPr="007F7EE4" w:rsidRDefault="00AC3F08">
            <w:pPr>
              <w:pStyle w:val="af8"/>
              <w:rPr>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5ECD69BA" w14:textId="77777777">
        <w:tc>
          <w:tcPr>
            <w:tcW w:w="2130" w:type="dxa"/>
            <w:tcBorders>
              <w:top w:val="single" w:sz="4" w:space="0" w:color="auto"/>
              <w:left w:val="nil"/>
              <w:bottom w:val="nil"/>
              <w:right w:val="nil"/>
            </w:tcBorders>
            <w:vAlign w:val="center"/>
          </w:tcPr>
          <w:p w14:paraId="3EB8787B" w14:textId="77777777" w:rsidR="00D45CD8" w:rsidRPr="007F7EE4" w:rsidRDefault="00AC3F08">
            <w:pPr>
              <w:pStyle w:val="af8"/>
              <w:rPr>
                <w:sz w:val="15"/>
                <w:szCs w:val="15"/>
              </w:rPr>
            </w:pPr>
            <w:proofErr w:type="spellStart"/>
            <w:r w:rsidRPr="007F7EE4">
              <w:rPr>
                <w:rFonts w:cs="Times New Roman"/>
                <w:kern w:val="0"/>
                <w:sz w:val="15"/>
                <w:szCs w:val="15"/>
              </w:rPr>
              <w:t>lnDist</w:t>
            </w:r>
            <w:proofErr w:type="spellEnd"/>
          </w:p>
        </w:tc>
        <w:tc>
          <w:tcPr>
            <w:tcW w:w="2130" w:type="dxa"/>
            <w:tcBorders>
              <w:top w:val="single" w:sz="4" w:space="0" w:color="auto"/>
              <w:left w:val="nil"/>
              <w:bottom w:val="nil"/>
              <w:right w:val="nil"/>
            </w:tcBorders>
            <w:vAlign w:val="center"/>
          </w:tcPr>
          <w:p w14:paraId="45F2D5F6" w14:textId="77777777" w:rsidR="00D45CD8" w:rsidRPr="007F7EE4" w:rsidRDefault="00AC3F08">
            <w:pPr>
              <w:pStyle w:val="af8"/>
              <w:rPr>
                <w:sz w:val="15"/>
                <w:szCs w:val="15"/>
              </w:rPr>
            </w:pPr>
            <w:r w:rsidRPr="007F7EE4">
              <w:rPr>
                <w:rFonts w:cs="Times New Roman"/>
                <w:kern w:val="0"/>
                <w:sz w:val="15"/>
                <w:szCs w:val="15"/>
              </w:rPr>
              <w:t>-0.008***</w:t>
            </w:r>
          </w:p>
        </w:tc>
        <w:tc>
          <w:tcPr>
            <w:tcW w:w="2131" w:type="dxa"/>
            <w:tcBorders>
              <w:top w:val="single" w:sz="4" w:space="0" w:color="auto"/>
              <w:left w:val="nil"/>
              <w:bottom w:val="nil"/>
              <w:right w:val="nil"/>
            </w:tcBorders>
            <w:vAlign w:val="center"/>
          </w:tcPr>
          <w:p w14:paraId="1007063A" w14:textId="77777777" w:rsidR="00D45CD8" w:rsidRPr="007F7EE4" w:rsidRDefault="00D45CD8">
            <w:pPr>
              <w:pStyle w:val="af8"/>
              <w:rPr>
                <w:sz w:val="15"/>
                <w:szCs w:val="15"/>
              </w:rPr>
            </w:pPr>
          </w:p>
        </w:tc>
        <w:tc>
          <w:tcPr>
            <w:tcW w:w="2131" w:type="dxa"/>
            <w:tcBorders>
              <w:top w:val="single" w:sz="4" w:space="0" w:color="auto"/>
              <w:left w:val="nil"/>
              <w:bottom w:val="nil"/>
              <w:right w:val="nil"/>
            </w:tcBorders>
            <w:vAlign w:val="center"/>
          </w:tcPr>
          <w:p w14:paraId="788699F6" w14:textId="77777777" w:rsidR="00D45CD8" w:rsidRPr="007F7EE4" w:rsidRDefault="00D45CD8">
            <w:pPr>
              <w:pStyle w:val="af8"/>
              <w:rPr>
                <w:sz w:val="15"/>
                <w:szCs w:val="15"/>
              </w:rPr>
            </w:pPr>
          </w:p>
        </w:tc>
      </w:tr>
      <w:tr w:rsidR="007F7EE4" w:rsidRPr="007F7EE4" w14:paraId="1A6F1E73" w14:textId="77777777">
        <w:tc>
          <w:tcPr>
            <w:tcW w:w="2130" w:type="dxa"/>
            <w:tcBorders>
              <w:top w:val="nil"/>
              <w:left w:val="nil"/>
              <w:bottom w:val="nil"/>
              <w:right w:val="nil"/>
            </w:tcBorders>
            <w:vAlign w:val="center"/>
          </w:tcPr>
          <w:p w14:paraId="095DEC0D" w14:textId="77777777" w:rsidR="00D45CD8" w:rsidRPr="007F7EE4" w:rsidRDefault="00D45CD8">
            <w:pPr>
              <w:pStyle w:val="af8"/>
              <w:rPr>
                <w:sz w:val="15"/>
                <w:szCs w:val="15"/>
              </w:rPr>
            </w:pPr>
          </w:p>
        </w:tc>
        <w:tc>
          <w:tcPr>
            <w:tcW w:w="2130" w:type="dxa"/>
            <w:tcBorders>
              <w:top w:val="nil"/>
              <w:left w:val="nil"/>
              <w:bottom w:val="nil"/>
              <w:right w:val="nil"/>
            </w:tcBorders>
            <w:vAlign w:val="center"/>
          </w:tcPr>
          <w:p w14:paraId="73355C47" w14:textId="77777777" w:rsidR="00D45CD8" w:rsidRPr="007F7EE4" w:rsidRDefault="00AC3F08">
            <w:pPr>
              <w:pStyle w:val="af8"/>
              <w:rPr>
                <w:sz w:val="15"/>
                <w:szCs w:val="15"/>
              </w:rPr>
            </w:pPr>
            <w:r w:rsidRPr="007F7EE4">
              <w:rPr>
                <w:rFonts w:cs="Times New Roman"/>
                <w:kern w:val="0"/>
                <w:sz w:val="15"/>
                <w:szCs w:val="15"/>
              </w:rPr>
              <w:t>(0.002)</w:t>
            </w:r>
          </w:p>
        </w:tc>
        <w:tc>
          <w:tcPr>
            <w:tcW w:w="2131" w:type="dxa"/>
            <w:tcBorders>
              <w:top w:val="nil"/>
              <w:left w:val="nil"/>
              <w:bottom w:val="nil"/>
              <w:right w:val="nil"/>
            </w:tcBorders>
            <w:vAlign w:val="center"/>
          </w:tcPr>
          <w:p w14:paraId="6121FA6A" w14:textId="77777777" w:rsidR="00D45CD8" w:rsidRPr="007F7EE4" w:rsidRDefault="00D45CD8">
            <w:pPr>
              <w:pStyle w:val="af8"/>
              <w:rPr>
                <w:sz w:val="15"/>
                <w:szCs w:val="15"/>
              </w:rPr>
            </w:pPr>
          </w:p>
        </w:tc>
        <w:tc>
          <w:tcPr>
            <w:tcW w:w="2131" w:type="dxa"/>
            <w:tcBorders>
              <w:top w:val="nil"/>
              <w:left w:val="nil"/>
              <w:bottom w:val="nil"/>
              <w:right w:val="nil"/>
            </w:tcBorders>
            <w:vAlign w:val="center"/>
          </w:tcPr>
          <w:p w14:paraId="6F90A0A0" w14:textId="77777777" w:rsidR="00D45CD8" w:rsidRPr="007F7EE4" w:rsidRDefault="00D45CD8">
            <w:pPr>
              <w:pStyle w:val="af8"/>
              <w:rPr>
                <w:sz w:val="15"/>
                <w:szCs w:val="15"/>
              </w:rPr>
            </w:pPr>
          </w:p>
        </w:tc>
      </w:tr>
      <w:tr w:rsidR="007F7EE4" w:rsidRPr="007F7EE4" w14:paraId="41DF135D" w14:textId="77777777">
        <w:tc>
          <w:tcPr>
            <w:tcW w:w="2130" w:type="dxa"/>
            <w:tcBorders>
              <w:top w:val="nil"/>
              <w:left w:val="nil"/>
              <w:bottom w:val="nil"/>
              <w:right w:val="nil"/>
            </w:tcBorders>
            <w:vAlign w:val="center"/>
          </w:tcPr>
          <w:p w14:paraId="33EFF33A" w14:textId="77777777" w:rsidR="00D45CD8" w:rsidRPr="007F7EE4" w:rsidRDefault="00AC3F08">
            <w:pPr>
              <w:pStyle w:val="af8"/>
              <w:rPr>
                <w:sz w:val="15"/>
                <w:szCs w:val="15"/>
              </w:rPr>
            </w:pPr>
            <w:proofErr w:type="spellStart"/>
            <w:r w:rsidRPr="007F7EE4">
              <w:rPr>
                <w:rFonts w:cs="Times New Roman"/>
                <w:kern w:val="0"/>
                <w:sz w:val="15"/>
                <w:szCs w:val="15"/>
              </w:rPr>
              <w:t>lnCSR</w:t>
            </w:r>
            <w:proofErr w:type="spellEnd"/>
          </w:p>
        </w:tc>
        <w:tc>
          <w:tcPr>
            <w:tcW w:w="2130" w:type="dxa"/>
            <w:tcBorders>
              <w:top w:val="nil"/>
              <w:left w:val="nil"/>
              <w:bottom w:val="nil"/>
              <w:right w:val="nil"/>
            </w:tcBorders>
            <w:vAlign w:val="center"/>
          </w:tcPr>
          <w:p w14:paraId="1752BC8F" w14:textId="77777777" w:rsidR="00D45CD8" w:rsidRPr="007F7EE4" w:rsidRDefault="00D45CD8">
            <w:pPr>
              <w:pStyle w:val="af8"/>
              <w:rPr>
                <w:sz w:val="15"/>
                <w:szCs w:val="15"/>
              </w:rPr>
            </w:pPr>
          </w:p>
        </w:tc>
        <w:tc>
          <w:tcPr>
            <w:tcW w:w="2131" w:type="dxa"/>
            <w:tcBorders>
              <w:top w:val="nil"/>
              <w:left w:val="nil"/>
              <w:bottom w:val="nil"/>
              <w:right w:val="nil"/>
            </w:tcBorders>
            <w:vAlign w:val="center"/>
          </w:tcPr>
          <w:p w14:paraId="5C186E2C" w14:textId="77777777" w:rsidR="00D45CD8" w:rsidRPr="007F7EE4" w:rsidRDefault="00AC3F08">
            <w:pPr>
              <w:pStyle w:val="af8"/>
              <w:rPr>
                <w:sz w:val="15"/>
                <w:szCs w:val="15"/>
              </w:rPr>
            </w:pPr>
            <w:r w:rsidRPr="007F7EE4">
              <w:rPr>
                <w:rFonts w:cs="Times New Roman"/>
                <w:kern w:val="0"/>
                <w:sz w:val="15"/>
                <w:szCs w:val="15"/>
              </w:rPr>
              <w:t>3.259***</w:t>
            </w:r>
          </w:p>
        </w:tc>
        <w:tc>
          <w:tcPr>
            <w:tcW w:w="2131" w:type="dxa"/>
            <w:tcBorders>
              <w:top w:val="nil"/>
              <w:left w:val="nil"/>
              <w:bottom w:val="nil"/>
              <w:right w:val="nil"/>
            </w:tcBorders>
            <w:vAlign w:val="center"/>
          </w:tcPr>
          <w:p w14:paraId="30477EFA" w14:textId="77777777" w:rsidR="00D45CD8" w:rsidRPr="007F7EE4" w:rsidRDefault="00AC3F08">
            <w:pPr>
              <w:pStyle w:val="af8"/>
              <w:rPr>
                <w:sz w:val="15"/>
                <w:szCs w:val="15"/>
              </w:rPr>
            </w:pPr>
            <w:r w:rsidRPr="007F7EE4">
              <w:rPr>
                <w:rFonts w:cs="Times New Roman"/>
                <w:kern w:val="0"/>
                <w:sz w:val="15"/>
                <w:szCs w:val="15"/>
              </w:rPr>
              <w:t>2.239***</w:t>
            </w:r>
          </w:p>
        </w:tc>
      </w:tr>
      <w:tr w:rsidR="007F7EE4" w:rsidRPr="007F7EE4" w14:paraId="0BD2A296" w14:textId="77777777">
        <w:tc>
          <w:tcPr>
            <w:tcW w:w="2130" w:type="dxa"/>
            <w:tcBorders>
              <w:top w:val="nil"/>
              <w:left w:val="nil"/>
              <w:bottom w:val="nil"/>
              <w:right w:val="nil"/>
            </w:tcBorders>
            <w:vAlign w:val="center"/>
          </w:tcPr>
          <w:p w14:paraId="25F6A8C2" w14:textId="77777777" w:rsidR="00D45CD8" w:rsidRPr="007F7EE4" w:rsidRDefault="00D45CD8">
            <w:pPr>
              <w:pStyle w:val="af8"/>
              <w:rPr>
                <w:sz w:val="15"/>
                <w:szCs w:val="15"/>
              </w:rPr>
            </w:pPr>
          </w:p>
        </w:tc>
        <w:tc>
          <w:tcPr>
            <w:tcW w:w="2130" w:type="dxa"/>
            <w:tcBorders>
              <w:top w:val="nil"/>
              <w:left w:val="nil"/>
              <w:bottom w:val="nil"/>
              <w:right w:val="nil"/>
            </w:tcBorders>
            <w:vAlign w:val="center"/>
          </w:tcPr>
          <w:p w14:paraId="02B4E961" w14:textId="77777777" w:rsidR="00D45CD8" w:rsidRPr="007F7EE4" w:rsidRDefault="00D45CD8">
            <w:pPr>
              <w:pStyle w:val="af8"/>
              <w:rPr>
                <w:sz w:val="15"/>
                <w:szCs w:val="15"/>
              </w:rPr>
            </w:pPr>
          </w:p>
        </w:tc>
        <w:tc>
          <w:tcPr>
            <w:tcW w:w="2131" w:type="dxa"/>
            <w:tcBorders>
              <w:top w:val="nil"/>
              <w:left w:val="nil"/>
              <w:bottom w:val="nil"/>
              <w:right w:val="nil"/>
            </w:tcBorders>
            <w:vAlign w:val="center"/>
          </w:tcPr>
          <w:p w14:paraId="7169EBFA" w14:textId="77777777" w:rsidR="00D45CD8" w:rsidRPr="007F7EE4" w:rsidRDefault="00AC3F08">
            <w:pPr>
              <w:pStyle w:val="af8"/>
              <w:rPr>
                <w:sz w:val="15"/>
                <w:szCs w:val="15"/>
              </w:rPr>
            </w:pPr>
            <w:r w:rsidRPr="007F7EE4">
              <w:rPr>
                <w:rFonts w:cs="Times New Roman"/>
                <w:kern w:val="0"/>
                <w:sz w:val="15"/>
                <w:szCs w:val="15"/>
              </w:rPr>
              <w:t>(0.969)</w:t>
            </w:r>
          </w:p>
        </w:tc>
        <w:tc>
          <w:tcPr>
            <w:tcW w:w="2131" w:type="dxa"/>
            <w:tcBorders>
              <w:top w:val="nil"/>
              <w:left w:val="nil"/>
              <w:bottom w:val="nil"/>
              <w:right w:val="nil"/>
            </w:tcBorders>
            <w:vAlign w:val="center"/>
          </w:tcPr>
          <w:p w14:paraId="078EC971" w14:textId="77777777" w:rsidR="00D45CD8" w:rsidRPr="007F7EE4" w:rsidRDefault="00AC3F08">
            <w:pPr>
              <w:pStyle w:val="af8"/>
              <w:rPr>
                <w:sz w:val="15"/>
                <w:szCs w:val="15"/>
              </w:rPr>
            </w:pPr>
            <w:r w:rsidRPr="007F7EE4">
              <w:rPr>
                <w:rFonts w:cs="Times New Roman"/>
                <w:kern w:val="0"/>
                <w:sz w:val="15"/>
                <w:szCs w:val="15"/>
              </w:rPr>
              <w:t>(0.718)</w:t>
            </w:r>
          </w:p>
        </w:tc>
      </w:tr>
      <w:tr w:rsidR="007F7EE4" w:rsidRPr="007F7EE4" w14:paraId="7CCCF128" w14:textId="77777777">
        <w:tc>
          <w:tcPr>
            <w:tcW w:w="2130" w:type="dxa"/>
            <w:tcBorders>
              <w:top w:val="nil"/>
              <w:left w:val="nil"/>
              <w:bottom w:val="nil"/>
              <w:right w:val="nil"/>
            </w:tcBorders>
            <w:vAlign w:val="center"/>
          </w:tcPr>
          <w:p w14:paraId="2AB40040" w14:textId="77777777" w:rsidR="00D45CD8" w:rsidRPr="007F7EE4" w:rsidRDefault="00AC3F08">
            <w:pPr>
              <w:pStyle w:val="af8"/>
              <w:rPr>
                <w:sz w:val="15"/>
                <w:szCs w:val="15"/>
              </w:rPr>
            </w:pPr>
            <w:r w:rsidRPr="007F7EE4">
              <w:rPr>
                <w:rFonts w:cs="Times New Roman"/>
                <w:kern w:val="0"/>
                <w:sz w:val="15"/>
                <w:szCs w:val="15"/>
              </w:rPr>
              <w:t>_cons</w:t>
            </w:r>
          </w:p>
        </w:tc>
        <w:tc>
          <w:tcPr>
            <w:tcW w:w="2130" w:type="dxa"/>
            <w:tcBorders>
              <w:top w:val="nil"/>
              <w:left w:val="nil"/>
              <w:bottom w:val="nil"/>
              <w:right w:val="nil"/>
            </w:tcBorders>
            <w:vAlign w:val="center"/>
          </w:tcPr>
          <w:p w14:paraId="567A7416" w14:textId="77777777" w:rsidR="00D45CD8" w:rsidRPr="007F7EE4" w:rsidRDefault="00AC3F08">
            <w:pPr>
              <w:pStyle w:val="af8"/>
              <w:rPr>
                <w:sz w:val="15"/>
                <w:szCs w:val="15"/>
              </w:rPr>
            </w:pPr>
            <w:r w:rsidRPr="007F7EE4">
              <w:rPr>
                <w:rFonts w:cs="Times New Roman"/>
                <w:kern w:val="0"/>
                <w:sz w:val="15"/>
                <w:szCs w:val="15"/>
              </w:rPr>
              <w:t>1.972***</w:t>
            </w:r>
          </w:p>
        </w:tc>
        <w:tc>
          <w:tcPr>
            <w:tcW w:w="2131" w:type="dxa"/>
            <w:tcBorders>
              <w:top w:val="nil"/>
              <w:left w:val="nil"/>
              <w:bottom w:val="nil"/>
              <w:right w:val="nil"/>
            </w:tcBorders>
            <w:vAlign w:val="center"/>
          </w:tcPr>
          <w:p w14:paraId="32C44BDB" w14:textId="77777777" w:rsidR="00D45CD8" w:rsidRPr="007F7EE4" w:rsidRDefault="00AC3F08">
            <w:pPr>
              <w:pStyle w:val="af8"/>
              <w:rPr>
                <w:sz w:val="15"/>
                <w:szCs w:val="15"/>
              </w:rPr>
            </w:pPr>
            <w:r w:rsidRPr="007F7EE4">
              <w:rPr>
                <w:rFonts w:cs="Times New Roman"/>
                <w:kern w:val="0"/>
                <w:sz w:val="15"/>
                <w:szCs w:val="15"/>
              </w:rPr>
              <w:t>-8.613***</w:t>
            </w:r>
          </w:p>
        </w:tc>
        <w:tc>
          <w:tcPr>
            <w:tcW w:w="2131" w:type="dxa"/>
            <w:tcBorders>
              <w:top w:val="nil"/>
              <w:left w:val="nil"/>
              <w:bottom w:val="nil"/>
              <w:right w:val="nil"/>
            </w:tcBorders>
            <w:vAlign w:val="center"/>
          </w:tcPr>
          <w:p w14:paraId="2F9EDE8F" w14:textId="77777777" w:rsidR="00D45CD8" w:rsidRPr="007F7EE4" w:rsidRDefault="00AC3F08">
            <w:pPr>
              <w:pStyle w:val="af8"/>
              <w:rPr>
                <w:sz w:val="15"/>
                <w:szCs w:val="15"/>
              </w:rPr>
            </w:pPr>
            <w:r w:rsidRPr="007F7EE4">
              <w:rPr>
                <w:rFonts w:cs="Times New Roman"/>
                <w:kern w:val="0"/>
                <w:sz w:val="15"/>
                <w:szCs w:val="15"/>
              </w:rPr>
              <w:t>-6.363***</w:t>
            </w:r>
          </w:p>
        </w:tc>
      </w:tr>
      <w:tr w:rsidR="007F7EE4" w:rsidRPr="007F7EE4" w14:paraId="0C468402" w14:textId="77777777">
        <w:tc>
          <w:tcPr>
            <w:tcW w:w="2130" w:type="dxa"/>
            <w:tcBorders>
              <w:top w:val="nil"/>
              <w:left w:val="nil"/>
              <w:bottom w:val="nil"/>
              <w:right w:val="nil"/>
            </w:tcBorders>
            <w:vAlign w:val="center"/>
          </w:tcPr>
          <w:p w14:paraId="5D4C8A3C" w14:textId="77777777" w:rsidR="00D45CD8" w:rsidRPr="007F7EE4" w:rsidRDefault="00D45CD8">
            <w:pPr>
              <w:pStyle w:val="af8"/>
              <w:rPr>
                <w:sz w:val="15"/>
                <w:szCs w:val="15"/>
              </w:rPr>
            </w:pPr>
          </w:p>
        </w:tc>
        <w:tc>
          <w:tcPr>
            <w:tcW w:w="2130" w:type="dxa"/>
            <w:tcBorders>
              <w:top w:val="nil"/>
              <w:left w:val="nil"/>
              <w:bottom w:val="nil"/>
              <w:right w:val="nil"/>
            </w:tcBorders>
            <w:vAlign w:val="center"/>
          </w:tcPr>
          <w:p w14:paraId="5C5FFFA1" w14:textId="77777777" w:rsidR="00D45CD8" w:rsidRPr="007F7EE4" w:rsidRDefault="00AC3F08">
            <w:pPr>
              <w:pStyle w:val="af8"/>
              <w:rPr>
                <w:sz w:val="15"/>
                <w:szCs w:val="15"/>
              </w:rPr>
            </w:pPr>
            <w:r w:rsidRPr="007F7EE4">
              <w:rPr>
                <w:rFonts w:cs="Times New Roman"/>
                <w:kern w:val="0"/>
                <w:sz w:val="15"/>
                <w:szCs w:val="15"/>
              </w:rPr>
              <w:t>(0.040)</w:t>
            </w:r>
          </w:p>
        </w:tc>
        <w:tc>
          <w:tcPr>
            <w:tcW w:w="2131" w:type="dxa"/>
            <w:tcBorders>
              <w:top w:val="nil"/>
              <w:left w:val="nil"/>
              <w:bottom w:val="nil"/>
              <w:right w:val="nil"/>
            </w:tcBorders>
            <w:vAlign w:val="center"/>
          </w:tcPr>
          <w:p w14:paraId="69DEA98A" w14:textId="77777777" w:rsidR="00D45CD8" w:rsidRPr="007F7EE4" w:rsidRDefault="00AC3F08">
            <w:pPr>
              <w:pStyle w:val="af8"/>
              <w:rPr>
                <w:sz w:val="15"/>
                <w:szCs w:val="15"/>
              </w:rPr>
            </w:pPr>
            <w:r w:rsidRPr="007F7EE4">
              <w:rPr>
                <w:rFonts w:cs="Times New Roman"/>
                <w:kern w:val="0"/>
                <w:sz w:val="15"/>
                <w:szCs w:val="15"/>
              </w:rPr>
              <w:t>(1.889)</w:t>
            </w:r>
          </w:p>
        </w:tc>
        <w:tc>
          <w:tcPr>
            <w:tcW w:w="2131" w:type="dxa"/>
            <w:tcBorders>
              <w:top w:val="nil"/>
              <w:left w:val="nil"/>
              <w:bottom w:val="nil"/>
              <w:right w:val="nil"/>
            </w:tcBorders>
            <w:vAlign w:val="center"/>
          </w:tcPr>
          <w:p w14:paraId="1E1AFC1C" w14:textId="77777777" w:rsidR="00D45CD8" w:rsidRPr="007F7EE4" w:rsidRDefault="00AC3F08">
            <w:pPr>
              <w:pStyle w:val="af8"/>
              <w:rPr>
                <w:sz w:val="15"/>
                <w:szCs w:val="15"/>
              </w:rPr>
            </w:pPr>
            <w:r w:rsidRPr="007F7EE4">
              <w:rPr>
                <w:rFonts w:cs="Times New Roman"/>
                <w:kern w:val="0"/>
                <w:sz w:val="15"/>
                <w:szCs w:val="15"/>
              </w:rPr>
              <w:t>(1.399)</w:t>
            </w:r>
          </w:p>
        </w:tc>
      </w:tr>
      <w:tr w:rsidR="007F7EE4" w:rsidRPr="007F7EE4" w14:paraId="24BB1BC4" w14:textId="77777777" w:rsidTr="00364D74">
        <w:tc>
          <w:tcPr>
            <w:tcW w:w="2130" w:type="dxa"/>
            <w:tcBorders>
              <w:top w:val="nil"/>
              <w:left w:val="nil"/>
              <w:bottom w:val="nil"/>
              <w:right w:val="nil"/>
            </w:tcBorders>
            <w:vAlign w:val="center"/>
          </w:tcPr>
          <w:p w14:paraId="0842FF4C" w14:textId="77777777" w:rsidR="00A77404" w:rsidRPr="007F7EE4" w:rsidRDefault="00A77404">
            <w:pPr>
              <w:pStyle w:val="af8"/>
              <w:rPr>
                <w:sz w:val="15"/>
                <w:szCs w:val="15"/>
              </w:rPr>
            </w:pPr>
            <w:r w:rsidRPr="007F7EE4">
              <w:rPr>
                <w:rFonts w:cs="Times New Roman" w:hint="eastAsia"/>
                <w:kern w:val="0"/>
                <w:sz w:val="15"/>
                <w:szCs w:val="15"/>
              </w:rPr>
              <w:t>Controls</w:t>
            </w:r>
          </w:p>
        </w:tc>
        <w:tc>
          <w:tcPr>
            <w:tcW w:w="2130" w:type="dxa"/>
            <w:tcBorders>
              <w:top w:val="nil"/>
              <w:left w:val="nil"/>
              <w:bottom w:val="nil"/>
              <w:right w:val="nil"/>
            </w:tcBorders>
            <w:vAlign w:val="center"/>
          </w:tcPr>
          <w:p w14:paraId="0D48AD6D" w14:textId="77777777" w:rsidR="00A77404" w:rsidRPr="007F7EE4" w:rsidRDefault="00A77404">
            <w:pPr>
              <w:pStyle w:val="af8"/>
              <w:rPr>
                <w:rFonts w:cs="Times New Roman"/>
                <w:kern w:val="0"/>
                <w:sz w:val="15"/>
                <w:szCs w:val="15"/>
              </w:rPr>
            </w:pPr>
            <w:r w:rsidRPr="007F7EE4">
              <w:rPr>
                <w:rFonts w:cs="Times New Roman" w:hint="eastAsia"/>
                <w:kern w:val="0"/>
                <w:sz w:val="15"/>
                <w:szCs w:val="15"/>
              </w:rPr>
              <w:t>Yes</w:t>
            </w:r>
          </w:p>
        </w:tc>
        <w:tc>
          <w:tcPr>
            <w:tcW w:w="2131" w:type="dxa"/>
            <w:tcBorders>
              <w:top w:val="nil"/>
              <w:left w:val="nil"/>
              <w:bottom w:val="nil"/>
              <w:right w:val="nil"/>
            </w:tcBorders>
          </w:tcPr>
          <w:p w14:paraId="3831E585" w14:textId="77777777" w:rsidR="00A77404" w:rsidRPr="007F7EE4" w:rsidRDefault="00A77404">
            <w:pPr>
              <w:pStyle w:val="af8"/>
              <w:rPr>
                <w:rFonts w:cs="Times New Roman"/>
                <w:kern w:val="0"/>
                <w:sz w:val="15"/>
                <w:szCs w:val="15"/>
              </w:rPr>
            </w:pPr>
            <w:r w:rsidRPr="007F7EE4">
              <w:rPr>
                <w:rFonts w:cs="Times New Roman" w:hint="eastAsia"/>
                <w:kern w:val="0"/>
                <w:sz w:val="15"/>
                <w:szCs w:val="15"/>
              </w:rPr>
              <w:t>Yes</w:t>
            </w:r>
          </w:p>
        </w:tc>
        <w:tc>
          <w:tcPr>
            <w:tcW w:w="2131" w:type="dxa"/>
            <w:tcBorders>
              <w:top w:val="nil"/>
              <w:left w:val="nil"/>
              <w:bottom w:val="nil"/>
              <w:right w:val="nil"/>
            </w:tcBorders>
          </w:tcPr>
          <w:p w14:paraId="6D3EFE9F" w14:textId="77777777" w:rsidR="00A77404" w:rsidRPr="007F7EE4" w:rsidRDefault="00A77404">
            <w:pPr>
              <w:pStyle w:val="af8"/>
              <w:rPr>
                <w:rFonts w:cs="Times New Roman"/>
                <w:kern w:val="0"/>
                <w:sz w:val="15"/>
                <w:szCs w:val="15"/>
              </w:rPr>
            </w:pPr>
            <w:r w:rsidRPr="007F7EE4">
              <w:rPr>
                <w:rFonts w:cs="Times New Roman" w:hint="eastAsia"/>
                <w:kern w:val="0"/>
                <w:sz w:val="15"/>
                <w:szCs w:val="15"/>
              </w:rPr>
              <w:t>Yes</w:t>
            </w:r>
          </w:p>
        </w:tc>
      </w:tr>
      <w:tr w:rsidR="007F7EE4" w:rsidRPr="007F7EE4" w14:paraId="72BD7FCB" w14:textId="77777777">
        <w:tc>
          <w:tcPr>
            <w:tcW w:w="2130" w:type="dxa"/>
            <w:tcBorders>
              <w:top w:val="nil"/>
              <w:left w:val="nil"/>
              <w:bottom w:val="nil"/>
              <w:right w:val="nil"/>
            </w:tcBorders>
            <w:vAlign w:val="center"/>
          </w:tcPr>
          <w:p w14:paraId="3924E760" w14:textId="77777777" w:rsidR="00D45CD8" w:rsidRPr="007F7EE4" w:rsidRDefault="00AC3F08">
            <w:pPr>
              <w:pStyle w:val="af8"/>
              <w:rPr>
                <w:sz w:val="15"/>
                <w:szCs w:val="15"/>
              </w:rPr>
            </w:pPr>
            <w:r w:rsidRPr="007F7EE4">
              <w:rPr>
                <w:rFonts w:cs="Times New Roman"/>
                <w:kern w:val="0"/>
                <w:sz w:val="15"/>
                <w:szCs w:val="15"/>
              </w:rPr>
              <w:t>Industry FE</w:t>
            </w:r>
          </w:p>
        </w:tc>
        <w:tc>
          <w:tcPr>
            <w:tcW w:w="2130" w:type="dxa"/>
            <w:tcBorders>
              <w:top w:val="nil"/>
              <w:left w:val="nil"/>
              <w:bottom w:val="nil"/>
              <w:right w:val="nil"/>
            </w:tcBorders>
            <w:vAlign w:val="center"/>
          </w:tcPr>
          <w:p w14:paraId="57CD180E" w14:textId="77777777" w:rsidR="00D45CD8" w:rsidRPr="007F7EE4" w:rsidRDefault="00AC3F08">
            <w:pPr>
              <w:pStyle w:val="af8"/>
              <w:rPr>
                <w:sz w:val="15"/>
                <w:szCs w:val="15"/>
              </w:rPr>
            </w:pPr>
            <w:r w:rsidRPr="007F7EE4">
              <w:rPr>
                <w:rFonts w:cs="Times New Roman"/>
                <w:kern w:val="0"/>
                <w:sz w:val="15"/>
                <w:szCs w:val="15"/>
              </w:rPr>
              <w:t>Yes</w:t>
            </w:r>
          </w:p>
        </w:tc>
        <w:tc>
          <w:tcPr>
            <w:tcW w:w="2131" w:type="dxa"/>
            <w:tcBorders>
              <w:top w:val="nil"/>
              <w:left w:val="nil"/>
              <w:bottom w:val="nil"/>
              <w:right w:val="nil"/>
            </w:tcBorders>
            <w:vAlign w:val="center"/>
          </w:tcPr>
          <w:p w14:paraId="7220A42E" w14:textId="77777777" w:rsidR="00D45CD8" w:rsidRPr="007F7EE4" w:rsidRDefault="00AC3F08">
            <w:pPr>
              <w:pStyle w:val="af8"/>
              <w:rPr>
                <w:sz w:val="15"/>
                <w:szCs w:val="15"/>
              </w:rPr>
            </w:pPr>
            <w:r w:rsidRPr="007F7EE4">
              <w:rPr>
                <w:rFonts w:cs="Times New Roman"/>
                <w:kern w:val="0"/>
                <w:sz w:val="15"/>
                <w:szCs w:val="15"/>
              </w:rPr>
              <w:t>Yes</w:t>
            </w:r>
          </w:p>
        </w:tc>
        <w:tc>
          <w:tcPr>
            <w:tcW w:w="2131" w:type="dxa"/>
            <w:tcBorders>
              <w:top w:val="nil"/>
              <w:left w:val="nil"/>
              <w:bottom w:val="nil"/>
              <w:right w:val="nil"/>
            </w:tcBorders>
            <w:vAlign w:val="center"/>
          </w:tcPr>
          <w:p w14:paraId="69476368" w14:textId="77777777" w:rsidR="00D45CD8" w:rsidRPr="007F7EE4" w:rsidRDefault="00AC3F08">
            <w:pPr>
              <w:pStyle w:val="af8"/>
              <w:rPr>
                <w:sz w:val="15"/>
                <w:szCs w:val="15"/>
              </w:rPr>
            </w:pPr>
            <w:r w:rsidRPr="007F7EE4">
              <w:rPr>
                <w:rFonts w:cs="Times New Roman"/>
                <w:kern w:val="0"/>
                <w:sz w:val="15"/>
                <w:szCs w:val="15"/>
              </w:rPr>
              <w:t>Yes</w:t>
            </w:r>
          </w:p>
        </w:tc>
      </w:tr>
      <w:tr w:rsidR="007F7EE4" w:rsidRPr="007F7EE4" w14:paraId="48399510" w14:textId="77777777">
        <w:tc>
          <w:tcPr>
            <w:tcW w:w="2130" w:type="dxa"/>
            <w:tcBorders>
              <w:top w:val="nil"/>
              <w:left w:val="nil"/>
              <w:bottom w:val="nil"/>
              <w:right w:val="nil"/>
            </w:tcBorders>
            <w:vAlign w:val="center"/>
          </w:tcPr>
          <w:p w14:paraId="6ADC87FA" w14:textId="77777777" w:rsidR="00D45CD8" w:rsidRPr="007F7EE4" w:rsidRDefault="00AC3F08">
            <w:pPr>
              <w:pStyle w:val="af8"/>
              <w:rPr>
                <w:sz w:val="15"/>
                <w:szCs w:val="15"/>
              </w:rPr>
            </w:pPr>
            <w:r w:rsidRPr="007F7EE4">
              <w:rPr>
                <w:rFonts w:cs="Times New Roman"/>
                <w:kern w:val="0"/>
                <w:sz w:val="15"/>
                <w:szCs w:val="15"/>
              </w:rPr>
              <w:t>Year FE</w:t>
            </w:r>
          </w:p>
        </w:tc>
        <w:tc>
          <w:tcPr>
            <w:tcW w:w="2130" w:type="dxa"/>
            <w:tcBorders>
              <w:top w:val="nil"/>
              <w:left w:val="nil"/>
              <w:bottom w:val="nil"/>
              <w:right w:val="nil"/>
            </w:tcBorders>
            <w:vAlign w:val="center"/>
          </w:tcPr>
          <w:p w14:paraId="29597E21" w14:textId="77777777" w:rsidR="00D45CD8" w:rsidRPr="007F7EE4" w:rsidRDefault="00AC3F08">
            <w:pPr>
              <w:pStyle w:val="af8"/>
              <w:rPr>
                <w:sz w:val="15"/>
                <w:szCs w:val="15"/>
              </w:rPr>
            </w:pPr>
            <w:r w:rsidRPr="007F7EE4">
              <w:rPr>
                <w:rFonts w:cs="Times New Roman"/>
                <w:kern w:val="0"/>
                <w:sz w:val="15"/>
                <w:szCs w:val="15"/>
              </w:rPr>
              <w:t>Yes</w:t>
            </w:r>
          </w:p>
        </w:tc>
        <w:tc>
          <w:tcPr>
            <w:tcW w:w="2131" w:type="dxa"/>
            <w:tcBorders>
              <w:top w:val="nil"/>
              <w:left w:val="nil"/>
              <w:bottom w:val="nil"/>
              <w:right w:val="nil"/>
            </w:tcBorders>
            <w:vAlign w:val="center"/>
          </w:tcPr>
          <w:p w14:paraId="694878A6" w14:textId="77777777" w:rsidR="00D45CD8" w:rsidRPr="007F7EE4" w:rsidRDefault="00AC3F08">
            <w:pPr>
              <w:pStyle w:val="af8"/>
              <w:rPr>
                <w:sz w:val="15"/>
                <w:szCs w:val="15"/>
              </w:rPr>
            </w:pPr>
            <w:r w:rsidRPr="007F7EE4">
              <w:rPr>
                <w:rFonts w:cs="Times New Roman"/>
                <w:kern w:val="0"/>
                <w:sz w:val="15"/>
                <w:szCs w:val="15"/>
              </w:rPr>
              <w:t>Yes</w:t>
            </w:r>
          </w:p>
        </w:tc>
        <w:tc>
          <w:tcPr>
            <w:tcW w:w="2131" w:type="dxa"/>
            <w:tcBorders>
              <w:top w:val="nil"/>
              <w:left w:val="nil"/>
              <w:bottom w:val="nil"/>
              <w:right w:val="nil"/>
            </w:tcBorders>
            <w:vAlign w:val="center"/>
          </w:tcPr>
          <w:p w14:paraId="1C496F25" w14:textId="77777777" w:rsidR="00D45CD8" w:rsidRPr="007F7EE4" w:rsidRDefault="00AC3F08">
            <w:pPr>
              <w:pStyle w:val="af8"/>
              <w:rPr>
                <w:sz w:val="15"/>
                <w:szCs w:val="15"/>
              </w:rPr>
            </w:pPr>
            <w:r w:rsidRPr="007F7EE4">
              <w:rPr>
                <w:rFonts w:cs="Times New Roman"/>
                <w:kern w:val="0"/>
                <w:sz w:val="15"/>
                <w:szCs w:val="15"/>
              </w:rPr>
              <w:t>Yes</w:t>
            </w:r>
          </w:p>
        </w:tc>
      </w:tr>
      <w:tr w:rsidR="007F7EE4" w:rsidRPr="007F7EE4" w14:paraId="3B5199A2" w14:textId="77777777">
        <w:tc>
          <w:tcPr>
            <w:tcW w:w="2130" w:type="dxa"/>
            <w:tcBorders>
              <w:top w:val="single" w:sz="4" w:space="0" w:color="auto"/>
              <w:left w:val="nil"/>
              <w:right w:val="nil"/>
            </w:tcBorders>
            <w:vAlign w:val="center"/>
          </w:tcPr>
          <w:p w14:paraId="6418709C" w14:textId="77777777" w:rsidR="00D45CD8" w:rsidRPr="007F7EE4" w:rsidRDefault="00AC3F08">
            <w:pPr>
              <w:pStyle w:val="af8"/>
              <w:rPr>
                <w:sz w:val="15"/>
                <w:szCs w:val="15"/>
              </w:rPr>
            </w:pPr>
            <w:r w:rsidRPr="007F7EE4">
              <w:rPr>
                <w:sz w:val="15"/>
                <w:szCs w:val="15"/>
              </w:rPr>
              <w:t>N</w:t>
            </w:r>
          </w:p>
        </w:tc>
        <w:tc>
          <w:tcPr>
            <w:tcW w:w="2130" w:type="dxa"/>
            <w:tcBorders>
              <w:top w:val="single" w:sz="4" w:space="0" w:color="auto"/>
              <w:left w:val="nil"/>
              <w:right w:val="nil"/>
            </w:tcBorders>
            <w:vAlign w:val="center"/>
          </w:tcPr>
          <w:p w14:paraId="18A4FCCC" w14:textId="77777777" w:rsidR="00D45CD8" w:rsidRPr="007F7EE4" w:rsidRDefault="00AC3F08">
            <w:pPr>
              <w:pStyle w:val="af8"/>
              <w:rPr>
                <w:sz w:val="15"/>
                <w:szCs w:val="15"/>
              </w:rPr>
            </w:pPr>
            <w:r w:rsidRPr="007F7EE4">
              <w:rPr>
                <w:sz w:val="15"/>
                <w:szCs w:val="15"/>
              </w:rPr>
              <w:t>22417</w:t>
            </w:r>
          </w:p>
        </w:tc>
        <w:tc>
          <w:tcPr>
            <w:tcW w:w="2131" w:type="dxa"/>
            <w:tcBorders>
              <w:top w:val="single" w:sz="4" w:space="0" w:color="auto"/>
              <w:left w:val="nil"/>
              <w:right w:val="nil"/>
            </w:tcBorders>
            <w:vAlign w:val="center"/>
          </w:tcPr>
          <w:p w14:paraId="0C82D5B6" w14:textId="77777777" w:rsidR="00D45CD8" w:rsidRPr="007F7EE4" w:rsidRDefault="00AC3F08">
            <w:pPr>
              <w:pStyle w:val="af8"/>
              <w:rPr>
                <w:sz w:val="15"/>
                <w:szCs w:val="15"/>
              </w:rPr>
            </w:pPr>
            <w:r w:rsidRPr="007F7EE4">
              <w:rPr>
                <w:sz w:val="15"/>
                <w:szCs w:val="15"/>
              </w:rPr>
              <w:t>22417</w:t>
            </w:r>
          </w:p>
        </w:tc>
        <w:tc>
          <w:tcPr>
            <w:tcW w:w="2131" w:type="dxa"/>
            <w:tcBorders>
              <w:top w:val="single" w:sz="4" w:space="0" w:color="auto"/>
              <w:left w:val="nil"/>
              <w:right w:val="nil"/>
            </w:tcBorders>
            <w:vAlign w:val="center"/>
          </w:tcPr>
          <w:p w14:paraId="124D520E" w14:textId="77777777" w:rsidR="00D45CD8" w:rsidRPr="007F7EE4" w:rsidRDefault="00AC3F08">
            <w:pPr>
              <w:pStyle w:val="af8"/>
              <w:rPr>
                <w:sz w:val="15"/>
                <w:szCs w:val="15"/>
              </w:rPr>
            </w:pPr>
            <w:r w:rsidRPr="007F7EE4">
              <w:rPr>
                <w:sz w:val="15"/>
                <w:szCs w:val="15"/>
              </w:rPr>
              <w:t>22417</w:t>
            </w:r>
          </w:p>
        </w:tc>
      </w:tr>
      <w:tr w:rsidR="00D45CD8" w:rsidRPr="007F7EE4" w14:paraId="30B9AF5A" w14:textId="77777777">
        <w:tc>
          <w:tcPr>
            <w:tcW w:w="2130" w:type="dxa"/>
            <w:tcBorders>
              <w:top w:val="nil"/>
              <w:left w:val="nil"/>
              <w:bottom w:val="single" w:sz="4" w:space="0" w:color="auto"/>
              <w:right w:val="nil"/>
            </w:tcBorders>
            <w:vAlign w:val="center"/>
          </w:tcPr>
          <w:p w14:paraId="447FBEAF" w14:textId="77777777" w:rsidR="00D45CD8" w:rsidRPr="007F7EE4" w:rsidRDefault="00AC3F08">
            <w:pPr>
              <w:pStyle w:val="af8"/>
              <w:rPr>
                <w:sz w:val="15"/>
                <w:szCs w:val="15"/>
              </w:rPr>
            </w:pPr>
            <w:r w:rsidRPr="007F7EE4">
              <w:rPr>
                <w:sz w:val="15"/>
                <w:szCs w:val="15"/>
              </w:rPr>
              <w:t>r2_a</w:t>
            </w:r>
          </w:p>
        </w:tc>
        <w:tc>
          <w:tcPr>
            <w:tcW w:w="2130" w:type="dxa"/>
            <w:tcBorders>
              <w:top w:val="nil"/>
              <w:left w:val="nil"/>
              <w:bottom w:val="single" w:sz="4" w:space="0" w:color="auto"/>
              <w:right w:val="nil"/>
            </w:tcBorders>
            <w:vAlign w:val="center"/>
          </w:tcPr>
          <w:p w14:paraId="73C30973" w14:textId="77777777" w:rsidR="00D45CD8" w:rsidRPr="007F7EE4" w:rsidRDefault="00AC3F08">
            <w:pPr>
              <w:pStyle w:val="af8"/>
              <w:rPr>
                <w:sz w:val="15"/>
                <w:szCs w:val="15"/>
              </w:rPr>
            </w:pPr>
            <w:r w:rsidRPr="007F7EE4">
              <w:rPr>
                <w:rFonts w:cs="Times New Roman"/>
                <w:kern w:val="0"/>
                <w:sz w:val="15"/>
                <w:szCs w:val="15"/>
              </w:rPr>
              <w:t>0.426</w:t>
            </w:r>
          </w:p>
        </w:tc>
        <w:tc>
          <w:tcPr>
            <w:tcW w:w="2131" w:type="dxa"/>
            <w:tcBorders>
              <w:top w:val="nil"/>
              <w:left w:val="nil"/>
              <w:bottom w:val="single" w:sz="4" w:space="0" w:color="auto"/>
              <w:right w:val="nil"/>
            </w:tcBorders>
            <w:vAlign w:val="center"/>
          </w:tcPr>
          <w:p w14:paraId="1C4E84BB" w14:textId="77777777" w:rsidR="00D45CD8" w:rsidRPr="007F7EE4" w:rsidRDefault="00AC3F08">
            <w:pPr>
              <w:pStyle w:val="af8"/>
              <w:rPr>
                <w:sz w:val="15"/>
                <w:szCs w:val="15"/>
              </w:rPr>
            </w:pPr>
            <w:r w:rsidRPr="007F7EE4">
              <w:rPr>
                <w:rFonts w:cs="Times New Roman"/>
                <w:kern w:val="0"/>
                <w:sz w:val="15"/>
                <w:szCs w:val="15"/>
              </w:rPr>
              <w:t>-1.769</w:t>
            </w:r>
          </w:p>
        </w:tc>
        <w:tc>
          <w:tcPr>
            <w:tcW w:w="2131" w:type="dxa"/>
            <w:tcBorders>
              <w:top w:val="nil"/>
              <w:left w:val="nil"/>
              <w:bottom w:val="single" w:sz="4" w:space="0" w:color="auto"/>
              <w:right w:val="nil"/>
            </w:tcBorders>
            <w:vAlign w:val="center"/>
          </w:tcPr>
          <w:p w14:paraId="0B46A878" w14:textId="77777777" w:rsidR="00D45CD8" w:rsidRPr="007F7EE4" w:rsidRDefault="00AC3F08">
            <w:pPr>
              <w:pStyle w:val="af8"/>
              <w:rPr>
                <w:sz w:val="15"/>
                <w:szCs w:val="15"/>
              </w:rPr>
            </w:pPr>
            <w:r w:rsidRPr="007F7EE4">
              <w:rPr>
                <w:rFonts w:cs="Times New Roman"/>
                <w:kern w:val="0"/>
                <w:sz w:val="15"/>
                <w:szCs w:val="15"/>
              </w:rPr>
              <w:t>-0.983</w:t>
            </w:r>
          </w:p>
        </w:tc>
      </w:tr>
    </w:tbl>
    <w:p w14:paraId="5E88EC88" w14:textId="77777777" w:rsidR="00D45CD8" w:rsidRPr="007F7EE4" w:rsidRDefault="00D45CD8">
      <w:pPr>
        <w:pStyle w:val="af6"/>
      </w:pPr>
    </w:p>
    <w:p w14:paraId="45E6F945" w14:textId="77777777" w:rsidR="00D45CD8" w:rsidRPr="007F7EE4" w:rsidRDefault="00D45CD8">
      <w:pPr>
        <w:ind w:firstLine="420"/>
      </w:pPr>
    </w:p>
    <w:p w14:paraId="48F59A11" w14:textId="77777777" w:rsidR="00D45CD8" w:rsidRPr="007F7EE4" w:rsidRDefault="00AC3F08">
      <w:pPr>
        <w:pStyle w:val="1"/>
        <w:jc w:val="center"/>
        <w:rPr>
          <w:b/>
        </w:rPr>
      </w:pPr>
      <w:r w:rsidRPr="007F7EE4">
        <w:rPr>
          <w:rFonts w:hint="eastAsia"/>
          <w:b/>
        </w:rPr>
        <w:t>五、进一步分析</w:t>
      </w:r>
    </w:p>
    <w:p w14:paraId="11245B64" w14:textId="77777777" w:rsidR="00D45CD8" w:rsidRPr="007F7EE4" w:rsidRDefault="00AC3F08">
      <w:pPr>
        <w:pStyle w:val="2"/>
      </w:pPr>
      <w:r w:rsidRPr="007F7EE4">
        <w:rPr>
          <w:rFonts w:hint="eastAsia"/>
        </w:rPr>
        <w:t>（一）企业社会责任分维度对企业绿色技术创新绩效的影响</w:t>
      </w:r>
    </w:p>
    <w:p w14:paraId="3AD2BD4E" w14:textId="77777777" w:rsidR="00D45CD8" w:rsidRPr="007F7EE4" w:rsidRDefault="00AC3F08">
      <w:pPr>
        <w:pStyle w:val="af6"/>
        <w:ind w:firstLineChars="200" w:firstLine="420"/>
        <w:jc w:val="left"/>
        <w:rPr>
          <w:rFonts w:ascii="宋体" w:eastAsia="宋体" w:hAnsi="宋体"/>
        </w:rPr>
      </w:pPr>
      <w:r w:rsidRPr="007F7EE4">
        <w:rPr>
          <w:rFonts w:ascii="宋体" w:eastAsia="宋体" w:hAnsi="宋体"/>
        </w:rPr>
        <w:t>本文采用变量替代方法对企业社会责任指标予以替代，基于和讯网对不同利益相关方的评级结果，分为股东责任、员工责任、供应商、客户责任以及社会</w:t>
      </w:r>
      <w:r w:rsidRPr="007F7EE4">
        <w:rPr>
          <w:rFonts w:ascii="宋体" w:eastAsia="宋体" w:hAnsi="宋体" w:hint="eastAsia"/>
        </w:rPr>
        <w:t>、</w:t>
      </w:r>
      <w:r w:rsidRPr="007F7EE4">
        <w:rPr>
          <w:rFonts w:ascii="宋体" w:eastAsia="宋体" w:hAnsi="宋体"/>
        </w:rPr>
        <w:t>环境责任等多个维度，进一步考察企业社会责任不同维度</w:t>
      </w:r>
      <w:r w:rsidRPr="007F7EE4">
        <w:rPr>
          <w:rFonts w:ascii="宋体" w:eastAsia="宋体" w:hAnsi="宋体" w:hint="eastAsia"/>
        </w:rPr>
        <w:t>对</w:t>
      </w:r>
      <w:r w:rsidRPr="007F7EE4">
        <w:rPr>
          <w:rFonts w:ascii="宋体" w:eastAsia="宋体" w:hAnsi="宋体"/>
        </w:rPr>
        <w:t>企业绿色技术创新绩效的影响结果，基于表</w:t>
      </w:r>
      <w:r w:rsidRPr="007F7EE4">
        <w:rPr>
          <w:rFonts w:ascii="宋体" w:eastAsia="宋体" w:hAnsi="宋体" w:hint="eastAsia"/>
        </w:rPr>
        <w:t>9的回归结果表明，企业对利益相关方各个维度中，股东责任、员工责任、供应商与消费者责任、环境</w:t>
      </w:r>
      <w:r w:rsidRPr="007F7EE4">
        <w:rPr>
          <w:rFonts w:ascii="宋体" w:eastAsia="宋体" w:hAnsi="宋体" w:hint="eastAsia"/>
        </w:rPr>
        <w:lastRenderedPageBreak/>
        <w:t>责任分别对企业绿色技术创新产生显著的促进效应，说明本文研究结果进一步稳健，且不同利益相关方责任导向对企业绿色技术创新的影响程度具有差异性，主要是社会慈善责任对企业绿色技术创新绩效具有显著的负向效应，潜在的原因可能在于企业开展面向社会慈善议题的社会责任实践可能导致对企业开展绿色技术创新投入的资源挤占，最终产生对企业绿色技术创新的负向效应。</w:t>
      </w:r>
    </w:p>
    <w:p w14:paraId="41B53918" w14:textId="77777777" w:rsidR="00D45CD8" w:rsidRPr="007F7EE4" w:rsidRDefault="00AC3F08">
      <w:pPr>
        <w:pStyle w:val="TableCHeading"/>
        <w:numPr>
          <w:ilvl w:val="0"/>
          <w:numId w:val="0"/>
        </w:numPr>
        <w:rPr>
          <w:rFonts w:ascii="宋体" w:hAnsi="宋体"/>
          <w:bCs w:val="0"/>
          <w:szCs w:val="18"/>
        </w:rPr>
      </w:pPr>
      <w:r w:rsidRPr="007F7EE4">
        <w:rPr>
          <w:rFonts w:ascii="宋体" w:eastAsia="宋体" w:hAnsi="宋体" w:hint="eastAsia"/>
        </w:rPr>
        <w:t>表9 企业社会责任分维度对企业绿色技术创新绩效的影响结果</w:t>
      </w:r>
    </w:p>
    <w:p w14:paraId="605C2CCD" w14:textId="77777777" w:rsidR="00D45CD8" w:rsidRPr="007F7EE4" w:rsidRDefault="00D45CD8">
      <w:pPr>
        <w:pStyle w:val="TableEHeading"/>
        <w:numPr>
          <w:ilvl w:val="0"/>
          <w:numId w:val="0"/>
        </w:numPr>
      </w:pPr>
    </w:p>
    <w:tbl>
      <w:tblPr>
        <w:tblW w:w="8671" w:type="dxa"/>
        <w:tblLayout w:type="fixed"/>
        <w:tblLook w:val="04A0" w:firstRow="1" w:lastRow="0" w:firstColumn="1" w:lastColumn="0" w:noHBand="0" w:noVBand="1"/>
      </w:tblPr>
      <w:tblGrid>
        <w:gridCol w:w="1266"/>
        <w:gridCol w:w="1481"/>
        <w:gridCol w:w="1481"/>
        <w:gridCol w:w="1481"/>
        <w:gridCol w:w="1481"/>
        <w:gridCol w:w="1481"/>
      </w:tblGrid>
      <w:tr w:rsidR="007F7EE4" w:rsidRPr="007F7EE4" w14:paraId="5B5CE00C" w14:textId="77777777">
        <w:trPr>
          <w:trHeight w:val="294"/>
        </w:trPr>
        <w:tc>
          <w:tcPr>
            <w:tcW w:w="1266" w:type="dxa"/>
            <w:tcBorders>
              <w:top w:val="single" w:sz="4" w:space="0" w:color="auto"/>
              <w:left w:val="nil"/>
              <w:bottom w:val="nil"/>
              <w:right w:val="nil"/>
            </w:tcBorders>
            <w:vAlign w:val="center"/>
          </w:tcPr>
          <w:p w14:paraId="4B2FA191" w14:textId="77777777" w:rsidR="00D45CD8" w:rsidRPr="007F7EE4" w:rsidRDefault="00D45CD8">
            <w:pPr>
              <w:pStyle w:val="af6"/>
              <w:rPr>
                <w:rFonts w:ascii="宋体" w:eastAsia="宋体" w:hAnsi="宋体" w:cs="Times New Roman"/>
                <w:sz w:val="15"/>
                <w:szCs w:val="15"/>
              </w:rPr>
            </w:pPr>
          </w:p>
        </w:tc>
        <w:tc>
          <w:tcPr>
            <w:tcW w:w="1481" w:type="dxa"/>
            <w:tcBorders>
              <w:top w:val="single" w:sz="4" w:space="0" w:color="auto"/>
              <w:left w:val="nil"/>
              <w:bottom w:val="nil"/>
              <w:right w:val="nil"/>
            </w:tcBorders>
            <w:vAlign w:val="center"/>
          </w:tcPr>
          <w:p w14:paraId="7D56237F" w14:textId="77777777" w:rsidR="00D45CD8" w:rsidRPr="007F7EE4" w:rsidRDefault="00AC3F08">
            <w:pPr>
              <w:pStyle w:val="af6"/>
              <w:rPr>
                <w:rFonts w:ascii="宋体" w:eastAsia="宋体" w:hAnsi="宋体" w:cs="Times New Roman"/>
                <w:sz w:val="15"/>
                <w:szCs w:val="15"/>
              </w:rPr>
            </w:pPr>
            <w:r w:rsidRPr="007F7EE4">
              <w:rPr>
                <w:rFonts w:ascii="宋体" w:eastAsia="宋体" w:hAnsi="宋体" w:cs="Times New Roman"/>
                <w:sz w:val="15"/>
                <w:szCs w:val="15"/>
              </w:rPr>
              <w:t>(1)</w:t>
            </w:r>
          </w:p>
        </w:tc>
        <w:tc>
          <w:tcPr>
            <w:tcW w:w="1481" w:type="dxa"/>
            <w:tcBorders>
              <w:top w:val="single" w:sz="4" w:space="0" w:color="auto"/>
              <w:left w:val="nil"/>
              <w:bottom w:val="nil"/>
              <w:right w:val="nil"/>
            </w:tcBorders>
            <w:vAlign w:val="center"/>
          </w:tcPr>
          <w:p w14:paraId="6C9CA796" w14:textId="77777777" w:rsidR="00D45CD8" w:rsidRPr="007F7EE4" w:rsidRDefault="00AC3F08">
            <w:pPr>
              <w:pStyle w:val="af6"/>
              <w:rPr>
                <w:rFonts w:ascii="宋体" w:eastAsia="宋体" w:hAnsi="宋体" w:cs="Times New Roman"/>
                <w:sz w:val="15"/>
                <w:szCs w:val="15"/>
              </w:rPr>
            </w:pPr>
            <w:r w:rsidRPr="007F7EE4">
              <w:rPr>
                <w:rFonts w:ascii="宋体" w:eastAsia="宋体" w:hAnsi="宋体" w:cs="Times New Roman"/>
                <w:sz w:val="15"/>
                <w:szCs w:val="15"/>
              </w:rPr>
              <w:t>(2)</w:t>
            </w:r>
          </w:p>
        </w:tc>
        <w:tc>
          <w:tcPr>
            <w:tcW w:w="1481" w:type="dxa"/>
            <w:tcBorders>
              <w:top w:val="single" w:sz="4" w:space="0" w:color="auto"/>
              <w:left w:val="nil"/>
              <w:bottom w:val="nil"/>
              <w:right w:val="nil"/>
            </w:tcBorders>
            <w:vAlign w:val="center"/>
          </w:tcPr>
          <w:p w14:paraId="50D6076C" w14:textId="77777777" w:rsidR="00D45CD8" w:rsidRPr="007F7EE4" w:rsidRDefault="00AC3F08">
            <w:pPr>
              <w:pStyle w:val="af6"/>
              <w:rPr>
                <w:rFonts w:ascii="宋体" w:eastAsia="宋体" w:hAnsi="宋体" w:cs="Times New Roman"/>
                <w:sz w:val="15"/>
                <w:szCs w:val="15"/>
              </w:rPr>
            </w:pPr>
            <w:r w:rsidRPr="007F7EE4">
              <w:rPr>
                <w:rFonts w:ascii="宋体" w:eastAsia="宋体" w:hAnsi="宋体" w:cs="Times New Roman"/>
                <w:sz w:val="15"/>
                <w:szCs w:val="15"/>
              </w:rPr>
              <w:t>(3)</w:t>
            </w:r>
          </w:p>
        </w:tc>
        <w:tc>
          <w:tcPr>
            <w:tcW w:w="1481" w:type="dxa"/>
            <w:tcBorders>
              <w:top w:val="single" w:sz="4" w:space="0" w:color="auto"/>
              <w:left w:val="nil"/>
              <w:bottom w:val="nil"/>
              <w:right w:val="nil"/>
            </w:tcBorders>
            <w:vAlign w:val="center"/>
          </w:tcPr>
          <w:p w14:paraId="3DE7A3A9" w14:textId="77777777" w:rsidR="00D45CD8" w:rsidRPr="007F7EE4" w:rsidRDefault="00AC3F08">
            <w:pPr>
              <w:pStyle w:val="af6"/>
              <w:rPr>
                <w:rFonts w:ascii="宋体" w:eastAsia="宋体" w:hAnsi="宋体" w:cs="Times New Roman"/>
                <w:sz w:val="15"/>
                <w:szCs w:val="15"/>
              </w:rPr>
            </w:pPr>
            <w:r w:rsidRPr="007F7EE4">
              <w:rPr>
                <w:rFonts w:ascii="宋体" w:eastAsia="宋体" w:hAnsi="宋体" w:cs="Times New Roman"/>
                <w:sz w:val="15"/>
                <w:szCs w:val="15"/>
              </w:rPr>
              <w:t>(4)</w:t>
            </w:r>
          </w:p>
        </w:tc>
        <w:tc>
          <w:tcPr>
            <w:tcW w:w="1481" w:type="dxa"/>
            <w:tcBorders>
              <w:top w:val="single" w:sz="4" w:space="0" w:color="auto"/>
              <w:left w:val="nil"/>
              <w:bottom w:val="nil"/>
              <w:right w:val="nil"/>
            </w:tcBorders>
            <w:vAlign w:val="center"/>
          </w:tcPr>
          <w:p w14:paraId="7A7E53AC" w14:textId="77777777" w:rsidR="00D45CD8" w:rsidRPr="007F7EE4" w:rsidRDefault="00AC3F08">
            <w:pPr>
              <w:pStyle w:val="af6"/>
              <w:rPr>
                <w:rFonts w:ascii="宋体" w:eastAsia="宋体" w:hAnsi="宋体" w:cs="Times New Roman"/>
                <w:sz w:val="15"/>
                <w:szCs w:val="15"/>
              </w:rPr>
            </w:pPr>
            <w:r w:rsidRPr="007F7EE4">
              <w:rPr>
                <w:rFonts w:ascii="宋体" w:eastAsia="宋体" w:hAnsi="宋体" w:cs="Times New Roman"/>
                <w:sz w:val="15"/>
                <w:szCs w:val="15"/>
              </w:rPr>
              <w:t>(5)</w:t>
            </w:r>
          </w:p>
        </w:tc>
      </w:tr>
      <w:tr w:rsidR="007F7EE4" w:rsidRPr="007F7EE4" w14:paraId="086880B9" w14:textId="77777777">
        <w:trPr>
          <w:trHeight w:val="510"/>
        </w:trPr>
        <w:tc>
          <w:tcPr>
            <w:tcW w:w="1266" w:type="dxa"/>
            <w:tcBorders>
              <w:top w:val="nil"/>
              <w:left w:val="nil"/>
              <w:bottom w:val="nil"/>
              <w:right w:val="nil"/>
            </w:tcBorders>
            <w:vAlign w:val="center"/>
          </w:tcPr>
          <w:p w14:paraId="150C2239" w14:textId="77777777" w:rsidR="00D45CD8" w:rsidRPr="007F7EE4" w:rsidRDefault="00D45CD8">
            <w:pPr>
              <w:autoSpaceDE w:val="0"/>
              <w:autoSpaceDN w:val="0"/>
              <w:adjustRightInd w:val="0"/>
              <w:ind w:firstLineChars="0" w:firstLine="0"/>
              <w:jc w:val="center"/>
              <w:rPr>
                <w:rFonts w:cs="Times New Roman"/>
                <w:kern w:val="0"/>
                <w:sz w:val="15"/>
                <w:szCs w:val="15"/>
              </w:rPr>
            </w:pPr>
          </w:p>
        </w:tc>
        <w:tc>
          <w:tcPr>
            <w:tcW w:w="1481" w:type="dxa"/>
            <w:tcBorders>
              <w:top w:val="nil"/>
              <w:left w:val="nil"/>
              <w:bottom w:val="nil"/>
              <w:right w:val="nil"/>
            </w:tcBorders>
            <w:vAlign w:val="center"/>
          </w:tcPr>
          <w:p w14:paraId="0D89B3D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股东责任</w:t>
            </w:r>
          </w:p>
        </w:tc>
        <w:tc>
          <w:tcPr>
            <w:tcW w:w="1481" w:type="dxa"/>
            <w:tcBorders>
              <w:top w:val="nil"/>
              <w:left w:val="nil"/>
              <w:bottom w:val="nil"/>
              <w:right w:val="nil"/>
            </w:tcBorders>
            <w:vAlign w:val="center"/>
          </w:tcPr>
          <w:p w14:paraId="76C4C50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员工责任</w:t>
            </w:r>
          </w:p>
        </w:tc>
        <w:tc>
          <w:tcPr>
            <w:tcW w:w="1481" w:type="dxa"/>
            <w:tcBorders>
              <w:top w:val="nil"/>
              <w:left w:val="nil"/>
              <w:bottom w:val="nil"/>
              <w:right w:val="nil"/>
            </w:tcBorders>
            <w:vAlign w:val="center"/>
          </w:tcPr>
          <w:p w14:paraId="75C75E6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供应商与消费者责任</w:t>
            </w:r>
          </w:p>
        </w:tc>
        <w:tc>
          <w:tcPr>
            <w:tcW w:w="1481" w:type="dxa"/>
            <w:tcBorders>
              <w:top w:val="nil"/>
              <w:left w:val="nil"/>
              <w:bottom w:val="nil"/>
              <w:right w:val="nil"/>
            </w:tcBorders>
            <w:vAlign w:val="center"/>
          </w:tcPr>
          <w:p w14:paraId="7C7E877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环境责任</w:t>
            </w:r>
          </w:p>
        </w:tc>
        <w:tc>
          <w:tcPr>
            <w:tcW w:w="1481" w:type="dxa"/>
            <w:tcBorders>
              <w:top w:val="nil"/>
              <w:left w:val="nil"/>
              <w:bottom w:val="nil"/>
              <w:right w:val="nil"/>
            </w:tcBorders>
            <w:vAlign w:val="center"/>
          </w:tcPr>
          <w:p w14:paraId="1D20A50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社会慈善责任</w:t>
            </w:r>
          </w:p>
        </w:tc>
      </w:tr>
      <w:tr w:rsidR="007F7EE4" w:rsidRPr="007F7EE4" w14:paraId="1F4EACA9" w14:textId="77777777">
        <w:trPr>
          <w:trHeight w:val="294"/>
        </w:trPr>
        <w:tc>
          <w:tcPr>
            <w:tcW w:w="1266" w:type="dxa"/>
            <w:tcBorders>
              <w:top w:val="single" w:sz="4" w:space="0" w:color="auto"/>
              <w:left w:val="nil"/>
              <w:bottom w:val="nil"/>
              <w:right w:val="nil"/>
            </w:tcBorders>
          </w:tcPr>
          <w:p w14:paraId="2C1EF800" w14:textId="77777777" w:rsidR="00D45CD8" w:rsidRPr="007F7EE4" w:rsidRDefault="00AC3F08">
            <w:pPr>
              <w:pStyle w:val="af6"/>
              <w:rPr>
                <w:rFonts w:ascii="Times New Roman" w:hAnsi="Times New Roman" w:cs="Times New Roman"/>
                <w:sz w:val="15"/>
                <w:szCs w:val="15"/>
              </w:rPr>
            </w:pPr>
            <w:proofErr w:type="spellStart"/>
            <w:r w:rsidRPr="007F7EE4">
              <w:rPr>
                <w:rFonts w:ascii="Times New Roman" w:hAnsi="Times New Roman" w:cs="Times New Roman"/>
                <w:sz w:val="15"/>
                <w:szCs w:val="15"/>
              </w:rPr>
              <w:t>ln</w:t>
            </w:r>
            <w:r w:rsidRPr="007F7EE4">
              <w:rPr>
                <w:rFonts w:ascii="Times New Roman" w:hAnsi="Times New Roman" w:cs="Times New Roman" w:hint="eastAsia"/>
                <w:sz w:val="15"/>
                <w:szCs w:val="15"/>
              </w:rPr>
              <w:t>S</w:t>
            </w:r>
            <w:r w:rsidRPr="007F7EE4">
              <w:rPr>
                <w:rFonts w:ascii="Times New Roman" w:hAnsi="Times New Roman" w:cs="Times New Roman"/>
                <w:sz w:val="15"/>
                <w:szCs w:val="15"/>
              </w:rPr>
              <w:t>tkhld</w:t>
            </w:r>
            <w:proofErr w:type="spellEnd"/>
          </w:p>
        </w:tc>
        <w:tc>
          <w:tcPr>
            <w:tcW w:w="1481" w:type="dxa"/>
            <w:tcBorders>
              <w:top w:val="single" w:sz="4" w:space="0" w:color="auto"/>
              <w:left w:val="nil"/>
              <w:bottom w:val="nil"/>
              <w:right w:val="nil"/>
            </w:tcBorders>
            <w:vAlign w:val="center"/>
          </w:tcPr>
          <w:p w14:paraId="3B1CD3B8"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0.101***</w:t>
            </w:r>
          </w:p>
        </w:tc>
        <w:tc>
          <w:tcPr>
            <w:tcW w:w="1481" w:type="dxa"/>
            <w:tcBorders>
              <w:top w:val="single" w:sz="4" w:space="0" w:color="auto"/>
              <w:left w:val="nil"/>
              <w:bottom w:val="nil"/>
              <w:right w:val="nil"/>
            </w:tcBorders>
            <w:vAlign w:val="center"/>
          </w:tcPr>
          <w:p w14:paraId="5BF30AC4"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single" w:sz="4" w:space="0" w:color="auto"/>
              <w:left w:val="nil"/>
              <w:bottom w:val="nil"/>
              <w:right w:val="nil"/>
            </w:tcBorders>
            <w:vAlign w:val="center"/>
          </w:tcPr>
          <w:p w14:paraId="15F0E1A4"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single" w:sz="4" w:space="0" w:color="auto"/>
              <w:left w:val="nil"/>
              <w:bottom w:val="nil"/>
              <w:right w:val="nil"/>
            </w:tcBorders>
            <w:vAlign w:val="center"/>
          </w:tcPr>
          <w:p w14:paraId="550CFB49"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single" w:sz="4" w:space="0" w:color="auto"/>
              <w:left w:val="nil"/>
              <w:bottom w:val="nil"/>
              <w:right w:val="nil"/>
            </w:tcBorders>
            <w:vAlign w:val="center"/>
          </w:tcPr>
          <w:p w14:paraId="6E110DE3"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61872BE3" w14:textId="77777777">
        <w:trPr>
          <w:trHeight w:val="321"/>
        </w:trPr>
        <w:tc>
          <w:tcPr>
            <w:tcW w:w="1266" w:type="dxa"/>
            <w:tcBorders>
              <w:top w:val="nil"/>
              <w:left w:val="nil"/>
              <w:bottom w:val="nil"/>
              <w:right w:val="nil"/>
            </w:tcBorders>
          </w:tcPr>
          <w:p w14:paraId="28429827" w14:textId="77777777" w:rsidR="00D45CD8" w:rsidRPr="007F7EE4" w:rsidRDefault="00D45CD8">
            <w:pPr>
              <w:pStyle w:val="af6"/>
              <w:rPr>
                <w:rFonts w:ascii="Times New Roman" w:hAnsi="Times New Roman" w:cs="Times New Roman"/>
                <w:sz w:val="15"/>
                <w:szCs w:val="15"/>
              </w:rPr>
            </w:pPr>
          </w:p>
        </w:tc>
        <w:tc>
          <w:tcPr>
            <w:tcW w:w="1481" w:type="dxa"/>
            <w:tcBorders>
              <w:top w:val="nil"/>
              <w:left w:val="nil"/>
              <w:bottom w:val="nil"/>
              <w:right w:val="nil"/>
            </w:tcBorders>
            <w:vAlign w:val="center"/>
          </w:tcPr>
          <w:p w14:paraId="1DD3D1F5"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(0.017)</w:t>
            </w:r>
          </w:p>
        </w:tc>
        <w:tc>
          <w:tcPr>
            <w:tcW w:w="1481" w:type="dxa"/>
            <w:tcBorders>
              <w:top w:val="nil"/>
              <w:left w:val="nil"/>
              <w:bottom w:val="nil"/>
              <w:right w:val="nil"/>
            </w:tcBorders>
            <w:vAlign w:val="center"/>
          </w:tcPr>
          <w:p w14:paraId="622A69E9"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102DFB8B"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4F17CC8D"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5F0F1AE2"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410F8D40" w14:textId="77777777">
        <w:trPr>
          <w:trHeight w:val="321"/>
        </w:trPr>
        <w:tc>
          <w:tcPr>
            <w:tcW w:w="1266" w:type="dxa"/>
            <w:tcBorders>
              <w:top w:val="nil"/>
              <w:left w:val="nil"/>
              <w:bottom w:val="nil"/>
              <w:right w:val="nil"/>
            </w:tcBorders>
          </w:tcPr>
          <w:p w14:paraId="19AB90DD" w14:textId="77777777" w:rsidR="00D45CD8" w:rsidRPr="007F7EE4" w:rsidRDefault="00AC3F08">
            <w:pPr>
              <w:pStyle w:val="af6"/>
              <w:rPr>
                <w:rFonts w:ascii="Times New Roman" w:hAnsi="Times New Roman" w:cs="Times New Roman"/>
                <w:sz w:val="15"/>
                <w:szCs w:val="15"/>
              </w:rPr>
            </w:pPr>
            <w:proofErr w:type="spellStart"/>
            <w:r w:rsidRPr="007F7EE4">
              <w:rPr>
                <w:rFonts w:ascii="Times New Roman" w:hAnsi="Times New Roman" w:cs="Times New Roman"/>
                <w:sz w:val="15"/>
                <w:szCs w:val="15"/>
              </w:rPr>
              <w:t>ln</w:t>
            </w:r>
            <w:r w:rsidRPr="007F7EE4">
              <w:rPr>
                <w:rFonts w:ascii="Times New Roman" w:hAnsi="Times New Roman" w:cs="Times New Roman" w:hint="eastAsia"/>
                <w:sz w:val="15"/>
                <w:szCs w:val="15"/>
              </w:rPr>
              <w:t>E</w:t>
            </w:r>
            <w:r w:rsidRPr="007F7EE4">
              <w:rPr>
                <w:rFonts w:ascii="Times New Roman" w:hAnsi="Times New Roman" w:cs="Times New Roman"/>
                <w:sz w:val="15"/>
                <w:szCs w:val="15"/>
              </w:rPr>
              <w:t>mploy</w:t>
            </w:r>
            <w:proofErr w:type="spellEnd"/>
          </w:p>
        </w:tc>
        <w:tc>
          <w:tcPr>
            <w:tcW w:w="1481" w:type="dxa"/>
            <w:tcBorders>
              <w:top w:val="nil"/>
              <w:left w:val="nil"/>
              <w:bottom w:val="nil"/>
              <w:right w:val="nil"/>
            </w:tcBorders>
            <w:vAlign w:val="center"/>
          </w:tcPr>
          <w:p w14:paraId="65E12940"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9F87A95"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0.095***</w:t>
            </w:r>
          </w:p>
        </w:tc>
        <w:tc>
          <w:tcPr>
            <w:tcW w:w="1481" w:type="dxa"/>
            <w:tcBorders>
              <w:top w:val="nil"/>
              <w:left w:val="nil"/>
              <w:bottom w:val="nil"/>
              <w:right w:val="nil"/>
            </w:tcBorders>
            <w:vAlign w:val="center"/>
          </w:tcPr>
          <w:p w14:paraId="1C83630C"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777B90AF"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5A6A74CC"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53EEA81B" w14:textId="77777777">
        <w:trPr>
          <w:trHeight w:val="321"/>
        </w:trPr>
        <w:tc>
          <w:tcPr>
            <w:tcW w:w="1266" w:type="dxa"/>
            <w:tcBorders>
              <w:top w:val="nil"/>
              <w:left w:val="nil"/>
              <w:bottom w:val="nil"/>
              <w:right w:val="nil"/>
            </w:tcBorders>
          </w:tcPr>
          <w:p w14:paraId="0CAAB39C" w14:textId="77777777" w:rsidR="00D45CD8" w:rsidRPr="007F7EE4" w:rsidRDefault="00D45CD8">
            <w:pPr>
              <w:pStyle w:val="af6"/>
              <w:rPr>
                <w:rFonts w:ascii="Times New Roman" w:hAnsi="Times New Roman" w:cs="Times New Roman"/>
                <w:sz w:val="15"/>
                <w:szCs w:val="15"/>
              </w:rPr>
            </w:pPr>
          </w:p>
        </w:tc>
        <w:tc>
          <w:tcPr>
            <w:tcW w:w="1481" w:type="dxa"/>
            <w:tcBorders>
              <w:top w:val="nil"/>
              <w:left w:val="nil"/>
              <w:bottom w:val="nil"/>
              <w:right w:val="nil"/>
            </w:tcBorders>
            <w:vAlign w:val="center"/>
          </w:tcPr>
          <w:p w14:paraId="0BB9159B"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567E9C0C"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(0.010)</w:t>
            </w:r>
          </w:p>
        </w:tc>
        <w:tc>
          <w:tcPr>
            <w:tcW w:w="1481" w:type="dxa"/>
            <w:tcBorders>
              <w:top w:val="nil"/>
              <w:left w:val="nil"/>
              <w:bottom w:val="nil"/>
              <w:right w:val="nil"/>
            </w:tcBorders>
            <w:vAlign w:val="center"/>
          </w:tcPr>
          <w:p w14:paraId="52354FCD"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62434456"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49A1816A"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0E682A6F" w14:textId="77777777">
        <w:trPr>
          <w:trHeight w:val="321"/>
        </w:trPr>
        <w:tc>
          <w:tcPr>
            <w:tcW w:w="1266" w:type="dxa"/>
            <w:tcBorders>
              <w:top w:val="nil"/>
              <w:left w:val="nil"/>
              <w:bottom w:val="nil"/>
              <w:right w:val="nil"/>
            </w:tcBorders>
          </w:tcPr>
          <w:p w14:paraId="05B40388" w14:textId="77777777" w:rsidR="00D45CD8" w:rsidRPr="007F7EE4" w:rsidRDefault="00AC3F08">
            <w:pPr>
              <w:pStyle w:val="af6"/>
              <w:rPr>
                <w:rFonts w:ascii="Times New Roman" w:hAnsi="Times New Roman" w:cs="Times New Roman"/>
                <w:sz w:val="15"/>
                <w:szCs w:val="15"/>
              </w:rPr>
            </w:pPr>
            <w:proofErr w:type="spellStart"/>
            <w:r w:rsidRPr="007F7EE4">
              <w:rPr>
                <w:rFonts w:ascii="Times New Roman" w:hAnsi="Times New Roman" w:cs="Times New Roman"/>
                <w:sz w:val="15"/>
                <w:szCs w:val="15"/>
              </w:rPr>
              <w:t>ln</w:t>
            </w:r>
            <w:r w:rsidRPr="007F7EE4">
              <w:rPr>
                <w:rFonts w:ascii="Times New Roman" w:hAnsi="Times New Roman" w:cs="Times New Roman" w:hint="eastAsia"/>
                <w:sz w:val="15"/>
                <w:szCs w:val="15"/>
              </w:rPr>
              <w:t>S</w:t>
            </w:r>
            <w:r w:rsidRPr="007F7EE4">
              <w:rPr>
                <w:rFonts w:ascii="Times New Roman" w:hAnsi="Times New Roman" w:cs="Times New Roman"/>
                <w:sz w:val="15"/>
                <w:szCs w:val="15"/>
              </w:rPr>
              <w:t>upcustm</w:t>
            </w:r>
            <w:proofErr w:type="spellEnd"/>
          </w:p>
        </w:tc>
        <w:tc>
          <w:tcPr>
            <w:tcW w:w="1481" w:type="dxa"/>
            <w:tcBorders>
              <w:top w:val="nil"/>
              <w:left w:val="nil"/>
              <w:bottom w:val="nil"/>
              <w:right w:val="nil"/>
            </w:tcBorders>
            <w:vAlign w:val="center"/>
          </w:tcPr>
          <w:p w14:paraId="65F82536"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7BB87A48"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6F380B0C"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0.044***</w:t>
            </w:r>
          </w:p>
        </w:tc>
        <w:tc>
          <w:tcPr>
            <w:tcW w:w="1481" w:type="dxa"/>
            <w:tcBorders>
              <w:top w:val="nil"/>
              <w:left w:val="nil"/>
              <w:bottom w:val="nil"/>
              <w:right w:val="nil"/>
            </w:tcBorders>
            <w:vAlign w:val="center"/>
          </w:tcPr>
          <w:p w14:paraId="540CC4F8"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8ED3072"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1139D5F4" w14:textId="77777777">
        <w:trPr>
          <w:trHeight w:val="321"/>
        </w:trPr>
        <w:tc>
          <w:tcPr>
            <w:tcW w:w="1266" w:type="dxa"/>
            <w:tcBorders>
              <w:top w:val="nil"/>
              <w:left w:val="nil"/>
              <w:bottom w:val="nil"/>
              <w:right w:val="nil"/>
            </w:tcBorders>
          </w:tcPr>
          <w:p w14:paraId="4D308D76" w14:textId="77777777" w:rsidR="00D45CD8" w:rsidRPr="007F7EE4" w:rsidRDefault="00D45CD8">
            <w:pPr>
              <w:pStyle w:val="af6"/>
              <w:rPr>
                <w:rFonts w:ascii="Times New Roman" w:hAnsi="Times New Roman" w:cs="Times New Roman"/>
                <w:sz w:val="15"/>
                <w:szCs w:val="15"/>
              </w:rPr>
            </w:pPr>
          </w:p>
        </w:tc>
        <w:tc>
          <w:tcPr>
            <w:tcW w:w="1481" w:type="dxa"/>
            <w:tcBorders>
              <w:top w:val="nil"/>
              <w:left w:val="nil"/>
              <w:bottom w:val="nil"/>
              <w:right w:val="nil"/>
            </w:tcBorders>
            <w:vAlign w:val="center"/>
          </w:tcPr>
          <w:p w14:paraId="5AAFB6FD"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220C00EC"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418C1E9F"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(0.007)</w:t>
            </w:r>
          </w:p>
        </w:tc>
        <w:tc>
          <w:tcPr>
            <w:tcW w:w="1481" w:type="dxa"/>
            <w:tcBorders>
              <w:top w:val="nil"/>
              <w:left w:val="nil"/>
              <w:bottom w:val="nil"/>
              <w:right w:val="nil"/>
            </w:tcBorders>
            <w:vAlign w:val="center"/>
          </w:tcPr>
          <w:p w14:paraId="377F9F24"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3608F8B4"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7850FFA7" w14:textId="77777777">
        <w:trPr>
          <w:trHeight w:val="321"/>
        </w:trPr>
        <w:tc>
          <w:tcPr>
            <w:tcW w:w="1266" w:type="dxa"/>
            <w:tcBorders>
              <w:top w:val="nil"/>
              <w:left w:val="nil"/>
              <w:bottom w:val="nil"/>
              <w:right w:val="nil"/>
            </w:tcBorders>
          </w:tcPr>
          <w:p w14:paraId="72D1ACD5" w14:textId="77777777" w:rsidR="00D45CD8" w:rsidRPr="007F7EE4" w:rsidRDefault="00AC3F08">
            <w:pPr>
              <w:pStyle w:val="af6"/>
              <w:rPr>
                <w:rFonts w:ascii="Times New Roman" w:hAnsi="Times New Roman" w:cs="Times New Roman"/>
                <w:sz w:val="15"/>
                <w:szCs w:val="15"/>
              </w:rPr>
            </w:pPr>
            <w:proofErr w:type="spellStart"/>
            <w:r w:rsidRPr="007F7EE4">
              <w:rPr>
                <w:rFonts w:ascii="Times New Roman" w:hAnsi="Times New Roman" w:cs="Times New Roman"/>
                <w:sz w:val="15"/>
                <w:szCs w:val="15"/>
              </w:rPr>
              <w:t>ln</w:t>
            </w:r>
            <w:r w:rsidRPr="007F7EE4">
              <w:rPr>
                <w:rFonts w:ascii="Times New Roman" w:hAnsi="Times New Roman" w:cs="Times New Roman" w:hint="eastAsia"/>
                <w:sz w:val="15"/>
                <w:szCs w:val="15"/>
              </w:rPr>
              <w:t>E</w:t>
            </w:r>
            <w:r w:rsidRPr="007F7EE4">
              <w:rPr>
                <w:rFonts w:ascii="Times New Roman" w:hAnsi="Times New Roman" w:cs="Times New Roman"/>
                <w:sz w:val="15"/>
                <w:szCs w:val="15"/>
              </w:rPr>
              <w:t>nvir</w:t>
            </w:r>
            <w:proofErr w:type="spellEnd"/>
          </w:p>
        </w:tc>
        <w:tc>
          <w:tcPr>
            <w:tcW w:w="1481" w:type="dxa"/>
            <w:tcBorders>
              <w:top w:val="nil"/>
              <w:left w:val="nil"/>
              <w:bottom w:val="nil"/>
              <w:right w:val="nil"/>
            </w:tcBorders>
            <w:vAlign w:val="center"/>
          </w:tcPr>
          <w:p w14:paraId="70E0543F"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690CF23D"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30B60A05"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52AB1EF5"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0.051***</w:t>
            </w:r>
          </w:p>
        </w:tc>
        <w:tc>
          <w:tcPr>
            <w:tcW w:w="1481" w:type="dxa"/>
            <w:tcBorders>
              <w:top w:val="nil"/>
              <w:left w:val="nil"/>
              <w:bottom w:val="nil"/>
              <w:right w:val="nil"/>
            </w:tcBorders>
            <w:vAlign w:val="center"/>
          </w:tcPr>
          <w:p w14:paraId="09CF7F3D"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0FED8E9C" w14:textId="77777777">
        <w:trPr>
          <w:trHeight w:val="294"/>
        </w:trPr>
        <w:tc>
          <w:tcPr>
            <w:tcW w:w="1266" w:type="dxa"/>
            <w:tcBorders>
              <w:top w:val="nil"/>
              <w:left w:val="nil"/>
              <w:bottom w:val="nil"/>
              <w:right w:val="nil"/>
            </w:tcBorders>
          </w:tcPr>
          <w:p w14:paraId="566CA839" w14:textId="77777777" w:rsidR="00D45CD8" w:rsidRPr="007F7EE4" w:rsidRDefault="00D45CD8">
            <w:pPr>
              <w:pStyle w:val="af6"/>
              <w:rPr>
                <w:rFonts w:ascii="Times New Roman" w:hAnsi="Times New Roman" w:cs="Times New Roman"/>
                <w:sz w:val="15"/>
                <w:szCs w:val="15"/>
              </w:rPr>
            </w:pPr>
          </w:p>
        </w:tc>
        <w:tc>
          <w:tcPr>
            <w:tcW w:w="1481" w:type="dxa"/>
            <w:tcBorders>
              <w:top w:val="nil"/>
              <w:left w:val="nil"/>
              <w:bottom w:val="nil"/>
              <w:right w:val="nil"/>
            </w:tcBorders>
            <w:vAlign w:val="center"/>
          </w:tcPr>
          <w:p w14:paraId="217E649B"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8E6563E"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7874A64"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6C3D84D7"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(0.007)</w:t>
            </w:r>
          </w:p>
        </w:tc>
        <w:tc>
          <w:tcPr>
            <w:tcW w:w="1481" w:type="dxa"/>
            <w:tcBorders>
              <w:top w:val="nil"/>
              <w:left w:val="nil"/>
              <w:bottom w:val="nil"/>
              <w:right w:val="nil"/>
            </w:tcBorders>
            <w:vAlign w:val="center"/>
          </w:tcPr>
          <w:p w14:paraId="0F1E13E2" w14:textId="77777777" w:rsidR="00D45CD8" w:rsidRPr="007F7EE4" w:rsidRDefault="00D45CD8">
            <w:pPr>
              <w:pStyle w:val="af6"/>
              <w:jc w:val="left"/>
              <w:rPr>
                <w:rFonts w:ascii="Times New Roman" w:eastAsia="宋体" w:hAnsi="Times New Roman" w:cs="Times New Roman"/>
                <w:sz w:val="15"/>
                <w:szCs w:val="15"/>
              </w:rPr>
            </w:pPr>
          </w:p>
        </w:tc>
      </w:tr>
      <w:tr w:rsidR="007F7EE4" w:rsidRPr="007F7EE4" w14:paraId="22A154F1" w14:textId="77777777">
        <w:trPr>
          <w:trHeight w:val="321"/>
        </w:trPr>
        <w:tc>
          <w:tcPr>
            <w:tcW w:w="1266" w:type="dxa"/>
            <w:tcBorders>
              <w:top w:val="nil"/>
              <w:left w:val="nil"/>
              <w:bottom w:val="nil"/>
              <w:right w:val="nil"/>
            </w:tcBorders>
          </w:tcPr>
          <w:p w14:paraId="2784B16B" w14:textId="77777777" w:rsidR="00D45CD8" w:rsidRPr="007F7EE4" w:rsidRDefault="00AC3F08">
            <w:pPr>
              <w:pStyle w:val="af6"/>
              <w:rPr>
                <w:rFonts w:ascii="Times New Roman" w:hAnsi="Times New Roman" w:cs="Times New Roman"/>
                <w:sz w:val="15"/>
                <w:szCs w:val="15"/>
              </w:rPr>
            </w:pPr>
            <w:proofErr w:type="spellStart"/>
            <w:r w:rsidRPr="007F7EE4">
              <w:rPr>
                <w:rFonts w:ascii="Times New Roman" w:hAnsi="Times New Roman" w:cs="Times New Roman"/>
                <w:sz w:val="15"/>
                <w:szCs w:val="15"/>
              </w:rPr>
              <w:t>ln</w:t>
            </w:r>
            <w:r w:rsidRPr="007F7EE4">
              <w:rPr>
                <w:rFonts w:ascii="Times New Roman" w:hAnsi="Times New Roman" w:cs="Times New Roman" w:hint="eastAsia"/>
                <w:sz w:val="15"/>
                <w:szCs w:val="15"/>
              </w:rPr>
              <w:t>S</w:t>
            </w:r>
            <w:r w:rsidRPr="007F7EE4">
              <w:rPr>
                <w:rFonts w:ascii="Times New Roman" w:hAnsi="Times New Roman" w:cs="Times New Roman"/>
                <w:sz w:val="15"/>
                <w:szCs w:val="15"/>
              </w:rPr>
              <w:t>ocial</w:t>
            </w:r>
            <w:proofErr w:type="spellEnd"/>
          </w:p>
        </w:tc>
        <w:tc>
          <w:tcPr>
            <w:tcW w:w="1481" w:type="dxa"/>
            <w:tcBorders>
              <w:top w:val="nil"/>
              <w:left w:val="nil"/>
              <w:bottom w:val="nil"/>
              <w:right w:val="nil"/>
            </w:tcBorders>
            <w:vAlign w:val="center"/>
          </w:tcPr>
          <w:p w14:paraId="289718EF"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47A4521B"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5EEA204"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2ECA1C84"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1AB4BC1D"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-0.068***</w:t>
            </w:r>
          </w:p>
        </w:tc>
      </w:tr>
      <w:tr w:rsidR="007F7EE4" w:rsidRPr="007F7EE4" w14:paraId="7252A0CD" w14:textId="77777777">
        <w:trPr>
          <w:trHeight w:val="321"/>
        </w:trPr>
        <w:tc>
          <w:tcPr>
            <w:tcW w:w="1266" w:type="dxa"/>
            <w:tcBorders>
              <w:top w:val="nil"/>
              <w:left w:val="nil"/>
              <w:bottom w:val="nil"/>
              <w:right w:val="nil"/>
            </w:tcBorders>
          </w:tcPr>
          <w:p w14:paraId="22446211" w14:textId="77777777" w:rsidR="00D45CD8" w:rsidRPr="007F7EE4" w:rsidRDefault="00D45CD8">
            <w:pPr>
              <w:pStyle w:val="af6"/>
              <w:rPr>
                <w:rFonts w:ascii="Times New Roman" w:hAnsi="Times New Roman" w:cs="Times New Roman"/>
                <w:sz w:val="15"/>
                <w:szCs w:val="15"/>
              </w:rPr>
            </w:pPr>
          </w:p>
        </w:tc>
        <w:tc>
          <w:tcPr>
            <w:tcW w:w="1481" w:type="dxa"/>
            <w:tcBorders>
              <w:top w:val="nil"/>
              <w:left w:val="nil"/>
              <w:bottom w:val="nil"/>
              <w:right w:val="nil"/>
            </w:tcBorders>
            <w:vAlign w:val="center"/>
          </w:tcPr>
          <w:p w14:paraId="3472E8B7"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37567359"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A93E006"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6605EC9E" w14:textId="77777777" w:rsidR="00D45CD8" w:rsidRPr="007F7EE4" w:rsidRDefault="00D45CD8">
            <w:pPr>
              <w:pStyle w:val="af6"/>
              <w:jc w:val="left"/>
              <w:rPr>
                <w:rFonts w:ascii="Times New Roman" w:eastAsia="宋体" w:hAnsi="Times New Roman" w:cs="Times New Roman"/>
                <w:sz w:val="15"/>
                <w:szCs w:val="15"/>
              </w:rPr>
            </w:pPr>
          </w:p>
        </w:tc>
        <w:tc>
          <w:tcPr>
            <w:tcW w:w="1481" w:type="dxa"/>
            <w:tcBorders>
              <w:top w:val="nil"/>
              <w:left w:val="nil"/>
              <w:bottom w:val="nil"/>
              <w:right w:val="nil"/>
            </w:tcBorders>
            <w:vAlign w:val="center"/>
          </w:tcPr>
          <w:p w14:paraId="0C534A36"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(0.009)</w:t>
            </w:r>
          </w:p>
        </w:tc>
      </w:tr>
      <w:tr w:rsidR="007F7EE4" w:rsidRPr="007F7EE4" w14:paraId="1CE486CD" w14:textId="77777777">
        <w:trPr>
          <w:trHeight w:val="321"/>
        </w:trPr>
        <w:tc>
          <w:tcPr>
            <w:tcW w:w="1266" w:type="dxa"/>
            <w:tcBorders>
              <w:top w:val="nil"/>
              <w:left w:val="nil"/>
              <w:bottom w:val="nil"/>
              <w:right w:val="nil"/>
            </w:tcBorders>
          </w:tcPr>
          <w:p w14:paraId="66EFD899" w14:textId="77777777" w:rsidR="00D45CD8" w:rsidRPr="007F7EE4" w:rsidRDefault="00AC3F08">
            <w:pPr>
              <w:pStyle w:val="af6"/>
              <w:rPr>
                <w:rFonts w:ascii="Times New Roman" w:hAnsi="Times New Roman" w:cs="Times New Roman"/>
                <w:sz w:val="15"/>
                <w:szCs w:val="15"/>
              </w:rPr>
            </w:pPr>
            <w:r w:rsidRPr="007F7EE4">
              <w:rPr>
                <w:rFonts w:ascii="Times New Roman" w:hAnsi="Times New Roman" w:cs="Times New Roman"/>
                <w:sz w:val="15"/>
                <w:szCs w:val="15"/>
              </w:rPr>
              <w:t>_cons</w:t>
            </w:r>
          </w:p>
        </w:tc>
        <w:tc>
          <w:tcPr>
            <w:tcW w:w="1481" w:type="dxa"/>
            <w:tcBorders>
              <w:top w:val="nil"/>
              <w:left w:val="nil"/>
              <w:bottom w:val="nil"/>
              <w:right w:val="nil"/>
            </w:tcBorders>
            <w:vAlign w:val="center"/>
          </w:tcPr>
          <w:p w14:paraId="1A5556CD"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-2.450***</w:t>
            </w:r>
          </w:p>
        </w:tc>
        <w:tc>
          <w:tcPr>
            <w:tcW w:w="1481" w:type="dxa"/>
            <w:tcBorders>
              <w:top w:val="nil"/>
              <w:left w:val="nil"/>
              <w:bottom w:val="nil"/>
              <w:right w:val="nil"/>
            </w:tcBorders>
            <w:vAlign w:val="center"/>
          </w:tcPr>
          <w:p w14:paraId="56EFBB8E"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-2.069***</w:t>
            </w:r>
          </w:p>
        </w:tc>
        <w:tc>
          <w:tcPr>
            <w:tcW w:w="1481" w:type="dxa"/>
            <w:tcBorders>
              <w:top w:val="nil"/>
              <w:left w:val="nil"/>
              <w:bottom w:val="nil"/>
              <w:right w:val="nil"/>
            </w:tcBorders>
            <w:vAlign w:val="center"/>
          </w:tcPr>
          <w:p w14:paraId="45FB228F"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-1.999***</w:t>
            </w:r>
          </w:p>
        </w:tc>
        <w:tc>
          <w:tcPr>
            <w:tcW w:w="1481" w:type="dxa"/>
            <w:tcBorders>
              <w:top w:val="nil"/>
              <w:left w:val="nil"/>
              <w:bottom w:val="nil"/>
              <w:right w:val="nil"/>
            </w:tcBorders>
            <w:vAlign w:val="center"/>
          </w:tcPr>
          <w:p w14:paraId="4E6997F9"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-1.994***</w:t>
            </w:r>
          </w:p>
        </w:tc>
        <w:tc>
          <w:tcPr>
            <w:tcW w:w="1481" w:type="dxa"/>
            <w:tcBorders>
              <w:top w:val="nil"/>
              <w:left w:val="nil"/>
              <w:bottom w:val="nil"/>
              <w:right w:val="nil"/>
            </w:tcBorders>
            <w:vAlign w:val="center"/>
          </w:tcPr>
          <w:p w14:paraId="43F804FF"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-1.994***</w:t>
            </w:r>
          </w:p>
        </w:tc>
      </w:tr>
      <w:tr w:rsidR="007F7EE4" w:rsidRPr="007F7EE4" w14:paraId="1B76A208" w14:textId="77777777">
        <w:trPr>
          <w:trHeight w:val="321"/>
        </w:trPr>
        <w:tc>
          <w:tcPr>
            <w:tcW w:w="1266" w:type="dxa"/>
            <w:tcBorders>
              <w:top w:val="nil"/>
              <w:left w:val="nil"/>
              <w:bottom w:val="nil"/>
              <w:right w:val="nil"/>
            </w:tcBorders>
          </w:tcPr>
          <w:p w14:paraId="061429FD" w14:textId="77777777" w:rsidR="00D45CD8" w:rsidRPr="007F7EE4" w:rsidRDefault="00D45CD8">
            <w:pPr>
              <w:pStyle w:val="af6"/>
              <w:rPr>
                <w:rFonts w:ascii="Times New Roman" w:hAnsi="Times New Roman" w:cs="Times New Roman"/>
                <w:sz w:val="15"/>
                <w:szCs w:val="15"/>
              </w:rPr>
            </w:pPr>
          </w:p>
        </w:tc>
        <w:tc>
          <w:tcPr>
            <w:tcW w:w="1481" w:type="dxa"/>
            <w:tcBorders>
              <w:top w:val="nil"/>
              <w:left w:val="nil"/>
              <w:bottom w:val="nil"/>
              <w:right w:val="nil"/>
            </w:tcBorders>
            <w:vAlign w:val="center"/>
          </w:tcPr>
          <w:p w14:paraId="4E9B7546"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(0.077)</w:t>
            </w:r>
          </w:p>
        </w:tc>
        <w:tc>
          <w:tcPr>
            <w:tcW w:w="1481" w:type="dxa"/>
            <w:tcBorders>
              <w:top w:val="nil"/>
              <w:left w:val="nil"/>
              <w:bottom w:val="nil"/>
              <w:right w:val="nil"/>
            </w:tcBorders>
            <w:vAlign w:val="center"/>
          </w:tcPr>
          <w:p w14:paraId="3CEED845"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(0.058)</w:t>
            </w:r>
          </w:p>
        </w:tc>
        <w:tc>
          <w:tcPr>
            <w:tcW w:w="1481" w:type="dxa"/>
            <w:tcBorders>
              <w:top w:val="nil"/>
              <w:left w:val="nil"/>
              <w:bottom w:val="nil"/>
              <w:right w:val="nil"/>
            </w:tcBorders>
            <w:vAlign w:val="center"/>
          </w:tcPr>
          <w:p w14:paraId="31EBA0BD"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(0.057)</w:t>
            </w:r>
          </w:p>
        </w:tc>
        <w:tc>
          <w:tcPr>
            <w:tcW w:w="1481" w:type="dxa"/>
            <w:tcBorders>
              <w:top w:val="nil"/>
              <w:left w:val="nil"/>
              <w:bottom w:val="nil"/>
              <w:right w:val="nil"/>
            </w:tcBorders>
            <w:vAlign w:val="center"/>
          </w:tcPr>
          <w:p w14:paraId="37824C0D"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(0.057)</w:t>
            </w:r>
          </w:p>
        </w:tc>
        <w:tc>
          <w:tcPr>
            <w:tcW w:w="1481" w:type="dxa"/>
            <w:tcBorders>
              <w:top w:val="nil"/>
              <w:left w:val="nil"/>
              <w:bottom w:val="nil"/>
              <w:right w:val="nil"/>
            </w:tcBorders>
            <w:vAlign w:val="center"/>
          </w:tcPr>
          <w:p w14:paraId="1CAC5CF3"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(0.059)</w:t>
            </w:r>
          </w:p>
        </w:tc>
      </w:tr>
      <w:tr w:rsidR="007F7EE4" w:rsidRPr="007F7EE4" w14:paraId="7882E452" w14:textId="77777777" w:rsidTr="00364D74">
        <w:trPr>
          <w:trHeight w:val="321"/>
        </w:trPr>
        <w:tc>
          <w:tcPr>
            <w:tcW w:w="1266" w:type="dxa"/>
            <w:tcBorders>
              <w:top w:val="nil"/>
              <w:left w:val="nil"/>
              <w:bottom w:val="nil"/>
              <w:right w:val="nil"/>
            </w:tcBorders>
            <w:vAlign w:val="center"/>
          </w:tcPr>
          <w:p w14:paraId="3132D8E3" w14:textId="77777777" w:rsidR="00A77404" w:rsidRPr="007F7EE4" w:rsidRDefault="00A77404">
            <w:pPr>
              <w:pStyle w:val="af6"/>
              <w:rPr>
                <w:rFonts w:ascii="Times New Roman" w:hAnsi="Times New Roman" w:cs="Times New Roman"/>
                <w:sz w:val="15"/>
                <w:szCs w:val="15"/>
              </w:rPr>
            </w:pPr>
            <w:r w:rsidRPr="007F7EE4">
              <w:rPr>
                <w:rFonts w:cs="Times New Roman" w:hint="eastAsia"/>
                <w:kern w:val="0"/>
                <w:sz w:val="15"/>
                <w:szCs w:val="15"/>
              </w:rPr>
              <w:t>Controls</w:t>
            </w:r>
          </w:p>
        </w:tc>
        <w:tc>
          <w:tcPr>
            <w:tcW w:w="1481" w:type="dxa"/>
            <w:tcBorders>
              <w:top w:val="nil"/>
              <w:left w:val="nil"/>
              <w:bottom w:val="nil"/>
              <w:right w:val="nil"/>
            </w:tcBorders>
            <w:vAlign w:val="center"/>
          </w:tcPr>
          <w:p w14:paraId="06B736FD" w14:textId="77777777" w:rsidR="00A77404" w:rsidRPr="007F7EE4" w:rsidRDefault="00A77404">
            <w:pPr>
              <w:pStyle w:val="af6"/>
              <w:jc w:val="left"/>
              <w:rPr>
                <w:rFonts w:ascii="Times New Roman" w:eastAsia="宋体" w:hAnsi="Times New Roman" w:cs="Times New Roman"/>
                <w:kern w:val="0"/>
                <w:sz w:val="15"/>
                <w:szCs w:val="15"/>
              </w:rPr>
            </w:pPr>
            <w:r w:rsidRPr="007F7EE4">
              <w:rPr>
                <w:rFonts w:cs="Times New Roman" w:hint="eastAsia"/>
                <w:kern w:val="0"/>
                <w:sz w:val="15"/>
                <w:szCs w:val="15"/>
              </w:rPr>
              <w:t>Yes</w:t>
            </w:r>
          </w:p>
        </w:tc>
        <w:tc>
          <w:tcPr>
            <w:tcW w:w="1481" w:type="dxa"/>
            <w:tcBorders>
              <w:top w:val="nil"/>
              <w:left w:val="nil"/>
              <w:bottom w:val="nil"/>
              <w:right w:val="nil"/>
            </w:tcBorders>
          </w:tcPr>
          <w:p w14:paraId="3DC53611" w14:textId="77777777" w:rsidR="00A77404" w:rsidRPr="007F7EE4" w:rsidRDefault="00A77404">
            <w:pPr>
              <w:pStyle w:val="af6"/>
              <w:jc w:val="left"/>
              <w:rPr>
                <w:rFonts w:ascii="Times New Roman" w:eastAsia="宋体" w:hAnsi="Times New Roman" w:cs="Times New Roman"/>
                <w:kern w:val="0"/>
                <w:sz w:val="15"/>
                <w:szCs w:val="15"/>
              </w:rPr>
            </w:pPr>
            <w:r w:rsidRPr="007F7EE4">
              <w:rPr>
                <w:rFonts w:cs="Times New Roman" w:hint="eastAsia"/>
                <w:kern w:val="0"/>
                <w:sz w:val="15"/>
                <w:szCs w:val="15"/>
              </w:rPr>
              <w:t>Yes</w:t>
            </w:r>
          </w:p>
        </w:tc>
        <w:tc>
          <w:tcPr>
            <w:tcW w:w="1481" w:type="dxa"/>
            <w:tcBorders>
              <w:top w:val="nil"/>
              <w:left w:val="nil"/>
              <w:bottom w:val="nil"/>
              <w:right w:val="nil"/>
            </w:tcBorders>
          </w:tcPr>
          <w:p w14:paraId="51B7FFD1" w14:textId="77777777" w:rsidR="00A77404" w:rsidRPr="007F7EE4" w:rsidRDefault="00A77404">
            <w:pPr>
              <w:pStyle w:val="af6"/>
              <w:jc w:val="left"/>
              <w:rPr>
                <w:rFonts w:ascii="Times New Roman" w:eastAsia="宋体" w:hAnsi="Times New Roman" w:cs="Times New Roman"/>
                <w:kern w:val="0"/>
                <w:sz w:val="15"/>
                <w:szCs w:val="15"/>
              </w:rPr>
            </w:pPr>
            <w:r w:rsidRPr="007F7EE4">
              <w:rPr>
                <w:rFonts w:cs="Times New Roman" w:hint="eastAsia"/>
                <w:kern w:val="0"/>
                <w:sz w:val="15"/>
                <w:szCs w:val="15"/>
              </w:rPr>
              <w:t>Yes</w:t>
            </w:r>
          </w:p>
        </w:tc>
        <w:tc>
          <w:tcPr>
            <w:tcW w:w="1481" w:type="dxa"/>
            <w:tcBorders>
              <w:top w:val="nil"/>
              <w:left w:val="nil"/>
              <w:bottom w:val="nil"/>
              <w:right w:val="nil"/>
            </w:tcBorders>
          </w:tcPr>
          <w:p w14:paraId="1ADDE65F" w14:textId="77777777" w:rsidR="00A77404" w:rsidRPr="007F7EE4" w:rsidRDefault="00A77404">
            <w:pPr>
              <w:pStyle w:val="af6"/>
              <w:jc w:val="left"/>
              <w:rPr>
                <w:rFonts w:ascii="Times New Roman" w:eastAsia="宋体" w:hAnsi="Times New Roman" w:cs="Times New Roman"/>
                <w:kern w:val="0"/>
                <w:sz w:val="15"/>
                <w:szCs w:val="15"/>
              </w:rPr>
            </w:pPr>
            <w:r w:rsidRPr="007F7EE4">
              <w:rPr>
                <w:rFonts w:cs="Times New Roman" w:hint="eastAsia"/>
                <w:kern w:val="0"/>
                <w:sz w:val="15"/>
                <w:szCs w:val="15"/>
              </w:rPr>
              <w:t>Yes</w:t>
            </w:r>
          </w:p>
        </w:tc>
        <w:tc>
          <w:tcPr>
            <w:tcW w:w="1481" w:type="dxa"/>
            <w:tcBorders>
              <w:top w:val="nil"/>
              <w:left w:val="nil"/>
              <w:bottom w:val="nil"/>
              <w:right w:val="nil"/>
            </w:tcBorders>
            <w:vAlign w:val="center"/>
          </w:tcPr>
          <w:p w14:paraId="4DDB7E23" w14:textId="77777777" w:rsidR="00A77404" w:rsidRPr="007F7EE4" w:rsidRDefault="00A77404">
            <w:pPr>
              <w:pStyle w:val="af6"/>
              <w:jc w:val="left"/>
              <w:rPr>
                <w:rFonts w:ascii="Times New Roman" w:eastAsia="宋体" w:hAnsi="Times New Roman" w:cs="Times New Roman"/>
                <w:kern w:val="0"/>
                <w:sz w:val="15"/>
                <w:szCs w:val="15"/>
              </w:rPr>
            </w:pPr>
            <w:r w:rsidRPr="007F7EE4">
              <w:rPr>
                <w:rFonts w:cs="Times New Roman" w:hint="eastAsia"/>
                <w:kern w:val="0"/>
                <w:sz w:val="15"/>
                <w:szCs w:val="15"/>
              </w:rPr>
              <w:t>Yes</w:t>
            </w:r>
          </w:p>
        </w:tc>
      </w:tr>
      <w:tr w:rsidR="007F7EE4" w:rsidRPr="007F7EE4" w14:paraId="0077956E" w14:textId="77777777">
        <w:trPr>
          <w:trHeight w:val="321"/>
        </w:trPr>
        <w:tc>
          <w:tcPr>
            <w:tcW w:w="1266" w:type="dxa"/>
            <w:tcBorders>
              <w:top w:val="nil"/>
              <w:left w:val="nil"/>
              <w:bottom w:val="nil"/>
              <w:right w:val="nil"/>
            </w:tcBorders>
          </w:tcPr>
          <w:p w14:paraId="507E154D" w14:textId="77777777" w:rsidR="00D45CD8" w:rsidRPr="007F7EE4" w:rsidRDefault="00AC3F08">
            <w:pPr>
              <w:pStyle w:val="af6"/>
              <w:rPr>
                <w:rFonts w:ascii="Times New Roman" w:hAnsi="Times New Roman" w:cs="Times New Roman"/>
                <w:sz w:val="15"/>
                <w:szCs w:val="15"/>
              </w:rPr>
            </w:pPr>
            <w:r w:rsidRPr="007F7EE4">
              <w:rPr>
                <w:rFonts w:ascii="Times New Roman" w:hAnsi="Times New Roman" w:cs="Times New Roman"/>
                <w:sz w:val="15"/>
                <w:szCs w:val="15"/>
              </w:rPr>
              <w:t>Industry FE</w:t>
            </w:r>
          </w:p>
        </w:tc>
        <w:tc>
          <w:tcPr>
            <w:tcW w:w="1481" w:type="dxa"/>
            <w:tcBorders>
              <w:top w:val="nil"/>
              <w:left w:val="nil"/>
              <w:bottom w:val="nil"/>
              <w:right w:val="nil"/>
            </w:tcBorders>
            <w:vAlign w:val="center"/>
          </w:tcPr>
          <w:p w14:paraId="1003FA06"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nil"/>
              <w:right w:val="nil"/>
            </w:tcBorders>
            <w:vAlign w:val="center"/>
          </w:tcPr>
          <w:p w14:paraId="039B83DC"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nil"/>
              <w:right w:val="nil"/>
            </w:tcBorders>
            <w:vAlign w:val="center"/>
          </w:tcPr>
          <w:p w14:paraId="001E53EF"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nil"/>
              <w:right w:val="nil"/>
            </w:tcBorders>
            <w:vAlign w:val="center"/>
          </w:tcPr>
          <w:p w14:paraId="2686B677"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nil"/>
              <w:right w:val="nil"/>
            </w:tcBorders>
            <w:vAlign w:val="center"/>
          </w:tcPr>
          <w:p w14:paraId="1912C761"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r>
      <w:tr w:rsidR="007F7EE4" w:rsidRPr="007F7EE4" w14:paraId="12C6F86D" w14:textId="77777777">
        <w:trPr>
          <w:trHeight w:val="321"/>
        </w:trPr>
        <w:tc>
          <w:tcPr>
            <w:tcW w:w="1266" w:type="dxa"/>
            <w:tcBorders>
              <w:top w:val="nil"/>
              <w:left w:val="nil"/>
              <w:bottom w:val="single" w:sz="4" w:space="0" w:color="auto"/>
              <w:right w:val="nil"/>
            </w:tcBorders>
          </w:tcPr>
          <w:p w14:paraId="06AC517D" w14:textId="77777777" w:rsidR="00D45CD8" w:rsidRPr="007F7EE4" w:rsidRDefault="00AC3F08">
            <w:pPr>
              <w:pStyle w:val="af6"/>
              <w:rPr>
                <w:rFonts w:ascii="Times New Roman" w:hAnsi="Times New Roman" w:cs="Times New Roman"/>
                <w:sz w:val="15"/>
                <w:szCs w:val="15"/>
              </w:rPr>
            </w:pPr>
            <w:r w:rsidRPr="007F7EE4">
              <w:rPr>
                <w:rFonts w:ascii="Times New Roman" w:hAnsi="Times New Roman" w:cs="Times New Roman"/>
                <w:sz w:val="15"/>
                <w:szCs w:val="15"/>
              </w:rPr>
              <w:t>Year FE</w:t>
            </w:r>
          </w:p>
        </w:tc>
        <w:tc>
          <w:tcPr>
            <w:tcW w:w="1481" w:type="dxa"/>
            <w:tcBorders>
              <w:top w:val="nil"/>
              <w:left w:val="nil"/>
              <w:bottom w:val="single" w:sz="4" w:space="0" w:color="auto"/>
              <w:right w:val="nil"/>
            </w:tcBorders>
            <w:vAlign w:val="center"/>
          </w:tcPr>
          <w:p w14:paraId="1BBEE88D"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single" w:sz="4" w:space="0" w:color="auto"/>
              <w:right w:val="nil"/>
            </w:tcBorders>
            <w:vAlign w:val="center"/>
          </w:tcPr>
          <w:p w14:paraId="05EC3AC9"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single" w:sz="4" w:space="0" w:color="auto"/>
              <w:right w:val="nil"/>
            </w:tcBorders>
            <w:vAlign w:val="center"/>
          </w:tcPr>
          <w:p w14:paraId="5297ECC6"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single" w:sz="4" w:space="0" w:color="auto"/>
              <w:right w:val="nil"/>
            </w:tcBorders>
            <w:vAlign w:val="center"/>
          </w:tcPr>
          <w:p w14:paraId="29634F85"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c>
          <w:tcPr>
            <w:tcW w:w="1481" w:type="dxa"/>
            <w:tcBorders>
              <w:top w:val="nil"/>
              <w:left w:val="nil"/>
              <w:bottom w:val="single" w:sz="4" w:space="0" w:color="auto"/>
              <w:right w:val="nil"/>
            </w:tcBorders>
            <w:vAlign w:val="center"/>
          </w:tcPr>
          <w:p w14:paraId="61EE6C8B"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Yes</w:t>
            </w:r>
          </w:p>
        </w:tc>
      </w:tr>
      <w:tr w:rsidR="007F7EE4" w:rsidRPr="007F7EE4" w14:paraId="61021593" w14:textId="77777777">
        <w:trPr>
          <w:trHeight w:val="294"/>
        </w:trPr>
        <w:tc>
          <w:tcPr>
            <w:tcW w:w="1266" w:type="dxa"/>
            <w:tcBorders>
              <w:top w:val="single" w:sz="4" w:space="0" w:color="auto"/>
              <w:left w:val="nil"/>
              <w:bottom w:val="nil"/>
              <w:right w:val="nil"/>
            </w:tcBorders>
          </w:tcPr>
          <w:p w14:paraId="76351E99" w14:textId="77777777" w:rsidR="00D45CD8" w:rsidRPr="007F7EE4" w:rsidRDefault="00AC3F08">
            <w:pPr>
              <w:pStyle w:val="af6"/>
              <w:rPr>
                <w:rFonts w:ascii="Times New Roman" w:hAnsi="Times New Roman" w:cs="Times New Roman"/>
                <w:sz w:val="15"/>
                <w:szCs w:val="15"/>
              </w:rPr>
            </w:pPr>
            <w:r w:rsidRPr="007F7EE4">
              <w:rPr>
                <w:rFonts w:ascii="Times New Roman" w:hAnsi="Times New Roman" w:cs="Times New Roman"/>
                <w:sz w:val="15"/>
                <w:szCs w:val="15"/>
              </w:rPr>
              <w:t>N</w:t>
            </w:r>
          </w:p>
        </w:tc>
        <w:tc>
          <w:tcPr>
            <w:tcW w:w="1481" w:type="dxa"/>
            <w:tcBorders>
              <w:top w:val="single" w:sz="4" w:space="0" w:color="auto"/>
              <w:left w:val="nil"/>
              <w:bottom w:val="nil"/>
              <w:right w:val="nil"/>
            </w:tcBorders>
            <w:vAlign w:val="center"/>
          </w:tcPr>
          <w:p w14:paraId="6EE3CBD7"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sz w:val="15"/>
                <w:szCs w:val="15"/>
              </w:rPr>
              <w:t>22417</w:t>
            </w:r>
          </w:p>
        </w:tc>
        <w:tc>
          <w:tcPr>
            <w:tcW w:w="1481" w:type="dxa"/>
            <w:tcBorders>
              <w:top w:val="single" w:sz="4" w:space="0" w:color="auto"/>
              <w:left w:val="nil"/>
              <w:bottom w:val="nil"/>
              <w:right w:val="nil"/>
            </w:tcBorders>
            <w:vAlign w:val="center"/>
          </w:tcPr>
          <w:p w14:paraId="340FE57A"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sz w:val="15"/>
                <w:szCs w:val="15"/>
              </w:rPr>
              <w:t>22417</w:t>
            </w:r>
          </w:p>
        </w:tc>
        <w:tc>
          <w:tcPr>
            <w:tcW w:w="1481" w:type="dxa"/>
            <w:tcBorders>
              <w:top w:val="single" w:sz="4" w:space="0" w:color="auto"/>
              <w:left w:val="nil"/>
              <w:bottom w:val="nil"/>
              <w:right w:val="nil"/>
            </w:tcBorders>
            <w:vAlign w:val="center"/>
          </w:tcPr>
          <w:p w14:paraId="60E34239"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sz w:val="15"/>
                <w:szCs w:val="15"/>
              </w:rPr>
              <w:t>22417</w:t>
            </w:r>
          </w:p>
        </w:tc>
        <w:tc>
          <w:tcPr>
            <w:tcW w:w="1481" w:type="dxa"/>
            <w:tcBorders>
              <w:top w:val="single" w:sz="4" w:space="0" w:color="auto"/>
              <w:left w:val="nil"/>
              <w:bottom w:val="nil"/>
              <w:right w:val="nil"/>
            </w:tcBorders>
            <w:vAlign w:val="center"/>
          </w:tcPr>
          <w:p w14:paraId="09707ACC"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sz w:val="15"/>
                <w:szCs w:val="15"/>
              </w:rPr>
              <w:t>22417</w:t>
            </w:r>
          </w:p>
        </w:tc>
        <w:tc>
          <w:tcPr>
            <w:tcW w:w="1481" w:type="dxa"/>
            <w:tcBorders>
              <w:top w:val="single" w:sz="4" w:space="0" w:color="auto"/>
              <w:left w:val="nil"/>
              <w:bottom w:val="nil"/>
              <w:right w:val="nil"/>
            </w:tcBorders>
            <w:vAlign w:val="center"/>
          </w:tcPr>
          <w:p w14:paraId="3B23A1C7"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sz w:val="15"/>
                <w:szCs w:val="15"/>
              </w:rPr>
              <w:t>22417</w:t>
            </w:r>
          </w:p>
        </w:tc>
      </w:tr>
      <w:tr w:rsidR="007F7EE4" w:rsidRPr="007F7EE4" w14:paraId="75D3BE43" w14:textId="77777777">
        <w:trPr>
          <w:trHeight w:val="321"/>
        </w:trPr>
        <w:tc>
          <w:tcPr>
            <w:tcW w:w="1266" w:type="dxa"/>
            <w:tcBorders>
              <w:top w:val="nil"/>
              <w:left w:val="nil"/>
              <w:bottom w:val="single" w:sz="4" w:space="0" w:color="auto"/>
              <w:right w:val="nil"/>
            </w:tcBorders>
          </w:tcPr>
          <w:p w14:paraId="280290C7" w14:textId="77777777" w:rsidR="00D45CD8" w:rsidRPr="007F7EE4" w:rsidRDefault="00AC3F08">
            <w:pPr>
              <w:pStyle w:val="af6"/>
              <w:rPr>
                <w:rFonts w:ascii="Times New Roman" w:hAnsi="Times New Roman" w:cs="Times New Roman"/>
                <w:sz w:val="15"/>
                <w:szCs w:val="15"/>
              </w:rPr>
            </w:pPr>
            <w:r w:rsidRPr="007F7EE4">
              <w:rPr>
                <w:rFonts w:ascii="Times New Roman" w:hAnsi="Times New Roman" w:cs="Times New Roman"/>
                <w:sz w:val="15"/>
                <w:szCs w:val="15"/>
              </w:rPr>
              <w:t>r2_a</w:t>
            </w:r>
          </w:p>
        </w:tc>
        <w:tc>
          <w:tcPr>
            <w:tcW w:w="1481" w:type="dxa"/>
            <w:tcBorders>
              <w:top w:val="nil"/>
              <w:left w:val="nil"/>
              <w:bottom w:val="single" w:sz="4" w:space="0" w:color="auto"/>
              <w:right w:val="nil"/>
            </w:tcBorders>
            <w:vAlign w:val="center"/>
          </w:tcPr>
          <w:p w14:paraId="0578FD1C"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0.289</w:t>
            </w:r>
          </w:p>
        </w:tc>
        <w:tc>
          <w:tcPr>
            <w:tcW w:w="1481" w:type="dxa"/>
            <w:tcBorders>
              <w:top w:val="nil"/>
              <w:left w:val="nil"/>
              <w:bottom w:val="single" w:sz="4" w:space="0" w:color="auto"/>
              <w:right w:val="nil"/>
            </w:tcBorders>
            <w:vAlign w:val="center"/>
          </w:tcPr>
          <w:p w14:paraId="0D92D458"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0.276</w:t>
            </w:r>
          </w:p>
        </w:tc>
        <w:tc>
          <w:tcPr>
            <w:tcW w:w="1481" w:type="dxa"/>
            <w:tcBorders>
              <w:top w:val="nil"/>
              <w:left w:val="nil"/>
              <w:bottom w:val="single" w:sz="4" w:space="0" w:color="auto"/>
              <w:right w:val="nil"/>
            </w:tcBorders>
            <w:vAlign w:val="center"/>
          </w:tcPr>
          <w:p w14:paraId="54E8FE26"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0.274</w:t>
            </w:r>
          </w:p>
        </w:tc>
        <w:tc>
          <w:tcPr>
            <w:tcW w:w="1481" w:type="dxa"/>
            <w:tcBorders>
              <w:top w:val="nil"/>
              <w:left w:val="nil"/>
              <w:bottom w:val="single" w:sz="4" w:space="0" w:color="auto"/>
              <w:right w:val="nil"/>
            </w:tcBorders>
            <w:vAlign w:val="center"/>
          </w:tcPr>
          <w:p w14:paraId="096ACAE7"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0.274</w:t>
            </w:r>
          </w:p>
        </w:tc>
        <w:tc>
          <w:tcPr>
            <w:tcW w:w="1481" w:type="dxa"/>
            <w:tcBorders>
              <w:top w:val="nil"/>
              <w:left w:val="nil"/>
              <w:bottom w:val="single" w:sz="4" w:space="0" w:color="auto"/>
              <w:right w:val="nil"/>
            </w:tcBorders>
            <w:vAlign w:val="center"/>
          </w:tcPr>
          <w:p w14:paraId="60F6C440" w14:textId="77777777" w:rsidR="00D45CD8" w:rsidRPr="007F7EE4" w:rsidRDefault="00AC3F08">
            <w:pPr>
              <w:pStyle w:val="af6"/>
              <w:jc w:val="left"/>
              <w:rPr>
                <w:rFonts w:ascii="Times New Roman" w:eastAsia="宋体" w:hAnsi="Times New Roman" w:cs="Times New Roman"/>
                <w:sz w:val="15"/>
                <w:szCs w:val="15"/>
              </w:rPr>
            </w:pPr>
            <w:r w:rsidRPr="007F7EE4">
              <w:rPr>
                <w:rFonts w:ascii="Times New Roman" w:eastAsia="宋体" w:hAnsi="Times New Roman" w:cs="Times New Roman"/>
                <w:kern w:val="0"/>
                <w:sz w:val="15"/>
                <w:szCs w:val="15"/>
              </w:rPr>
              <w:t>0.275</w:t>
            </w:r>
          </w:p>
        </w:tc>
      </w:tr>
    </w:tbl>
    <w:p w14:paraId="57370993" w14:textId="77777777" w:rsidR="00D45CD8" w:rsidRPr="007F7EE4" w:rsidRDefault="00AC3F08">
      <w:pPr>
        <w:pStyle w:val="2"/>
      </w:pPr>
      <w:r w:rsidRPr="007F7EE4">
        <w:rPr>
          <w:rFonts w:hint="eastAsia"/>
        </w:rPr>
        <w:t>（二）企业社会责任对企业绿色技术创新的异质性分析</w:t>
      </w:r>
    </w:p>
    <w:p w14:paraId="75772258" w14:textId="77777777" w:rsidR="00D45CD8" w:rsidRPr="007F7EE4" w:rsidRDefault="00AC3F08">
      <w:pPr>
        <w:ind w:firstLine="420"/>
      </w:pPr>
      <w:r w:rsidRPr="007F7EE4">
        <w:t>为进一步考察企业内部治理激励制度</w:t>
      </w:r>
      <w:r w:rsidRPr="007F7EE4">
        <w:rPr>
          <w:rFonts w:hint="eastAsia"/>
        </w:rPr>
        <w:t>、</w:t>
      </w:r>
      <w:r w:rsidRPr="007F7EE4">
        <w:t>企业社会责任外部强制性制度压力以及企业规模特征异质性下企业社会责任对企业绿色技术创新的驱动效应</w:t>
      </w:r>
      <w:r w:rsidRPr="007F7EE4">
        <w:rPr>
          <w:rFonts w:hint="eastAsia"/>
        </w:rPr>
        <w:t>。</w:t>
      </w:r>
      <w:r w:rsidRPr="007F7EE4">
        <w:t>首先</w:t>
      </w:r>
      <w:r w:rsidRPr="007F7EE4">
        <w:rPr>
          <w:rFonts w:hint="eastAsia"/>
        </w:rPr>
        <w:t>，</w:t>
      </w:r>
      <w:r w:rsidRPr="007F7EE4">
        <w:t>从企业高管激励的视角来看</w:t>
      </w:r>
      <w:r w:rsidRPr="007F7EE4">
        <w:rPr>
          <w:rFonts w:hint="eastAsia"/>
        </w:rPr>
        <w:t>，</w:t>
      </w:r>
      <w:r w:rsidRPr="007F7EE4">
        <w:t>高管持股作为内部治理中的一项重要激励制度</w:t>
      </w:r>
      <w:r w:rsidRPr="007F7EE4">
        <w:rPr>
          <w:rFonts w:hint="eastAsia"/>
        </w:rPr>
        <w:t>，</w:t>
      </w:r>
      <w:r w:rsidRPr="007F7EE4">
        <w:t>被认为是企业具备长期导向的激励制度安排</w:t>
      </w:r>
      <w:r w:rsidRPr="007F7EE4">
        <w:rPr>
          <w:rFonts w:hint="eastAsia"/>
        </w:rPr>
        <w:t>，</w:t>
      </w:r>
      <w:r w:rsidRPr="007F7EE4">
        <w:t>有助于强化企业战略决策过程中的可持续导向</w:t>
      </w:r>
      <w:r w:rsidRPr="007F7EE4">
        <w:rPr>
          <w:rFonts w:hint="eastAsia"/>
        </w:rPr>
        <w:t>。</w:t>
      </w:r>
      <w:r w:rsidRPr="007F7EE4">
        <w:t>基于此</w:t>
      </w:r>
      <w:r w:rsidRPr="007F7EE4">
        <w:rPr>
          <w:rFonts w:hint="eastAsia"/>
        </w:rPr>
        <w:t>，</w:t>
      </w:r>
      <w:r w:rsidRPr="007F7EE4">
        <w:t>本文基于是否存在高管持股区分两类样本</w:t>
      </w:r>
      <w:r w:rsidRPr="007F7EE4">
        <w:rPr>
          <w:rFonts w:hint="eastAsia"/>
        </w:rPr>
        <w:t>，</w:t>
      </w:r>
      <w:r w:rsidRPr="007F7EE4">
        <w:t>考察企业社会责任在不同激励制度环境下企业绿色技术创新绩效的驱动效应差异性</w:t>
      </w:r>
      <w:r w:rsidRPr="007F7EE4">
        <w:rPr>
          <w:rFonts w:hint="eastAsia"/>
        </w:rPr>
        <w:t>。</w:t>
      </w:r>
      <w:r w:rsidRPr="007F7EE4">
        <w:t>基于表</w:t>
      </w:r>
      <w:r w:rsidRPr="007F7EE4">
        <w:rPr>
          <w:rFonts w:hint="eastAsia"/>
        </w:rPr>
        <w:t>10</w:t>
      </w:r>
      <w:r w:rsidRPr="007F7EE4">
        <w:rPr>
          <w:rFonts w:hint="eastAsia"/>
        </w:rPr>
        <w:t>的研究结果表明，在存在高管持股的样本下，企业社会责任对企业绿色技术创新的驱动效应更为明显，不管是对绿色技术创新的专利申请还是专利授权都产生显著的正向促进效应，通过了</w:t>
      </w:r>
      <w:r w:rsidRPr="007F7EE4">
        <w:rPr>
          <w:rFonts w:hint="eastAsia"/>
        </w:rPr>
        <w:t>1%</w:t>
      </w:r>
      <w:r w:rsidRPr="007F7EE4">
        <w:rPr>
          <w:rFonts w:hint="eastAsia"/>
        </w:rPr>
        <w:t>水平下的显著性检验，说明企业社会责任对企业绿色技术创新的驱动效应在高管激励的可持续导向下能够产生更为强劲的可持续绿色技术创新动力，促进企业更好地保持企业绿色技术创新的战略的一致性与可持续性。</w:t>
      </w:r>
    </w:p>
    <w:p w14:paraId="766D70EB"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t>10</w:t>
      </w:r>
      <w:r w:rsidRPr="007F7EE4">
        <w:rPr>
          <w:rFonts w:hint="eastAsia"/>
        </w:rPr>
        <w:t xml:space="preserve"> </w:t>
      </w:r>
      <w:r w:rsidRPr="007F7EE4">
        <w:rPr>
          <w:rFonts w:hint="eastAsia"/>
        </w:rPr>
        <w:t>高管持股异质性检验</w:t>
      </w:r>
    </w:p>
    <w:p w14:paraId="5F91D763"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1705"/>
        <w:gridCol w:w="1705"/>
        <w:gridCol w:w="1704"/>
        <w:gridCol w:w="1704"/>
        <w:gridCol w:w="1704"/>
      </w:tblGrid>
      <w:tr w:rsidR="007F7EE4" w:rsidRPr="007F7EE4" w14:paraId="7615D78C" w14:textId="77777777">
        <w:tc>
          <w:tcPr>
            <w:tcW w:w="1705" w:type="dxa"/>
            <w:tcBorders>
              <w:top w:val="single" w:sz="4" w:space="0" w:color="auto"/>
              <w:left w:val="nil"/>
              <w:bottom w:val="nil"/>
              <w:right w:val="nil"/>
            </w:tcBorders>
          </w:tcPr>
          <w:p w14:paraId="7900E015"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single" w:sz="4" w:space="0" w:color="auto"/>
              <w:left w:val="nil"/>
              <w:bottom w:val="nil"/>
              <w:right w:val="nil"/>
            </w:tcBorders>
          </w:tcPr>
          <w:p w14:paraId="31A16DC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704" w:type="dxa"/>
            <w:tcBorders>
              <w:top w:val="single" w:sz="4" w:space="0" w:color="auto"/>
              <w:left w:val="nil"/>
              <w:bottom w:val="nil"/>
              <w:right w:val="nil"/>
            </w:tcBorders>
          </w:tcPr>
          <w:p w14:paraId="18FD57B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704" w:type="dxa"/>
            <w:tcBorders>
              <w:top w:val="single" w:sz="4" w:space="0" w:color="auto"/>
              <w:left w:val="nil"/>
              <w:bottom w:val="nil"/>
              <w:right w:val="nil"/>
            </w:tcBorders>
          </w:tcPr>
          <w:p w14:paraId="4A1ADAF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704" w:type="dxa"/>
            <w:tcBorders>
              <w:top w:val="single" w:sz="4" w:space="0" w:color="auto"/>
              <w:left w:val="nil"/>
              <w:bottom w:val="nil"/>
              <w:right w:val="nil"/>
            </w:tcBorders>
          </w:tcPr>
          <w:p w14:paraId="034E837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r>
      <w:tr w:rsidR="007F7EE4" w:rsidRPr="007F7EE4" w14:paraId="07ACD890" w14:textId="77777777">
        <w:tc>
          <w:tcPr>
            <w:tcW w:w="1705" w:type="dxa"/>
            <w:tcBorders>
              <w:left w:val="nil"/>
              <w:bottom w:val="nil"/>
              <w:right w:val="nil"/>
            </w:tcBorders>
          </w:tcPr>
          <w:p w14:paraId="3EFB10F8"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3409" w:type="dxa"/>
            <w:gridSpan w:val="2"/>
            <w:tcBorders>
              <w:left w:val="nil"/>
              <w:bottom w:val="nil"/>
              <w:right w:val="nil"/>
            </w:tcBorders>
          </w:tcPr>
          <w:p w14:paraId="40C6D548"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3408" w:type="dxa"/>
            <w:gridSpan w:val="2"/>
            <w:tcBorders>
              <w:left w:val="nil"/>
              <w:bottom w:val="nil"/>
              <w:right w:val="nil"/>
            </w:tcBorders>
          </w:tcPr>
          <w:p w14:paraId="26F1072C"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4386DE18" w14:textId="77777777">
        <w:tc>
          <w:tcPr>
            <w:tcW w:w="1705" w:type="dxa"/>
            <w:tcBorders>
              <w:top w:val="nil"/>
              <w:left w:val="nil"/>
              <w:bottom w:val="nil"/>
              <w:right w:val="nil"/>
            </w:tcBorders>
          </w:tcPr>
          <w:p w14:paraId="0CFCBAEC"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569BA27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DShare</w:t>
            </w:r>
            <w:proofErr w:type="spellEnd"/>
            <w:r w:rsidRPr="007F7EE4">
              <w:rPr>
                <w:rFonts w:cs="Times New Roman" w:hint="eastAsia"/>
                <w:kern w:val="0"/>
                <w:sz w:val="15"/>
                <w:szCs w:val="15"/>
              </w:rPr>
              <w:t>=</w:t>
            </w:r>
            <w:r w:rsidRPr="007F7EE4">
              <w:rPr>
                <w:rFonts w:cs="Times New Roman"/>
                <w:kern w:val="0"/>
                <w:sz w:val="15"/>
                <w:szCs w:val="15"/>
              </w:rPr>
              <w:t>1</w:t>
            </w:r>
          </w:p>
        </w:tc>
        <w:tc>
          <w:tcPr>
            <w:tcW w:w="1704" w:type="dxa"/>
            <w:tcBorders>
              <w:top w:val="nil"/>
              <w:left w:val="nil"/>
              <w:bottom w:val="nil"/>
              <w:right w:val="nil"/>
            </w:tcBorders>
          </w:tcPr>
          <w:p w14:paraId="2BB46195"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DShare</w:t>
            </w:r>
            <w:proofErr w:type="spellEnd"/>
            <w:r w:rsidRPr="007F7EE4">
              <w:rPr>
                <w:rFonts w:cs="Times New Roman" w:hint="eastAsia"/>
                <w:kern w:val="0"/>
                <w:sz w:val="15"/>
                <w:szCs w:val="15"/>
              </w:rPr>
              <w:t>=</w:t>
            </w:r>
            <w:r w:rsidRPr="007F7EE4">
              <w:rPr>
                <w:rFonts w:cs="Times New Roman"/>
                <w:kern w:val="0"/>
                <w:sz w:val="15"/>
                <w:szCs w:val="15"/>
              </w:rPr>
              <w:t>0</w:t>
            </w:r>
          </w:p>
        </w:tc>
        <w:tc>
          <w:tcPr>
            <w:tcW w:w="1704" w:type="dxa"/>
            <w:tcBorders>
              <w:top w:val="nil"/>
              <w:left w:val="nil"/>
              <w:bottom w:val="nil"/>
              <w:right w:val="nil"/>
            </w:tcBorders>
          </w:tcPr>
          <w:p w14:paraId="42106D5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DShare</w:t>
            </w:r>
            <w:proofErr w:type="spellEnd"/>
            <w:r w:rsidRPr="007F7EE4">
              <w:rPr>
                <w:rFonts w:cs="Times New Roman" w:hint="eastAsia"/>
                <w:kern w:val="0"/>
                <w:sz w:val="15"/>
                <w:szCs w:val="15"/>
              </w:rPr>
              <w:t>=</w:t>
            </w:r>
            <w:r w:rsidRPr="007F7EE4">
              <w:rPr>
                <w:rFonts w:cs="Times New Roman"/>
                <w:kern w:val="0"/>
                <w:sz w:val="15"/>
                <w:szCs w:val="15"/>
              </w:rPr>
              <w:t>1</w:t>
            </w:r>
          </w:p>
        </w:tc>
        <w:tc>
          <w:tcPr>
            <w:tcW w:w="1704" w:type="dxa"/>
            <w:tcBorders>
              <w:top w:val="nil"/>
              <w:left w:val="nil"/>
              <w:bottom w:val="nil"/>
              <w:right w:val="nil"/>
            </w:tcBorders>
          </w:tcPr>
          <w:p w14:paraId="0B4079A1"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kern w:val="0"/>
                <w:sz w:val="15"/>
                <w:szCs w:val="15"/>
              </w:rPr>
              <w:t>DShare</w:t>
            </w:r>
            <w:proofErr w:type="spellEnd"/>
            <w:r w:rsidRPr="007F7EE4">
              <w:rPr>
                <w:rFonts w:cs="Times New Roman" w:hint="eastAsia"/>
                <w:kern w:val="0"/>
                <w:sz w:val="15"/>
                <w:szCs w:val="15"/>
              </w:rPr>
              <w:t>=</w:t>
            </w:r>
            <w:r w:rsidRPr="007F7EE4">
              <w:rPr>
                <w:rFonts w:cs="Times New Roman"/>
                <w:kern w:val="0"/>
                <w:sz w:val="15"/>
                <w:szCs w:val="15"/>
              </w:rPr>
              <w:t>0</w:t>
            </w:r>
          </w:p>
        </w:tc>
      </w:tr>
      <w:tr w:rsidR="007F7EE4" w:rsidRPr="007F7EE4" w14:paraId="187403ED" w14:textId="77777777">
        <w:tc>
          <w:tcPr>
            <w:tcW w:w="1705" w:type="dxa"/>
            <w:tcBorders>
              <w:top w:val="single" w:sz="4" w:space="0" w:color="auto"/>
              <w:left w:val="nil"/>
              <w:bottom w:val="nil"/>
              <w:right w:val="nil"/>
            </w:tcBorders>
          </w:tcPr>
          <w:p w14:paraId="280318EF" w14:textId="77777777" w:rsidR="00D45CD8" w:rsidRPr="007F7EE4" w:rsidRDefault="00AC3F08">
            <w:pPr>
              <w:autoSpaceDE w:val="0"/>
              <w:autoSpaceDN w:val="0"/>
              <w:adjustRightInd w:val="0"/>
              <w:ind w:firstLineChars="0" w:firstLine="0"/>
              <w:jc w:val="left"/>
              <w:rPr>
                <w:rFonts w:cs="Times New Roman"/>
                <w:kern w:val="0"/>
                <w:sz w:val="15"/>
                <w:szCs w:val="15"/>
              </w:rPr>
            </w:pPr>
            <w:proofErr w:type="spellStart"/>
            <w:r w:rsidRPr="007F7EE4">
              <w:rPr>
                <w:rFonts w:cs="Times New Roman"/>
                <w:kern w:val="0"/>
                <w:sz w:val="15"/>
                <w:szCs w:val="15"/>
              </w:rPr>
              <w:t>lnCSR</w:t>
            </w:r>
            <w:proofErr w:type="spellEnd"/>
          </w:p>
        </w:tc>
        <w:tc>
          <w:tcPr>
            <w:tcW w:w="1705" w:type="dxa"/>
            <w:tcBorders>
              <w:top w:val="single" w:sz="4" w:space="0" w:color="auto"/>
              <w:left w:val="nil"/>
              <w:bottom w:val="nil"/>
              <w:right w:val="nil"/>
            </w:tcBorders>
          </w:tcPr>
          <w:p w14:paraId="19E056F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0.106***</w:t>
            </w:r>
          </w:p>
        </w:tc>
        <w:tc>
          <w:tcPr>
            <w:tcW w:w="1704" w:type="dxa"/>
            <w:tcBorders>
              <w:top w:val="single" w:sz="4" w:space="0" w:color="auto"/>
              <w:left w:val="nil"/>
              <w:bottom w:val="nil"/>
              <w:right w:val="nil"/>
            </w:tcBorders>
          </w:tcPr>
          <w:p w14:paraId="4E75799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0.044**</w:t>
            </w:r>
          </w:p>
        </w:tc>
        <w:tc>
          <w:tcPr>
            <w:tcW w:w="1704" w:type="dxa"/>
            <w:tcBorders>
              <w:top w:val="single" w:sz="4" w:space="0" w:color="auto"/>
              <w:left w:val="nil"/>
              <w:bottom w:val="nil"/>
              <w:right w:val="nil"/>
            </w:tcBorders>
          </w:tcPr>
          <w:p w14:paraId="0BC6FF6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0.088***</w:t>
            </w:r>
          </w:p>
        </w:tc>
        <w:tc>
          <w:tcPr>
            <w:tcW w:w="1704" w:type="dxa"/>
            <w:tcBorders>
              <w:top w:val="single" w:sz="4" w:space="0" w:color="auto"/>
              <w:left w:val="nil"/>
              <w:bottom w:val="nil"/>
              <w:right w:val="nil"/>
            </w:tcBorders>
          </w:tcPr>
          <w:p w14:paraId="6C41194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0.027</w:t>
            </w:r>
          </w:p>
        </w:tc>
      </w:tr>
      <w:tr w:rsidR="007F7EE4" w:rsidRPr="007F7EE4" w14:paraId="775F2682" w14:textId="77777777">
        <w:tc>
          <w:tcPr>
            <w:tcW w:w="1705" w:type="dxa"/>
            <w:tcBorders>
              <w:top w:val="nil"/>
              <w:left w:val="nil"/>
              <w:bottom w:val="nil"/>
              <w:right w:val="nil"/>
            </w:tcBorders>
          </w:tcPr>
          <w:p w14:paraId="35C75F0F"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3C96929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(0.016)</w:t>
            </w:r>
          </w:p>
        </w:tc>
        <w:tc>
          <w:tcPr>
            <w:tcW w:w="1704" w:type="dxa"/>
            <w:tcBorders>
              <w:top w:val="nil"/>
              <w:left w:val="nil"/>
              <w:bottom w:val="nil"/>
              <w:right w:val="nil"/>
            </w:tcBorders>
          </w:tcPr>
          <w:p w14:paraId="7783C53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(0.020)</w:t>
            </w:r>
          </w:p>
        </w:tc>
        <w:tc>
          <w:tcPr>
            <w:tcW w:w="1704" w:type="dxa"/>
            <w:tcBorders>
              <w:top w:val="nil"/>
              <w:left w:val="nil"/>
              <w:bottom w:val="nil"/>
              <w:right w:val="nil"/>
            </w:tcBorders>
          </w:tcPr>
          <w:p w14:paraId="1532891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(0.014)</w:t>
            </w:r>
          </w:p>
        </w:tc>
        <w:tc>
          <w:tcPr>
            <w:tcW w:w="1704" w:type="dxa"/>
            <w:tcBorders>
              <w:top w:val="nil"/>
              <w:left w:val="nil"/>
              <w:bottom w:val="nil"/>
              <w:right w:val="nil"/>
            </w:tcBorders>
          </w:tcPr>
          <w:p w14:paraId="4EC1AEE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(0.017)</w:t>
            </w:r>
          </w:p>
        </w:tc>
      </w:tr>
      <w:tr w:rsidR="007F7EE4" w:rsidRPr="007F7EE4" w14:paraId="247780A3" w14:textId="77777777">
        <w:tc>
          <w:tcPr>
            <w:tcW w:w="1705" w:type="dxa"/>
            <w:tcBorders>
              <w:top w:val="nil"/>
              <w:left w:val="nil"/>
              <w:bottom w:val="nil"/>
              <w:right w:val="nil"/>
            </w:tcBorders>
          </w:tcPr>
          <w:p w14:paraId="18554696"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_cons</w:t>
            </w:r>
          </w:p>
        </w:tc>
        <w:tc>
          <w:tcPr>
            <w:tcW w:w="1705" w:type="dxa"/>
            <w:tcBorders>
              <w:top w:val="nil"/>
              <w:left w:val="nil"/>
              <w:bottom w:val="nil"/>
              <w:right w:val="nil"/>
            </w:tcBorders>
          </w:tcPr>
          <w:p w14:paraId="1A8197A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-2.641***</w:t>
            </w:r>
          </w:p>
        </w:tc>
        <w:tc>
          <w:tcPr>
            <w:tcW w:w="1704" w:type="dxa"/>
            <w:tcBorders>
              <w:top w:val="nil"/>
              <w:left w:val="nil"/>
              <w:bottom w:val="nil"/>
              <w:right w:val="nil"/>
            </w:tcBorders>
          </w:tcPr>
          <w:p w14:paraId="78A2924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-1.989***</w:t>
            </w:r>
          </w:p>
        </w:tc>
        <w:tc>
          <w:tcPr>
            <w:tcW w:w="1704" w:type="dxa"/>
            <w:tcBorders>
              <w:top w:val="nil"/>
              <w:left w:val="nil"/>
              <w:bottom w:val="nil"/>
              <w:right w:val="nil"/>
            </w:tcBorders>
          </w:tcPr>
          <w:p w14:paraId="0FD21CF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-2.361***</w:t>
            </w:r>
          </w:p>
        </w:tc>
        <w:tc>
          <w:tcPr>
            <w:tcW w:w="1704" w:type="dxa"/>
            <w:tcBorders>
              <w:top w:val="nil"/>
              <w:left w:val="nil"/>
              <w:bottom w:val="nil"/>
              <w:right w:val="nil"/>
            </w:tcBorders>
          </w:tcPr>
          <w:p w14:paraId="0AACDBC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-1.695***</w:t>
            </w:r>
          </w:p>
        </w:tc>
      </w:tr>
      <w:tr w:rsidR="007F7EE4" w:rsidRPr="007F7EE4" w14:paraId="0F862E33" w14:textId="77777777">
        <w:tc>
          <w:tcPr>
            <w:tcW w:w="1705" w:type="dxa"/>
            <w:tcBorders>
              <w:top w:val="nil"/>
              <w:left w:val="nil"/>
              <w:bottom w:val="nil"/>
              <w:right w:val="nil"/>
            </w:tcBorders>
          </w:tcPr>
          <w:p w14:paraId="178EBAEB"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59A58AB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(0.100)</w:t>
            </w:r>
          </w:p>
        </w:tc>
        <w:tc>
          <w:tcPr>
            <w:tcW w:w="1704" w:type="dxa"/>
            <w:tcBorders>
              <w:top w:val="nil"/>
              <w:left w:val="nil"/>
              <w:bottom w:val="nil"/>
              <w:right w:val="nil"/>
            </w:tcBorders>
          </w:tcPr>
          <w:p w14:paraId="3EC72A9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(0.109)</w:t>
            </w:r>
          </w:p>
        </w:tc>
        <w:tc>
          <w:tcPr>
            <w:tcW w:w="1704" w:type="dxa"/>
            <w:tcBorders>
              <w:top w:val="nil"/>
              <w:left w:val="nil"/>
              <w:bottom w:val="nil"/>
              <w:right w:val="nil"/>
            </w:tcBorders>
          </w:tcPr>
          <w:p w14:paraId="79B94E0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(0.080)</w:t>
            </w:r>
          </w:p>
        </w:tc>
        <w:tc>
          <w:tcPr>
            <w:tcW w:w="1704" w:type="dxa"/>
            <w:tcBorders>
              <w:top w:val="nil"/>
              <w:left w:val="nil"/>
              <w:bottom w:val="nil"/>
              <w:right w:val="nil"/>
            </w:tcBorders>
          </w:tcPr>
          <w:p w14:paraId="54F3295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(0.095)</w:t>
            </w:r>
          </w:p>
        </w:tc>
      </w:tr>
      <w:tr w:rsidR="007F7EE4" w:rsidRPr="007F7EE4" w14:paraId="460D8D22" w14:textId="77777777" w:rsidTr="00364D74">
        <w:tc>
          <w:tcPr>
            <w:tcW w:w="1705" w:type="dxa"/>
            <w:tcBorders>
              <w:top w:val="nil"/>
              <w:left w:val="nil"/>
              <w:bottom w:val="nil"/>
              <w:right w:val="nil"/>
            </w:tcBorders>
            <w:vAlign w:val="center"/>
          </w:tcPr>
          <w:p w14:paraId="29A71F77" w14:textId="77777777" w:rsidR="00A77404" w:rsidRPr="007F7EE4" w:rsidRDefault="00A77404">
            <w:pPr>
              <w:autoSpaceDE w:val="0"/>
              <w:autoSpaceDN w:val="0"/>
              <w:adjustRightInd w:val="0"/>
              <w:ind w:firstLineChars="0" w:firstLine="0"/>
              <w:jc w:val="left"/>
              <w:rPr>
                <w:rFonts w:cs="Times New Roman"/>
                <w:kern w:val="0"/>
                <w:sz w:val="15"/>
                <w:szCs w:val="15"/>
              </w:rPr>
            </w:pPr>
            <w:r w:rsidRPr="007F7EE4">
              <w:rPr>
                <w:rFonts w:cs="Times New Roman" w:hint="eastAsia"/>
                <w:kern w:val="0"/>
                <w:sz w:val="15"/>
                <w:szCs w:val="15"/>
              </w:rPr>
              <w:t>Controls</w:t>
            </w:r>
          </w:p>
        </w:tc>
        <w:tc>
          <w:tcPr>
            <w:tcW w:w="1705" w:type="dxa"/>
            <w:tcBorders>
              <w:top w:val="nil"/>
              <w:left w:val="nil"/>
              <w:bottom w:val="nil"/>
              <w:right w:val="nil"/>
            </w:tcBorders>
            <w:vAlign w:val="center"/>
          </w:tcPr>
          <w:p w14:paraId="0B6ECFE8"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352AA92F"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40A948DD"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395D297E"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22251F6C" w14:textId="77777777">
        <w:tc>
          <w:tcPr>
            <w:tcW w:w="1705" w:type="dxa"/>
            <w:tcBorders>
              <w:top w:val="nil"/>
              <w:left w:val="nil"/>
              <w:bottom w:val="nil"/>
              <w:right w:val="nil"/>
            </w:tcBorders>
          </w:tcPr>
          <w:p w14:paraId="10EC1A56"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Industry FE</w:t>
            </w:r>
          </w:p>
        </w:tc>
        <w:tc>
          <w:tcPr>
            <w:tcW w:w="1705" w:type="dxa"/>
            <w:tcBorders>
              <w:top w:val="nil"/>
              <w:left w:val="nil"/>
              <w:bottom w:val="nil"/>
              <w:right w:val="nil"/>
            </w:tcBorders>
          </w:tcPr>
          <w:p w14:paraId="4CBB059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3DD191F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2BD8DDF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39C6FEA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2573EC0D" w14:textId="77777777">
        <w:tc>
          <w:tcPr>
            <w:tcW w:w="1705" w:type="dxa"/>
            <w:tcBorders>
              <w:top w:val="nil"/>
              <w:left w:val="nil"/>
              <w:bottom w:val="single" w:sz="4" w:space="0" w:color="auto"/>
              <w:right w:val="nil"/>
            </w:tcBorders>
          </w:tcPr>
          <w:p w14:paraId="05332D48"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Year FE</w:t>
            </w:r>
          </w:p>
        </w:tc>
        <w:tc>
          <w:tcPr>
            <w:tcW w:w="1705" w:type="dxa"/>
            <w:tcBorders>
              <w:top w:val="nil"/>
              <w:left w:val="nil"/>
              <w:bottom w:val="single" w:sz="4" w:space="0" w:color="auto"/>
              <w:right w:val="nil"/>
            </w:tcBorders>
          </w:tcPr>
          <w:p w14:paraId="175CDBB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60664DB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4FC0CCA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32774A8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3C930DE7" w14:textId="77777777">
        <w:tc>
          <w:tcPr>
            <w:tcW w:w="1705" w:type="dxa"/>
            <w:tcBorders>
              <w:top w:val="single" w:sz="4" w:space="0" w:color="auto"/>
              <w:left w:val="nil"/>
              <w:bottom w:val="nil"/>
              <w:right w:val="nil"/>
            </w:tcBorders>
          </w:tcPr>
          <w:p w14:paraId="6B33669E"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N</w:t>
            </w:r>
          </w:p>
        </w:tc>
        <w:tc>
          <w:tcPr>
            <w:tcW w:w="1705" w:type="dxa"/>
            <w:tcBorders>
              <w:top w:val="single" w:sz="4" w:space="0" w:color="auto"/>
              <w:left w:val="nil"/>
              <w:bottom w:val="nil"/>
              <w:right w:val="nil"/>
            </w:tcBorders>
          </w:tcPr>
          <w:p w14:paraId="2DF4A89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16171</w:t>
            </w:r>
          </w:p>
        </w:tc>
        <w:tc>
          <w:tcPr>
            <w:tcW w:w="1704" w:type="dxa"/>
            <w:tcBorders>
              <w:top w:val="single" w:sz="4" w:space="0" w:color="auto"/>
              <w:left w:val="nil"/>
              <w:bottom w:val="nil"/>
              <w:right w:val="nil"/>
            </w:tcBorders>
          </w:tcPr>
          <w:p w14:paraId="1DF3B58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6246</w:t>
            </w:r>
          </w:p>
        </w:tc>
        <w:tc>
          <w:tcPr>
            <w:tcW w:w="1704" w:type="dxa"/>
            <w:tcBorders>
              <w:top w:val="single" w:sz="4" w:space="0" w:color="auto"/>
              <w:left w:val="nil"/>
              <w:bottom w:val="nil"/>
              <w:right w:val="nil"/>
            </w:tcBorders>
          </w:tcPr>
          <w:p w14:paraId="29885A6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16171</w:t>
            </w:r>
          </w:p>
        </w:tc>
        <w:tc>
          <w:tcPr>
            <w:tcW w:w="1704" w:type="dxa"/>
            <w:tcBorders>
              <w:top w:val="single" w:sz="4" w:space="0" w:color="auto"/>
              <w:left w:val="nil"/>
              <w:bottom w:val="nil"/>
              <w:right w:val="nil"/>
            </w:tcBorders>
          </w:tcPr>
          <w:p w14:paraId="6F020BF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6246</w:t>
            </w:r>
          </w:p>
        </w:tc>
      </w:tr>
      <w:tr w:rsidR="00D45CD8" w:rsidRPr="007F7EE4" w14:paraId="53DBCDE0" w14:textId="77777777">
        <w:tc>
          <w:tcPr>
            <w:tcW w:w="1705" w:type="dxa"/>
            <w:tcBorders>
              <w:top w:val="nil"/>
              <w:left w:val="nil"/>
              <w:bottom w:val="single" w:sz="4" w:space="0" w:color="auto"/>
              <w:right w:val="nil"/>
            </w:tcBorders>
          </w:tcPr>
          <w:p w14:paraId="70892FDB"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r2_a</w:t>
            </w:r>
          </w:p>
        </w:tc>
        <w:tc>
          <w:tcPr>
            <w:tcW w:w="1705" w:type="dxa"/>
            <w:tcBorders>
              <w:top w:val="nil"/>
              <w:left w:val="nil"/>
              <w:bottom w:val="single" w:sz="4" w:space="0" w:color="auto"/>
              <w:right w:val="nil"/>
            </w:tcBorders>
          </w:tcPr>
          <w:p w14:paraId="59FDD5B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0.298</w:t>
            </w:r>
          </w:p>
        </w:tc>
        <w:tc>
          <w:tcPr>
            <w:tcW w:w="1704" w:type="dxa"/>
            <w:tcBorders>
              <w:top w:val="nil"/>
              <w:left w:val="nil"/>
              <w:bottom w:val="single" w:sz="4" w:space="0" w:color="auto"/>
              <w:right w:val="nil"/>
            </w:tcBorders>
          </w:tcPr>
          <w:p w14:paraId="79FC18A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0.271</w:t>
            </w:r>
          </w:p>
        </w:tc>
        <w:tc>
          <w:tcPr>
            <w:tcW w:w="1704" w:type="dxa"/>
            <w:tcBorders>
              <w:top w:val="nil"/>
              <w:left w:val="nil"/>
              <w:bottom w:val="single" w:sz="4" w:space="0" w:color="auto"/>
              <w:right w:val="nil"/>
            </w:tcBorders>
          </w:tcPr>
          <w:p w14:paraId="574ABCB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0.287</w:t>
            </w:r>
          </w:p>
        </w:tc>
        <w:tc>
          <w:tcPr>
            <w:tcW w:w="1704" w:type="dxa"/>
            <w:tcBorders>
              <w:top w:val="nil"/>
              <w:left w:val="nil"/>
              <w:bottom w:val="single" w:sz="4" w:space="0" w:color="auto"/>
              <w:right w:val="nil"/>
            </w:tcBorders>
          </w:tcPr>
          <w:p w14:paraId="6935E69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0.252</w:t>
            </w:r>
          </w:p>
        </w:tc>
      </w:tr>
    </w:tbl>
    <w:p w14:paraId="3275EBDC" w14:textId="77777777" w:rsidR="00D45CD8" w:rsidRPr="007F7EE4" w:rsidRDefault="00D45CD8">
      <w:pPr>
        <w:ind w:firstLine="420"/>
      </w:pPr>
    </w:p>
    <w:p w14:paraId="70E61675" w14:textId="77777777" w:rsidR="00D45CD8" w:rsidRPr="007F7EE4" w:rsidRDefault="00AC3F08">
      <w:pPr>
        <w:ind w:firstLine="420"/>
      </w:pPr>
      <w:r w:rsidRPr="007F7EE4">
        <w:t>其次</w:t>
      </w:r>
      <w:r w:rsidRPr="007F7EE4">
        <w:rPr>
          <w:rFonts w:hint="eastAsia"/>
        </w:rPr>
        <w:t>，</w:t>
      </w:r>
      <w:r w:rsidRPr="007F7EE4">
        <w:t>进一步考察企业社会责任披露制度的异质性在企业社会责任与企业绿色技术创新绩效之间的差异性效应</w:t>
      </w:r>
      <w:r w:rsidRPr="007F7EE4">
        <w:rPr>
          <w:rFonts w:hint="eastAsia"/>
        </w:rPr>
        <w:t>，本文根据润灵企业社会责任评级结果区分强制性披露与非强制性披露，定义强制性披露虚拟变量，进一步检验不同披露制度环境下企业社会责任对企业绿色技术创新绩效的差异性。研究结果表明，在强制性披露样本下，企业社会责任对企业绿色技术创新的专利申请与专利授权产生显著的促进效应，但是对非强制性披露产生正向效应未能通过</w:t>
      </w:r>
      <w:r w:rsidRPr="007F7EE4">
        <w:rPr>
          <w:rFonts w:hint="eastAsia"/>
        </w:rPr>
        <w:t>10%</w:t>
      </w:r>
      <w:r w:rsidRPr="007F7EE4">
        <w:rPr>
          <w:rFonts w:hint="eastAsia"/>
        </w:rPr>
        <w:t>水平下的显著性检验，说明当前驱动企业绿色技术创新绩效的更多的是具有外部强制社会责任制度环境的上市企业中开展，这类企业面临更多的外部社会责任尤其是绿色可持续导向的制度压力，基于外部制度压力效应形成绿色技术创新绩效的传导促进效应。</w:t>
      </w:r>
    </w:p>
    <w:p w14:paraId="45F887E8"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t>11</w:t>
      </w:r>
      <w:r w:rsidRPr="007F7EE4">
        <w:rPr>
          <w:rFonts w:hint="eastAsia"/>
        </w:rPr>
        <w:t xml:space="preserve"> </w:t>
      </w:r>
      <w:r w:rsidRPr="007F7EE4">
        <w:rPr>
          <w:rFonts w:hint="eastAsia"/>
        </w:rPr>
        <w:t>强制披露异质性检验</w:t>
      </w:r>
    </w:p>
    <w:p w14:paraId="6A829D6E"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1705"/>
        <w:gridCol w:w="1705"/>
        <w:gridCol w:w="1704"/>
        <w:gridCol w:w="1704"/>
        <w:gridCol w:w="1704"/>
      </w:tblGrid>
      <w:tr w:rsidR="007F7EE4" w:rsidRPr="007F7EE4" w14:paraId="4C74A42D" w14:textId="77777777">
        <w:tc>
          <w:tcPr>
            <w:tcW w:w="1705" w:type="dxa"/>
            <w:tcBorders>
              <w:top w:val="single" w:sz="4" w:space="0" w:color="auto"/>
              <w:left w:val="nil"/>
              <w:bottom w:val="nil"/>
              <w:right w:val="nil"/>
            </w:tcBorders>
          </w:tcPr>
          <w:p w14:paraId="2FDE701C"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single" w:sz="4" w:space="0" w:color="auto"/>
              <w:left w:val="nil"/>
              <w:bottom w:val="nil"/>
              <w:right w:val="nil"/>
            </w:tcBorders>
          </w:tcPr>
          <w:p w14:paraId="037FB24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704" w:type="dxa"/>
            <w:tcBorders>
              <w:top w:val="single" w:sz="4" w:space="0" w:color="auto"/>
              <w:left w:val="nil"/>
              <w:bottom w:val="nil"/>
              <w:right w:val="nil"/>
            </w:tcBorders>
          </w:tcPr>
          <w:p w14:paraId="54E6E19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704" w:type="dxa"/>
            <w:tcBorders>
              <w:top w:val="single" w:sz="4" w:space="0" w:color="auto"/>
              <w:left w:val="nil"/>
              <w:bottom w:val="nil"/>
              <w:right w:val="nil"/>
            </w:tcBorders>
          </w:tcPr>
          <w:p w14:paraId="38689C7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704" w:type="dxa"/>
            <w:tcBorders>
              <w:top w:val="single" w:sz="4" w:space="0" w:color="auto"/>
              <w:left w:val="nil"/>
              <w:bottom w:val="nil"/>
              <w:right w:val="nil"/>
            </w:tcBorders>
          </w:tcPr>
          <w:p w14:paraId="2046854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r>
      <w:tr w:rsidR="007F7EE4" w:rsidRPr="007F7EE4" w14:paraId="42E0D898" w14:textId="77777777">
        <w:tc>
          <w:tcPr>
            <w:tcW w:w="1705" w:type="dxa"/>
            <w:tcBorders>
              <w:left w:val="nil"/>
              <w:bottom w:val="nil"/>
              <w:right w:val="nil"/>
            </w:tcBorders>
          </w:tcPr>
          <w:p w14:paraId="31CB3DF2"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3409" w:type="dxa"/>
            <w:gridSpan w:val="2"/>
            <w:tcBorders>
              <w:left w:val="nil"/>
              <w:bottom w:val="nil"/>
              <w:right w:val="nil"/>
            </w:tcBorders>
          </w:tcPr>
          <w:p w14:paraId="5D144075"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3408" w:type="dxa"/>
            <w:gridSpan w:val="2"/>
            <w:tcBorders>
              <w:left w:val="nil"/>
              <w:bottom w:val="nil"/>
              <w:right w:val="nil"/>
            </w:tcBorders>
          </w:tcPr>
          <w:p w14:paraId="6CF9B6A5"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5581F7C4" w14:textId="77777777">
        <w:tc>
          <w:tcPr>
            <w:tcW w:w="1705" w:type="dxa"/>
            <w:tcBorders>
              <w:top w:val="nil"/>
              <w:left w:val="nil"/>
              <w:bottom w:val="nil"/>
              <w:right w:val="nil"/>
            </w:tcBorders>
          </w:tcPr>
          <w:p w14:paraId="46E2146A"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6A35EE23"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Isregulate</w:t>
            </w:r>
            <w:proofErr w:type="spellEnd"/>
            <w:r w:rsidRPr="007F7EE4">
              <w:rPr>
                <w:rFonts w:cs="Times New Roman" w:hint="eastAsia"/>
                <w:kern w:val="0"/>
                <w:sz w:val="15"/>
                <w:szCs w:val="15"/>
              </w:rPr>
              <w:t>=0</w:t>
            </w:r>
          </w:p>
        </w:tc>
        <w:tc>
          <w:tcPr>
            <w:tcW w:w="1704" w:type="dxa"/>
            <w:tcBorders>
              <w:top w:val="nil"/>
              <w:left w:val="nil"/>
              <w:bottom w:val="nil"/>
              <w:right w:val="nil"/>
            </w:tcBorders>
          </w:tcPr>
          <w:p w14:paraId="31FDA76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Isregulate</w:t>
            </w:r>
            <w:proofErr w:type="spellEnd"/>
            <w:r w:rsidRPr="007F7EE4">
              <w:rPr>
                <w:rFonts w:cs="Times New Roman" w:hint="eastAsia"/>
                <w:kern w:val="0"/>
                <w:sz w:val="15"/>
                <w:szCs w:val="15"/>
              </w:rPr>
              <w:t xml:space="preserve"> =1</w:t>
            </w:r>
          </w:p>
        </w:tc>
        <w:tc>
          <w:tcPr>
            <w:tcW w:w="1704" w:type="dxa"/>
            <w:tcBorders>
              <w:top w:val="nil"/>
              <w:left w:val="nil"/>
              <w:bottom w:val="nil"/>
              <w:right w:val="nil"/>
            </w:tcBorders>
          </w:tcPr>
          <w:p w14:paraId="6B0D0452"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Isregulate</w:t>
            </w:r>
            <w:proofErr w:type="spellEnd"/>
            <w:r w:rsidRPr="007F7EE4">
              <w:rPr>
                <w:rFonts w:cs="Times New Roman" w:hint="eastAsia"/>
                <w:kern w:val="0"/>
                <w:sz w:val="15"/>
                <w:szCs w:val="15"/>
              </w:rPr>
              <w:t xml:space="preserve"> =0</w:t>
            </w:r>
          </w:p>
        </w:tc>
        <w:tc>
          <w:tcPr>
            <w:tcW w:w="1704" w:type="dxa"/>
            <w:tcBorders>
              <w:top w:val="nil"/>
              <w:left w:val="nil"/>
              <w:bottom w:val="nil"/>
              <w:right w:val="nil"/>
            </w:tcBorders>
          </w:tcPr>
          <w:p w14:paraId="6D6BA410"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Isregulate</w:t>
            </w:r>
            <w:proofErr w:type="spellEnd"/>
            <w:r w:rsidRPr="007F7EE4">
              <w:rPr>
                <w:rFonts w:cs="Times New Roman" w:hint="eastAsia"/>
                <w:kern w:val="0"/>
                <w:sz w:val="15"/>
                <w:szCs w:val="15"/>
              </w:rPr>
              <w:t xml:space="preserve"> =1</w:t>
            </w:r>
          </w:p>
        </w:tc>
      </w:tr>
      <w:tr w:rsidR="007F7EE4" w:rsidRPr="007F7EE4" w14:paraId="10B370EA" w14:textId="77777777">
        <w:tc>
          <w:tcPr>
            <w:tcW w:w="1705" w:type="dxa"/>
            <w:tcBorders>
              <w:top w:val="single" w:sz="4" w:space="0" w:color="auto"/>
              <w:left w:val="nil"/>
              <w:bottom w:val="nil"/>
              <w:right w:val="nil"/>
            </w:tcBorders>
          </w:tcPr>
          <w:p w14:paraId="760B0114" w14:textId="77777777" w:rsidR="00D45CD8" w:rsidRPr="007F7EE4" w:rsidRDefault="00AC3F08">
            <w:pPr>
              <w:autoSpaceDE w:val="0"/>
              <w:autoSpaceDN w:val="0"/>
              <w:adjustRightInd w:val="0"/>
              <w:ind w:firstLineChars="0" w:firstLine="0"/>
              <w:jc w:val="left"/>
              <w:rPr>
                <w:rFonts w:cs="Times New Roman"/>
                <w:kern w:val="0"/>
                <w:sz w:val="15"/>
                <w:szCs w:val="15"/>
              </w:rPr>
            </w:pPr>
            <w:proofErr w:type="spellStart"/>
            <w:r w:rsidRPr="007F7EE4">
              <w:rPr>
                <w:rFonts w:cs="Times New Roman"/>
                <w:kern w:val="0"/>
                <w:sz w:val="15"/>
                <w:szCs w:val="15"/>
              </w:rPr>
              <w:t>lnCSR</w:t>
            </w:r>
            <w:proofErr w:type="spellEnd"/>
          </w:p>
        </w:tc>
        <w:tc>
          <w:tcPr>
            <w:tcW w:w="1705" w:type="dxa"/>
            <w:tcBorders>
              <w:top w:val="single" w:sz="4" w:space="0" w:color="auto"/>
              <w:left w:val="nil"/>
              <w:bottom w:val="nil"/>
              <w:right w:val="nil"/>
            </w:tcBorders>
          </w:tcPr>
          <w:p w14:paraId="1F35452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0.032</w:t>
            </w:r>
          </w:p>
        </w:tc>
        <w:tc>
          <w:tcPr>
            <w:tcW w:w="1704" w:type="dxa"/>
            <w:tcBorders>
              <w:top w:val="single" w:sz="4" w:space="0" w:color="auto"/>
              <w:left w:val="nil"/>
              <w:bottom w:val="nil"/>
              <w:right w:val="nil"/>
            </w:tcBorders>
          </w:tcPr>
          <w:p w14:paraId="59AB417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0.164***</w:t>
            </w:r>
          </w:p>
        </w:tc>
        <w:tc>
          <w:tcPr>
            <w:tcW w:w="1704" w:type="dxa"/>
            <w:tcBorders>
              <w:top w:val="single" w:sz="4" w:space="0" w:color="auto"/>
              <w:left w:val="nil"/>
              <w:bottom w:val="nil"/>
              <w:right w:val="nil"/>
            </w:tcBorders>
          </w:tcPr>
          <w:p w14:paraId="19FC1B1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0.048</w:t>
            </w:r>
          </w:p>
        </w:tc>
        <w:tc>
          <w:tcPr>
            <w:tcW w:w="1704" w:type="dxa"/>
            <w:tcBorders>
              <w:top w:val="single" w:sz="4" w:space="0" w:color="auto"/>
              <w:left w:val="nil"/>
              <w:bottom w:val="nil"/>
              <w:right w:val="nil"/>
            </w:tcBorders>
          </w:tcPr>
          <w:p w14:paraId="77A85AE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0.100**</w:t>
            </w:r>
          </w:p>
        </w:tc>
      </w:tr>
      <w:tr w:rsidR="007F7EE4" w:rsidRPr="007F7EE4" w14:paraId="602AFF25" w14:textId="77777777">
        <w:tc>
          <w:tcPr>
            <w:tcW w:w="1705" w:type="dxa"/>
            <w:tcBorders>
              <w:top w:val="nil"/>
              <w:left w:val="nil"/>
              <w:bottom w:val="nil"/>
              <w:right w:val="nil"/>
            </w:tcBorders>
          </w:tcPr>
          <w:p w14:paraId="4EFF6832"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374D1FE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(0.039)</w:t>
            </w:r>
          </w:p>
        </w:tc>
        <w:tc>
          <w:tcPr>
            <w:tcW w:w="1704" w:type="dxa"/>
            <w:tcBorders>
              <w:top w:val="nil"/>
              <w:left w:val="nil"/>
              <w:bottom w:val="nil"/>
              <w:right w:val="nil"/>
            </w:tcBorders>
          </w:tcPr>
          <w:p w14:paraId="24CEB82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(0.047)</w:t>
            </w:r>
          </w:p>
        </w:tc>
        <w:tc>
          <w:tcPr>
            <w:tcW w:w="1704" w:type="dxa"/>
            <w:tcBorders>
              <w:top w:val="nil"/>
              <w:left w:val="nil"/>
              <w:bottom w:val="nil"/>
              <w:right w:val="nil"/>
            </w:tcBorders>
          </w:tcPr>
          <w:p w14:paraId="297C00C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(0.033)</w:t>
            </w:r>
          </w:p>
        </w:tc>
        <w:tc>
          <w:tcPr>
            <w:tcW w:w="1704" w:type="dxa"/>
            <w:tcBorders>
              <w:top w:val="nil"/>
              <w:left w:val="nil"/>
              <w:bottom w:val="nil"/>
              <w:right w:val="nil"/>
            </w:tcBorders>
          </w:tcPr>
          <w:p w14:paraId="1536536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(0.042)</w:t>
            </w:r>
          </w:p>
        </w:tc>
      </w:tr>
      <w:tr w:rsidR="007F7EE4" w:rsidRPr="007F7EE4" w14:paraId="510B0551" w14:textId="77777777">
        <w:tc>
          <w:tcPr>
            <w:tcW w:w="1705" w:type="dxa"/>
            <w:tcBorders>
              <w:top w:val="nil"/>
              <w:left w:val="nil"/>
              <w:bottom w:val="nil"/>
              <w:right w:val="nil"/>
            </w:tcBorders>
          </w:tcPr>
          <w:p w14:paraId="6C8B0F06"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_cons</w:t>
            </w:r>
          </w:p>
        </w:tc>
        <w:tc>
          <w:tcPr>
            <w:tcW w:w="1705" w:type="dxa"/>
            <w:tcBorders>
              <w:top w:val="nil"/>
              <w:left w:val="nil"/>
              <w:bottom w:val="nil"/>
              <w:right w:val="nil"/>
            </w:tcBorders>
          </w:tcPr>
          <w:p w14:paraId="2DCC383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-1.885***</w:t>
            </w:r>
          </w:p>
        </w:tc>
        <w:tc>
          <w:tcPr>
            <w:tcW w:w="1704" w:type="dxa"/>
            <w:tcBorders>
              <w:top w:val="nil"/>
              <w:left w:val="nil"/>
              <w:bottom w:val="nil"/>
              <w:right w:val="nil"/>
            </w:tcBorders>
          </w:tcPr>
          <w:p w14:paraId="0E946F9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-3.062***</w:t>
            </w:r>
          </w:p>
        </w:tc>
        <w:tc>
          <w:tcPr>
            <w:tcW w:w="1704" w:type="dxa"/>
            <w:tcBorders>
              <w:top w:val="nil"/>
              <w:left w:val="nil"/>
              <w:bottom w:val="nil"/>
              <w:right w:val="nil"/>
            </w:tcBorders>
          </w:tcPr>
          <w:p w14:paraId="6F88D74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-1.463***</w:t>
            </w:r>
          </w:p>
        </w:tc>
        <w:tc>
          <w:tcPr>
            <w:tcW w:w="1704" w:type="dxa"/>
            <w:tcBorders>
              <w:top w:val="nil"/>
              <w:left w:val="nil"/>
              <w:bottom w:val="nil"/>
              <w:right w:val="nil"/>
            </w:tcBorders>
          </w:tcPr>
          <w:p w14:paraId="6FB6C0B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-2.693***</w:t>
            </w:r>
          </w:p>
        </w:tc>
      </w:tr>
      <w:tr w:rsidR="007F7EE4" w:rsidRPr="007F7EE4" w14:paraId="2C1BF773" w14:textId="77777777">
        <w:tc>
          <w:tcPr>
            <w:tcW w:w="1705" w:type="dxa"/>
            <w:tcBorders>
              <w:top w:val="nil"/>
              <w:left w:val="nil"/>
              <w:bottom w:val="nil"/>
              <w:right w:val="nil"/>
            </w:tcBorders>
          </w:tcPr>
          <w:p w14:paraId="2ED7C520"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26B2282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(0.318)</w:t>
            </w:r>
          </w:p>
        </w:tc>
        <w:tc>
          <w:tcPr>
            <w:tcW w:w="1704" w:type="dxa"/>
            <w:tcBorders>
              <w:top w:val="nil"/>
              <w:left w:val="nil"/>
              <w:bottom w:val="nil"/>
              <w:right w:val="nil"/>
            </w:tcBorders>
          </w:tcPr>
          <w:p w14:paraId="1BBB3D9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(0.256)</w:t>
            </w:r>
          </w:p>
        </w:tc>
        <w:tc>
          <w:tcPr>
            <w:tcW w:w="1704" w:type="dxa"/>
            <w:tcBorders>
              <w:top w:val="nil"/>
              <w:left w:val="nil"/>
              <w:bottom w:val="nil"/>
              <w:right w:val="nil"/>
            </w:tcBorders>
          </w:tcPr>
          <w:p w14:paraId="79372A3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(0.268)</w:t>
            </w:r>
          </w:p>
        </w:tc>
        <w:tc>
          <w:tcPr>
            <w:tcW w:w="1704" w:type="dxa"/>
            <w:tcBorders>
              <w:top w:val="nil"/>
              <w:left w:val="nil"/>
              <w:bottom w:val="nil"/>
              <w:right w:val="nil"/>
            </w:tcBorders>
          </w:tcPr>
          <w:p w14:paraId="545A6D3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(0.227)</w:t>
            </w:r>
          </w:p>
        </w:tc>
      </w:tr>
      <w:tr w:rsidR="007F7EE4" w:rsidRPr="007F7EE4" w14:paraId="6568C268" w14:textId="77777777" w:rsidTr="00364D74">
        <w:tc>
          <w:tcPr>
            <w:tcW w:w="1705" w:type="dxa"/>
            <w:tcBorders>
              <w:top w:val="nil"/>
              <w:left w:val="nil"/>
              <w:bottom w:val="nil"/>
              <w:right w:val="nil"/>
            </w:tcBorders>
            <w:vAlign w:val="center"/>
          </w:tcPr>
          <w:p w14:paraId="47F0B9EA" w14:textId="77777777" w:rsidR="00A77404" w:rsidRPr="007F7EE4" w:rsidRDefault="00A77404">
            <w:pPr>
              <w:autoSpaceDE w:val="0"/>
              <w:autoSpaceDN w:val="0"/>
              <w:adjustRightInd w:val="0"/>
              <w:ind w:firstLineChars="0" w:firstLine="0"/>
              <w:jc w:val="left"/>
              <w:rPr>
                <w:rFonts w:cs="Times New Roman"/>
                <w:kern w:val="0"/>
                <w:sz w:val="15"/>
                <w:szCs w:val="15"/>
              </w:rPr>
            </w:pPr>
            <w:r w:rsidRPr="007F7EE4">
              <w:rPr>
                <w:rFonts w:cs="Times New Roman" w:hint="eastAsia"/>
                <w:kern w:val="0"/>
                <w:sz w:val="15"/>
                <w:szCs w:val="15"/>
              </w:rPr>
              <w:t>Controls</w:t>
            </w:r>
          </w:p>
        </w:tc>
        <w:tc>
          <w:tcPr>
            <w:tcW w:w="1705" w:type="dxa"/>
            <w:tcBorders>
              <w:top w:val="nil"/>
              <w:left w:val="nil"/>
              <w:bottom w:val="nil"/>
              <w:right w:val="nil"/>
            </w:tcBorders>
            <w:vAlign w:val="center"/>
          </w:tcPr>
          <w:p w14:paraId="79191641"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5277AA0F"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53C3D166"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1A4508A1"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035DF0EF" w14:textId="77777777">
        <w:tc>
          <w:tcPr>
            <w:tcW w:w="1705" w:type="dxa"/>
            <w:tcBorders>
              <w:top w:val="nil"/>
              <w:left w:val="nil"/>
              <w:bottom w:val="nil"/>
              <w:right w:val="nil"/>
            </w:tcBorders>
          </w:tcPr>
          <w:p w14:paraId="7EF6F947"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Industry FE</w:t>
            </w:r>
          </w:p>
        </w:tc>
        <w:tc>
          <w:tcPr>
            <w:tcW w:w="1705" w:type="dxa"/>
            <w:tcBorders>
              <w:top w:val="nil"/>
              <w:left w:val="nil"/>
              <w:bottom w:val="nil"/>
              <w:right w:val="nil"/>
            </w:tcBorders>
          </w:tcPr>
          <w:p w14:paraId="63C60F6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4049D0F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6AE15DF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62DE408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784C8423" w14:textId="77777777">
        <w:tc>
          <w:tcPr>
            <w:tcW w:w="1705" w:type="dxa"/>
            <w:tcBorders>
              <w:top w:val="nil"/>
              <w:left w:val="nil"/>
              <w:bottom w:val="single" w:sz="4" w:space="0" w:color="auto"/>
              <w:right w:val="nil"/>
            </w:tcBorders>
          </w:tcPr>
          <w:p w14:paraId="45F0A04B"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Year FE</w:t>
            </w:r>
          </w:p>
        </w:tc>
        <w:tc>
          <w:tcPr>
            <w:tcW w:w="1705" w:type="dxa"/>
            <w:tcBorders>
              <w:top w:val="nil"/>
              <w:left w:val="nil"/>
              <w:bottom w:val="single" w:sz="4" w:space="0" w:color="auto"/>
              <w:right w:val="nil"/>
            </w:tcBorders>
          </w:tcPr>
          <w:p w14:paraId="3B42422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77F1858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079C42F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10C1DD1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6F85BE0F" w14:textId="77777777">
        <w:tc>
          <w:tcPr>
            <w:tcW w:w="1705" w:type="dxa"/>
            <w:tcBorders>
              <w:top w:val="single" w:sz="4" w:space="0" w:color="auto"/>
              <w:left w:val="nil"/>
              <w:bottom w:val="nil"/>
              <w:right w:val="nil"/>
            </w:tcBorders>
          </w:tcPr>
          <w:p w14:paraId="2A76346B"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N</w:t>
            </w:r>
          </w:p>
        </w:tc>
        <w:tc>
          <w:tcPr>
            <w:tcW w:w="1705" w:type="dxa"/>
            <w:tcBorders>
              <w:top w:val="single" w:sz="4" w:space="0" w:color="auto"/>
              <w:left w:val="nil"/>
              <w:bottom w:val="nil"/>
              <w:right w:val="nil"/>
            </w:tcBorders>
          </w:tcPr>
          <w:p w14:paraId="13C5B08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1613</w:t>
            </w:r>
          </w:p>
        </w:tc>
        <w:tc>
          <w:tcPr>
            <w:tcW w:w="1704" w:type="dxa"/>
            <w:tcBorders>
              <w:top w:val="single" w:sz="4" w:space="0" w:color="auto"/>
              <w:left w:val="nil"/>
              <w:bottom w:val="nil"/>
              <w:right w:val="nil"/>
            </w:tcBorders>
          </w:tcPr>
          <w:p w14:paraId="22122C1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2413</w:t>
            </w:r>
          </w:p>
        </w:tc>
        <w:tc>
          <w:tcPr>
            <w:tcW w:w="1704" w:type="dxa"/>
            <w:tcBorders>
              <w:top w:val="single" w:sz="4" w:space="0" w:color="auto"/>
              <w:left w:val="nil"/>
              <w:bottom w:val="nil"/>
              <w:right w:val="nil"/>
            </w:tcBorders>
          </w:tcPr>
          <w:p w14:paraId="2E31802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1613</w:t>
            </w:r>
          </w:p>
        </w:tc>
        <w:tc>
          <w:tcPr>
            <w:tcW w:w="1704" w:type="dxa"/>
            <w:tcBorders>
              <w:top w:val="single" w:sz="4" w:space="0" w:color="auto"/>
              <w:left w:val="nil"/>
              <w:bottom w:val="nil"/>
              <w:right w:val="nil"/>
            </w:tcBorders>
          </w:tcPr>
          <w:p w14:paraId="3C0D912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2413</w:t>
            </w:r>
          </w:p>
        </w:tc>
      </w:tr>
      <w:tr w:rsidR="00D45CD8" w:rsidRPr="007F7EE4" w14:paraId="079FA29D" w14:textId="77777777">
        <w:tc>
          <w:tcPr>
            <w:tcW w:w="1705" w:type="dxa"/>
            <w:tcBorders>
              <w:top w:val="nil"/>
              <w:left w:val="nil"/>
              <w:bottom w:val="single" w:sz="4" w:space="0" w:color="auto"/>
              <w:right w:val="nil"/>
            </w:tcBorders>
          </w:tcPr>
          <w:p w14:paraId="78D93730"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r2_a</w:t>
            </w:r>
          </w:p>
        </w:tc>
        <w:tc>
          <w:tcPr>
            <w:tcW w:w="1705" w:type="dxa"/>
            <w:tcBorders>
              <w:top w:val="nil"/>
              <w:left w:val="nil"/>
              <w:bottom w:val="single" w:sz="4" w:space="0" w:color="auto"/>
              <w:right w:val="nil"/>
            </w:tcBorders>
          </w:tcPr>
          <w:p w14:paraId="4027227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0.311</w:t>
            </w:r>
          </w:p>
        </w:tc>
        <w:tc>
          <w:tcPr>
            <w:tcW w:w="1704" w:type="dxa"/>
            <w:tcBorders>
              <w:top w:val="nil"/>
              <w:left w:val="nil"/>
              <w:bottom w:val="single" w:sz="4" w:space="0" w:color="auto"/>
              <w:right w:val="nil"/>
            </w:tcBorders>
          </w:tcPr>
          <w:p w14:paraId="386172E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0.473</w:t>
            </w:r>
          </w:p>
        </w:tc>
        <w:tc>
          <w:tcPr>
            <w:tcW w:w="1704" w:type="dxa"/>
            <w:tcBorders>
              <w:top w:val="nil"/>
              <w:left w:val="nil"/>
              <w:bottom w:val="single" w:sz="4" w:space="0" w:color="auto"/>
              <w:right w:val="nil"/>
            </w:tcBorders>
          </w:tcPr>
          <w:p w14:paraId="0D824C6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0.285</w:t>
            </w:r>
          </w:p>
        </w:tc>
        <w:tc>
          <w:tcPr>
            <w:tcW w:w="1704" w:type="dxa"/>
            <w:tcBorders>
              <w:top w:val="nil"/>
              <w:left w:val="nil"/>
              <w:bottom w:val="single" w:sz="4" w:space="0" w:color="auto"/>
              <w:right w:val="nil"/>
            </w:tcBorders>
          </w:tcPr>
          <w:p w14:paraId="5AB9091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0.448</w:t>
            </w:r>
          </w:p>
        </w:tc>
      </w:tr>
    </w:tbl>
    <w:p w14:paraId="122E04EE" w14:textId="77777777" w:rsidR="00D45CD8" w:rsidRPr="007F7EE4" w:rsidRDefault="00D45CD8">
      <w:pPr>
        <w:ind w:firstLine="420"/>
      </w:pPr>
    </w:p>
    <w:p w14:paraId="0A7FD22A" w14:textId="77777777" w:rsidR="00D45CD8" w:rsidRPr="007F7EE4" w:rsidRDefault="00AC3F08">
      <w:pPr>
        <w:ind w:firstLine="420"/>
      </w:pPr>
      <w:r w:rsidRPr="007F7EE4">
        <w:rPr>
          <w:rFonts w:hint="eastAsia"/>
        </w:rPr>
        <w:t>再次，</w:t>
      </w:r>
      <w:r w:rsidRPr="007F7EE4">
        <w:t>考察企业规模异质性下企业社会责任驱动企业绿色技术创新的差异性影响</w:t>
      </w:r>
      <w:r w:rsidRPr="007F7EE4">
        <w:rPr>
          <w:rFonts w:hint="eastAsia"/>
        </w:rPr>
        <w:t>，</w:t>
      </w:r>
      <w:r w:rsidRPr="007F7EE4">
        <w:t>一般而言</w:t>
      </w:r>
      <w:r w:rsidRPr="007F7EE4">
        <w:rPr>
          <w:rFonts w:hint="eastAsia"/>
        </w:rPr>
        <w:t>，</w:t>
      </w:r>
      <w:r w:rsidRPr="007F7EE4">
        <w:t>规模较大的企业具有更大的创新资源支持以及利益相关方网络基础</w:t>
      </w:r>
      <w:r w:rsidRPr="007F7EE4">
        <w:rPr>
          <w:rFonts w:hint="eastAsia"/>
        </w:rPr>
        <w:t>，</w:t>
      </w:r>
      <w:r w:rsidRPr="007F7EE4">
        <w:t>能够为企业开展可持续的企业绿色技术创新提供更为强劲的资源支持机制</w:t>
      </w:r>
      <w:r w:rsidRPr="007F7EE4">
        <w:rPr>
          <w:rFonts w:hint="eastAsia"/>
        </w:rPr>
        <w:t>，</w:t>
      </w:r>
      <w:r w:rsidRPr="007F7EE4">
        <w:t>基于此本文基于企业规模中位数予以分组定义大规模企业与中小规模企业</w:t>
      </w:r>
      <w:r w:rsidRPr="007F7EE4">
        <w:rPr>
          <w:rFonts w:hint="eastAsia"/>
        </w:rPr>
        <w:t>，</w:t>
      </w:r>
      <w:r w:rsidRPr="007F7EE4">
        <w:t>分组考察规模异质性下企业社会责任对企业绿色技术创新绩效的差异性影响</w:t>
      </w:r>
      <w:r w:rsidRPr="007F7EE4">
        <w:rPr>
          <w:rFonts w:hint="eastAsia"/>
        </w:rPr>
        <w:t>。</w:t>
      </w:r>
      <w:r w:rsidRPr="007F7EE4">
        <w:t>基于表</w:t>
      </w:r>
      <w:r w:rsidRPr="007F7EE4">
        <w:rPr>
          <w:rFonts w:hint="eastAsia"/>
        </w:rPr>
        <w:t>12</w:t>
      </w:r>
      <w:r w:rsidRPr="007F7EE4">
        <w:rPr>
          <w:rFonts w:hint="eastAsia"/>
        </w:rPr>
        <w:t>的回归结果表明，大规模企业样本中企业社会责任对企业绿色技术创新的驱动效应更强，影响系数更大，不管是对企业绿色专利申请还是绿色专利授权都具有同样的结论。因此，从规模视角来看，企业社会责任驱动企业绿色技术创新绩效依然存在规模效应与资源效应。</w:t>
      </w:r>
    </w:p>
    <w:p w14:paraId="64AE5578" w14:textId="77777777" w:rsidR="00D45CD8" w:rsidRPr="007F7EE4" w:rsidRDefault="00AC3F08">
      <w:pPr>
        <w:pStyle w:val="TableCHeading"/>
        <w:numPr>
          <w:ilvl w:val="0"/>
          <w:numId w:val="0"/>
        </w:numPr>
        <w:rPr>
          <w:rFonts w:ascii="宋体" w:hAnsi="宋体"/>
          <w:bCs w:val="0"/>
          <w:szCs w:val="18"/>
        </w:rPr>
      </w:pPr>
      <w:r w:rsidRPr="007F7EE4">
        <w:rPr>
          <w:rFonts w:hint="eastAsia"/>
        </w:rPr>
        <w:lastRenderedPageBreak/>
        <w:t>表</w:t>
      </w:r>
      <w:r w:rsidRPr="007F7EE4">
        <w:t>1</w:t>
      </w:r>
      <w:r w:rsidRPr="007F7EE4">
        <w:rPr>
          <w:rFonts w:hint="eastAsia"/>
        </w:rPr>
        <w:t xml:space="preserve">2 </w:t>
      </w:r>
      <w:r w:rsidRPr="007F7EE4">
        <w:rPr>
          <w:rFonts w:hint="eastAsia"/>
        </w:rPr>
        <w:t>企业规模异质性检验</w:t>
      </w:r>
    </w:p>
    <w:p w14:paraId="0F11CFFD" w14:textId="77777777" w:rsidR="00D45CD8" w:rsidRPr="007F7EE4" w:rsidRDefault="00D45CD8">
      <w:pPr>
        <w:pStyle w:val="TableEHeading"/>
        <w:numPr>
          <w:ilvl w:val="0"/>
          <w:numId w:val="0"/>
        </w:numPr>
      </w:pPr>
    </w:p>
    <w:tbl>
      <w:tblPr>
        <w:tblW w:w="8522" w:type="dxa"/>
        <w:tblLayout w:type="fixed"/>
        <w:tblLook w:val="04A0" w:firstRow="1" w:lastRow="0" w:firstColumn="1" w:lastColumn="0" w:noHBand="0" w:noVBand="1"/>
      </w:tblPr>
      <w:tblGrid>
        <w:gridCol w:w="1705"/>
        <w:gridCol w:w="1705"/>
        <w:gridCol w:w="1704"/>
        <w:gridCol w:w="1704"/>
        <w:gridCol w:w="1704"/>
      </w:tblGrid>
      <w:tr w:rsidR="007F7EE4" w:rsidRPr="007F7EE4" w14:paraId="3716FDC2" w14:textId="77777777">
        <w:tc>
          <w:tcPr>
            <w:tcW w:w="1705" w:type="dxa"/>
            <w:tcBorders>
              <w:top w:val="single" w:sz="4" w:space="0" w:color="auto"/>
              <w:left w:val="nil"/>
              <w:bottom w:val="nil"/>
              <w:right w:val="nil"/>
            </w:tcBorders>
          </w:tcPr>
          <w:p w14:paraId="3964C5E6"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single" w:sz="4" w:space="0" w:color="auto"/>
              <w:left w:val="nil"/>
              <w:bottom w:val="nil"/>
              <w:right w:val="nil"/>
            </w:tcBorders>
          </w:tcPr>
          <w:p w14:paraId="6A08C9B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704" w:type="dxa"/>
            <w:tcBorders>
              <w:top w:val="single" w:sz="4" w:space="0" w:color="auto"/>
              <w:left w:val="nil"/>
              <w:bottom w:val="nil"/>
              <w:right w:val="nil"/>
            </w:tcBorders>
          </w:tcPr>
          <w:p w14:paraId="6E3058E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704" w:type="dxa"/>
            <w:tcBorders>
              <w:top w:val="single" w:sz="4" w:space="0" w:color="auto"/>
              <w:left w:val="nil"/>
              <w:bottom w:val="nil"/>
              <w:right w:val="nil"/>
            </w:tcBorders>
          </w:tcPr>
          <w:p w14:paraId="4FCFC92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704" w:type="dxa"/>
            <w:tcBorders>
              <w:top w:val="single" w:sz="4" w:space="0" w:color="auto"/>
              <w:left w:val="nil"/>
              <w:bottom w:val="nil"/>
              <w:right w:val="nil"/>
            </w:tcBorders>
          </w:tcPr>
          <w:p w14:paraId="71647CD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r>
      <w:tr w:rsidR="007F7EE4" w:rsidRPr="007F7EE4" w14:paraId="43F8AADD" w14:textId="77777777">
        <w:tc>
          <w:tcPr>
            <w:tcW w:w="1705" w:type="dxa"/>
            <w:tcBorders>
              <w:left w:val="nil"/>
              <w:bottom w:val="nil"/>
              <w:right w:val="nil"/>
            </w:tcBorders>
          </w:tcPr>
          <w:p w14:paraId="0811BC71"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3409" w:type="dxa"/>
            <w:gridSpan w:val="2"/>
            <w:tcBorders>
              <w:left w:val="nil"/>
              <w:bottom w:val="nil"/>
              <w:right w:val="nil"/>
            </w:tcBorders>
          </w:tcPr>
          <w:p w14:paraId="2B770109"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3408" w:type="dxa"/>
            <w:gridSpan w:val="2"/>
            <w:tcBorders>
              <w:left w:val="nil"/>
              <w:bottom w:val="nil"/>
              <w:right w:val="nil"/>
            </w:tcBorders>
          </w:tcPr>
          <w:p w14:paraId="0F6F82C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64A96763" w14:textId="77777777">
        <w:tc>
          <w:tcPr>
            <w:tcW w:w="1705" w:type="dxa"/>
            <w:tcBorders>
              <w:top w:val="nil"/>
              <w:left w:val="nil"/>
              <w:bottom w:val="nil"/>
              <w:right w:val="nil"/>
            </w:tcBorders>
          </w:tcPr>
          <w:p w14:paraId="35BFBE52"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17F5280F"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DSize</w:t>
            </w:r>
            <w:proofErr w:type="spellEnd"/>
            <w:r w:rsidRPr="007F7EE4">
              <w:rPr>
                <w:rFonts w:cs="Times New Roman" w:hint="eastAsia"/>
                <w:kern w:val="0"/>
                <w:sz w:val="15"/>
                <w:szCs w:val="15"/>
              </w:rPr>
              <w:t>=</w:t>
            </w:r>
            <w:r w:rsidRPr="007F7EE4">
              <w:rPr>
                <w:rFonts w:cs="Times New Roman"/>
                <w:kern w:val="0"/>
                <w:sz w:val="15"/>
                <w:szCs w:val="15"/>
              </w:rPr>
              <w:t>1</w:t>
            </w:r>
          </w:p>
        </w:tc>
        <w:tc>
          <w:tcPr>
            <w:tcW w:w="1704" w:type="dxa"/>
            <w:tcBorders>
              <w:top w:val="nil"/>
              <w:left w:val="nil"/>
              <w:bottom w:val="nil"/>
              <w:right w:val="nil"/>
            </w:tcBorders>
          </w:tcPr>
          <w:p w14:paraId="330E79E1"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DSize</w:t>
            </w:r>
            <w:proofErr w:type="spellEnd"/>
            <w:r w:rsidRPr="007F7EE4">
              <w:rPr>
                <w:rFonts w:cs="Times New Roman" w:hint="eastAsia"/>
                <w:kern w:val="0"/>
                <w:sz w:val="15"/>
                <w:szCs w:val="15"/>
              </w:rPr>
              <w:t>=</w:t>
            </w:r>
            <w:r w:rsidRPr="007F7EE4">
              <w:rPr>
                <w:rFonts w:cs="Times New Roman"/>
                <w:kern w:val="0"/>
                <w:sz w:val="15"/>
                <w:szCs w:val="15"/>
              </w:rPr>
              <w:t>0</w:t>
            </w:r>
          </w:p>
        </w:tc>
        <w:tc>
          <w:tcPr>
            <w:tcW w:w="1704" w:type="dxa"/>
            <w:tcBorders>
              <w:top w:val="nil"/>
              <w:left w:val="nil"/>
              <w:bottom w:val="nil"/>
              <w:right w:val="nil"/>
            </w:tcBorders>
          </w:tcPr>
          <w:p w14:paraId="4D666994"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DSize</w:t>
            </w:r>
            <w:proofErr w:type="spellEnd"/>
            <w:r w:rsidRPr="007F7EE4">
              <w:rPr>
                <w:rFonts w:cs="Times New Roman" w:hint="eastAsia"/>
                <w:kern w:val="0"/>
                <w:sz w:val="15"/>
                <w:szCs w:val="15"/>
              </w:rPr>
              <w:t>=</w:t>
            </w:r>
            <w:r w:rsidRPr="007F7EE4">
              <w:rPr>
                <w:rFonts w:cs="Times New Roman"/>
                <w:kern w:val="0"/>
                <w:sz w:val="15"/>
                <w:szCs w:val="15"/>
              </w:rPr>
              <w:t>1</w:t>
            </w:r>
          </w:p>
        </w:tc>
        <w:tc>
          <w:tcPr>
            <w:tcW w:w="1704" w:type="dxa"/>
            <w:tcBorders>
              <w:top w:val="nil"/>
              <w:left w:val="nil"/>
              <w:bottom w:val="nil"/>
              <w:right w:val="nil"/>
            </w:tcBorders>
          </w:tcPr>
          <w:p w14:paraId="6CED3F7C"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DSize</w:t>
            </w:r>
            <w:proofErr w:type="spellEnd"/>
            <w:r w:rsidRPr="007F7EE4">
              <w:rPr>
                <w:rFonts w:cs="Times New Roman" w:hint="eastAsia"/>
                <w:kern w:val="0"/>
                <w:sz w:val="15"/>
                <w:szCs w:val="15"/>
              </w:rPr>
              <w:t>=</w:t>
            </w:r>
            <w:r w:rsidRPr="007F7EE4">
              <w:rPr>
                <w:rFonts w:cs="Times New Roman"/>
                <w:kern w:val="0"/>
                <w:sz w:val="15"/>
                <w:szCs w:val="15"/>
              </w:rPr>
              <w:t>0</w:t>
            </w:r>
          </w:p>
        </w:tc>
      </w:tr>
      <w:tr w:rsidR="007F7EE4" w:rsidRPr="007F7EE4" w14:paraId="0EE3698F" w14:textId="77777777">
        <w:tc>
          <w:tcPr>
            <w:tcW w:w="1705" w:type="dxa"/>
            <w:tcBorders>
              <w:top w:val="single" w:sz="4" w:space="0" w:color="auto"/>
              <w:left w:val="nil"/>
              <w:bottom w:val="nil"/>
              <w:right w:val="nil"/>
            </w:tcBorders>
          </w:tcPr>
          <w:p w14:paraId="51F03E2B" w14:textId="77777777" w:rsidR="00D45CD8" w:rsidRPr="007F7EE4" w:rsidRDefault="00AC3F08">
            <w:pPr>
              <w:autoSpaceDE w:val="0"/>
              <w:autoSpaceDN w:val="0"/>
              <w:adjustRightInd w:val="0"/>
              <w:ind w:firstLineChars="0" w:firstLine="0"/>
              <w:jc w:val="left"/>
              <w:rPr>
                <w:rFonts w:cs="Times New Roman"/>
                <w:kern w:val="0"/>
                <w:sz w:val="15"/>
                <w:szCs w:val="15"/>
              </w:rPr>
            </w:pPr>
            <w:proofErr w:type="spellStart"/>
            <w:r w:rsidRPr="007F7EE4">
              <w:rPr>
                <w:rFonts w:cs="Times New Roman"/>
                <w:kern w:val="0"/>
                <w:sz w:val="15"/>
                <w:szCs w:val="15"/>
              </w:rPr>
              <w:t>lnCSR</w:t>
            </w:r>
            <w:proofErr w:type="spellEnd"/>
          </w:p>
        </w:tc>
        <w:tc>
          <w:tcPr>
            <w:tcW w:w="1705" w:type="dxa"/>
            <w:tcBorders>
              <w:top w:val="single" w:sz="4" w:space="0" w:color="auto"/>
              <w:left w:val="nil"/>
              <w:bottom w:val="nil"/>
              <w:right w:val="nil"/>
            </w:tcBorders>
          </w:tcPr>
          <w:p w14:paraId="088DE57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0.125***</w:t>
            </w:r>
          </w:p>
        </w:tc>
        <w:tc>
          <w:tcPr>
            <w:tcW w:w="1704" w:type="dxa"/>
            <w:tcBorders>
              <w:top w:val="single" w:sz="4" w:space="0" w:color="auto"/>
              <w:left w:val="nil"/>
              <w:bottom w:val="nil"/>
              <w:right w:val="nil"/>
            </w:tcBorders>
          </w:tcPr>
          <w:p w14:paraId="46A8EB0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0.026*</w:t>
            </w:r>
          </w:p>
        </w:tc>
        <w:tc>
          <w:tcPr>
            <w:tcW w:w="1704" w:type="dxa"/>
            <w:tcBorders>
              <w:top w:val="single" w:sz="4" w:space="0" w:color="auto"/>
              <w:left w:val="nil"/>
              <w:bottom w:val="nil"/>
              <w:right w:val="nil"/>
            </w:tcBorders>
          </w:tcPr>
          <w:p w14:paraId="594C915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0.091***</w:t>
            </w:r>
          </w:p>
        </w:tc>
        <w:tc>
          <w:tcPr>
            <w:tcW w:w="1704" w:type="dxa"/>
            <w:tcBorders>
              <w:top w:val="single" w:sz="4" w:space="0" w:color="auto"/>
              <w:left w:val="nil"/>
              <w:bottom w:val="nil"/>
              <w:right w:val="nil"/>
            </w:tcBorders>
          </w:tcPr>
          <w:p w14:paraId="6970290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0.027**</w:t>
            </w:r>
          </w:p>
        </w:tc>
      </w:tr>
      <w:tr w:rsidR="007F7EE4" w:rsidRPr="007F7EE4" w14:paraId="058574EB" w14:textId="77777777">
        <w:tc>
          <w:tcPr>
            <w:tcW w:w="1705" w:type="dxa"/>
            <w:tcBorders>
              <w:top w:val="nil"/>
              <w:left w:val="nil"/>
              <w:bottom w:val="nil"/>
              <w:right w:val="nil"/>
            </w:tcBorders>
          </w:tcPr>
          <w:p w14:paraId="45554F44"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74CEC60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(0.019)</w:t>
            </w:r>
          </w:p>
        </w:tc>
        <w:tc>
          <w:tcPr>
            <w:tcW w:w="1704" w:type="dxa"/>
            <w:tcBorders>
              <w:top w:val="nil"/>
              <w:left w:val="nil"/>
              <w:bottom w:val="nil"/>
              <w:right w:val="nil"/>
            </w:tcBorders>
          </w:tcPr>
          <w:p w14:paraId="3B8F208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(0.014)</w:t>
            </w:r>
          </w:p>
        </w:tc>
        <w:tc>
          <w:tcPr>
            <w:tcW w:w="1704" w:type="dxa"/>
            <w:tcBorders>
              <w:top w:val="nil"/>
              <w:left w:val="nil"/>
              <w:bottom w:val="nil"/>
              <w:right w:val="nil"/>
            </w:tcBorders>
          </w:tcPr>
          <w:p w14:paraId="7CE0BBB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(0.017)</w:t>
            </w:r>
          </w:p>
        </w:tc>
        <w:tc>
          <w:tcPr>
            <w:tcW w:w="1704" w:type="dxa"/>
            <w:tcBorders>
              <w:top w:val="nil"/>
              <w:left w:val="nil"/>
              <w:bottom w:val="nil"/>
              <w:right w:val="nil"/>
            </w:tcBorders>
          </w:tcPr>
          <w:p w14:paraId="548ECE19"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(0.012)</w:t>
            </w:r>
          </w:p>
        </w:tc>
      </w:tr>
      <w:tr w:rsidR="007F7EE4" w:rsidRPr="007F7EE4" w14:paraId="4DD17226" w14:textId="77777777">
        <w:tc>
          <w:tcPr>
            <w:tcW w:w="1705" w:type="dxa"/>
            <w:tcBorders>
              <w:top w:val="nil"/>
              <w:left w:val="nil"/>
              <w:bottom w:val="nil"/>
              <w:right w:val="nil"/>
            </w:tcBorders>
          </w:tcPr>
          <w:p w14:paraId="6BE31B0F"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_cons</w:t>
            </w:r>
          </w:p>
        </w:tc>
        <w:tc>
          <w:tcPr>
            <w:tcW w:w="1705" w:type="dxa"/>
            <w:tcBorders>
              <w:top w:val="nil"/>
              <w:left w:val="nil"/>
              <w:bottom w:val="nil"/>
              <w:right w:val="nil"/>
            </w:tcBorders>
          </w:tcPr>
          <w:p w14:paraId="0291F76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-3.089***</w:t>
            </w:r>
          </w:p>
        </w:tc>
        <w:tc>
          <w:tcPr>
            <w:tcW w:w="1704" w:type="dxa"/>
            <w:tcBorders>
              <w:top w:val="nil"/>
              <w:left w:val="nil"/>
              <w:bottom w:val="nil"/>
              <w:right w:val="nil"/>
            </w:tcBorders>
          </w:tcPr>
          <w:p w14:paraId="34CDD68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-0.620***</w:t>
            </w:r>
          </w:p>
        </w:tc>
        <w:tc>
          <w:tcPr>
            <w:tcW w:w="1704" w:type="dxa"/>
            <w:tcBorders>
              <w:top w:val="nil"/>
              <w:left w:val="nil"/>
              <w:bottom w:val="nil"/>
              <w:right w:val="nil"/>
            </w:tcBorders>
          </w:tcPr>
          <w:p w14:paraId="57AAFEC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-2.643***</w:t>
            </w:r>
          </w:p>
        </w:tc>
        <w:tc>
          <w:tcPr>
            <w:tcW w:w="1704" w:type="dxa"/>
            <w:tcBorders>
              <w:top w:val="nil"/>
              <w:left w:val="nil"/>
              <w:bottom w:val="nil"/>
              <w:right w:val="nil"/>
            </w:tcBorders>
          </w:tcPr>
          <w:p w14:paraId="55FC5EE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-0.547***</w:t>
            </w:r>
          </w:p>
        </w:tc>
      </w:tr>
      <w:tr w:rsidR="007F7EE4" w:rsidRPr="007F7EE4" w14:paraId="43A8F064" w14:textId="77777777">
        <w:tc>
          <w:tcPr>
            <w:tcW w:w="1705" w:type="dxa"/>
            <w:tcBorders>
              <w:top w:val="nil"/>
              <w:left w:val="nil"/>
              <w:bottom w:val="nil"/>
              <w:right w:val="nil"/>
            </w:tcBorders>
          </w:tcPr>
          <w:p w14:paraId="7714F86A"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7A8AE7D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(0.132)</w:t>
            </w:r>
          </w:p>
        </w:tc>
        <w:tc>
          <w:tcPr>
            <w:tcW w:w="1704" w:type="dxa"/>
            <w:tcBorders>
              <w:top w:val="nil"/>
              <w:left w:val="nil"/>
              <w:bottom w:val="nil"/>
              <w:right w:val="nil"/>
            </w:tcBorders>
          </w:tcPr>
          <w:p w14:paraId="3DEC8A7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(0.090)</w:t>
            </w:r>
          </w:p>
        </w:tc>
        <w:tc>
          <w:tcPr>
            <w:tcW w:w="1704" w:type="dxa"/>
            <w:tcBorders>
              <w:top w:val="nil"/>
              <w:left w:val="nil"/>
              <w:bottom w:val="nil"/>
              <w:right w:val="nil"/>
            </w:tcBorders>
          </w:tcPr>
          <w:p w14:paraId="3688674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(0.116)</w:t>
            </w:r>
          </w:p>
        </w:tc>
        <w:tc>
          <w:tcPr>
            <w:tcW w:w="1704" w:type="dxa"/>
            <w:tcBorders>
              <w:top w:val="nil"/>
              <w:left w:val="nil"/>
              <w:bottom w:val="nil"/>
              <w:right w:val="nil"/>
            </w:tcBorders>
          </w:tcPr>
          <w:p w14:paraId="29EEA7D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(0.070)</w:t>
            </w:r>
          </w:p>
        </w:tc>
      </w:tr>
      <w:tr w:rsidR="007F7EE4" w:rsidRPr="007F7EE4" w14:paraId="03E8C9FF" w14:textId="77777777" w:rsidTr="00364D74">
        <w:tc>
          <w:tcPr>
            <w:tcW w:w="1705" w:type="dxa"/>
            <w:tcBorders>
              <w:top w:val="nil"/>
              <w:left w:val="nil"/>
              <w:bottom w:val="nil"/>
              <w:right w:val="nil"/>
            </w:tcBorders>
            <w:vAlign w:val="center"/>
          </w:tcPr>
          <w:p w14:paraId="431B02A5" w14:textId="77777777" w:rsidR="00A77404" w:rsidRPr="007F7EE4" w:rsidRDefault="00A77404">
            <w:pPr>
              <w:autoSpaceDE w:val="0"/>
              <w:autoSpaceDN w:val="0"/>
              <w:adjustRightInd w:val="0"/>
              <w:ind w:firstLineChars="0" w:firstLine="0"/>
              <w:jc w:val="left"/>
              <w:rPr>
                <w:rFonts w:cs="Times New Roman"/>
                <w:kern w:val="0"/>
                <w:sz w:val="15"/>
                <w:szCs w:val="15"/>
              </w:rPr>
            </w:pPr>
            <w:r w:rsidRPr="007F7EE4">
              <w:rPr>
                <w:rFonts w:cs="Times New Roman" w:hint="eastAsia"/>
                <w:kern w:val="0"/>
                <w:sz w:val="15"/>
                <w:szCs w:val="15"/>
              </w:rPr>
              <w:t>Controls</w:t>
            </w:r>
          </w:p>
        </w:tc>
        <w:tc>
          <w:tcPr>
            <w:tcW w:w="1705" w:type="dxa"/>
            <w:tcBorders>
              <w:top w:val="nil"/>
              <w:left w:val="nil"/>
              <w:bottom w:val="nil"/>
              <w:right w:val="nil"/>
            </w:tcBorders>
            <w:vAlign w:val="center"/>
          </w:tcPr>
          <w:p w14:paraId="7E41575E"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2BC1B2C7"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40F4390F"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743DDA33"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4A14030C" w14:textId="77777777">
        <w:tc>
          <w:tcPr>
            <w:tcW w:w="1705" w:type="dxa"/>
            <w:tcBorders>
              <w:top w:val="nil"/>
              <w:left w:val="nil"/>
              <w:bottom w:val="nil"/>
              <w:right w:val="nil"/>
            </w:tcBorders>
          </w:tcPr>
          <w:p w14:paraId="1499EBAB"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Industry FE</w:t>
            </w:r>
          </w:p>
        </w:tc>
        <w:tc>
          <w:tcPr>
            <w:tcW w:w="1705" w:type="dxa"/>
            <w:tcBorders>
              <w:top w:val="nil"/>
              <w:left w:val="nil"/>
              <w:bottom w:val="nil"/>
              <w:right w:val="nil"/>
            </w:tcBorders>
          </w:tcPr>
          <w:p w14:paraId="6FF2C32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4F35ACA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592E25E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5A715D4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038AD2F4" w14:textId="77777777">
        <w:tc>
          <w:tcPr>
            <w:tcW w:w="1705" w:type="dxa"/>
            <w:tcBorders>
              <w:top w:val="nil"/>
              <w:left w:val="nil"/>
              <w:bottom w:val="single" w:sz="4" w:space="0" w:color="auto"/>
              <w:right w:val="nil"/>
            </w:tcBorders>
          </w:tcPr>
          <w:p w14:paraId="7CC5BB2C"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Year FE</w:t>
            </w:r>
          </w:p>
        </w:tc>
        <w:tc>
          <w:tcPr>
            <w:tcW w:w="1705" w:type="dxa"/>
            <w:tcBorders>
              <w:top w:val="nil"/>
              <w:left w:val="nil"/>
              <w:bottom w:val="single" w:sz="4" w:space="0" w:color="auto"/>
              <w:right w:val="nil"/>
            </w:tcBorders>
          </w:tcPr>
          <w:p w14:paraId="48AA82B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506495F1"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3DD92FF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5012FD4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17D2DE0A" w14:textId="77777777">
        <w:tc>
          <w:tcPr>
            <w:tcW w:w="1705" w:type="dxa"/>
            <w:tcBorders>
              <w:top w:val="single" w:sz="4" w:space="0" w:color="auto"/>
              <w:left w:val="nil"/>
              <w:bottom w:val="nil"/>
              <w:right w:val="nil"/>
            </w:tcBorders>
          </w:tcPr>
          <w:p w14:paraId="7FCB856C"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N</w:t>
            </w:r>
          </w:p>
        </w:tc>
        <w:tc>
          <w:tcPr>
            <w:tcW w:w="1705" w:type="dxa"/>
            <w:tcBorders>
              <w:top w:val="single" w:sz="4" w:space="0" w:color="auto"/>
              <w:left w:val="nil"/>
              <w:bottom w:val="nil"/>
              <w:right w:val="nil"/>
            </w:tcBorders>
          </w:tcPr>
          <w:p w14:paraId="3DCA759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11252</w:t>
            </w:r>
          </w:p>
        </w:tc>
        <w:tc>
          <w:tcPr>
            <w:tcW w:w="1704" w:type="dxa"/>
            <w:tcBorders>
              <w:top w:val="single" w:sz="4" w:space="0" w:color="auto"/>
              <w:left w:val="nil"/>
              <w:bottom w:val="nil"/>
              <w:right w:val="nil"/>
            </w:tcBorders>
          </w:tcPr>
          <w:p w14:paraId="1B0D4D4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11165</w:t>
            </w:r>
          </w:p>
        </w:tc>
        <w:tc>
          <w:tcPr>
            <w:tcW w:w="1704" w:type="dxa"/>
            <w:tcBorders>
              <w:top w:val="single" w:sz="4" w:space="0" w:color="auto"/>
              <w:left w:val="nil"/>
              <w:bottom w:val="nil"/>
              <w:right w:val="nil"/>
            </w:tcBorders>
          </w:tcPr>
          <w:p w14:paraId="6859DA6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11252</w:t>
            </w:r>
          </w:p>
        </w:tc>
        <w:tc>
          <w:tcPr>
            <w:tcW w:w="1704" w:type="dxa"/>
            <w:tcBorders>
              <w:top w:val="single" w:sz="4" w:space="0" w:color="auto"/>
              <w:left w:val="nil"/>
              <w:bottom w:val="nil"/>
              <w:right w:val="nil"/>
            </w:tcBorders>
          </w:tcPr>
          <w:p w14:paraId="5A1CA42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11165</w:t>
            </w:r>
          </w:p>
        </w:tc>
      </w:tr>
      <w:tr w:rsidR="00D45CD8" w:rsidRPr="007F7EE4" w14:paraId="52BE77D5" w14:textId="77777777">
        <w:tc>
          <w:tcPr>
            <w:tcW w:w="1705" w:type="dxa"/>
            <w:tcBorders>
              <w:top w:val="nil"/>
              <w:left w:val="nil"/>
              <w:bottom w:val="single" w:sz="4" w:space="0" w:color="auto"/>
              <w:right w:val="nil"/>
            </w:tcBorders>
          </w:tcPr>
          <w:p w14:paraId="0F9CE600"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r2_a</w:t>
            </w:r>
          </w:p>
        </w:tc>
        <w:tc>
          <w:tcPr>
            <w:tcW w:w="1705" w:type="dxa"/>
            <w:tcBorders>
              <w:top w:val="nil"/>
              <w:left w:val="nil"/>
              <w:bottom w:val="single" w:sz="4" w:space="0" w:color="auto"/>
              <w:right w:val="nil"/>
            </w:tcBorders>
          </w:tcPr>
          <w:p w14:paraId="1130429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0.338</w:t>
            </w:r>
          </w:p>
        </w:tc>
        <w:tc>
          <w:tcPr>
            <w:tcW w:w="1704" w:type="dxa"/>
            <w:tcBorders>
              <w:top w:val="nil"/>
              <w:left w:val="nil"/>
              <w:bottom w:val="single" w:sz="4" w:space="0" w:color="auto"/>
              <w:right w:val="nil"/>
            </w:tcBorders>
          </w:tcPr>
          <w:p w14:paraId="0377D50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0.132</w:t>
            </w:r>
          </w:p>
        </w:tc>
        <w:tc>
          <w:tcPr>
            <w:tcW w:w="1704" w:type="dxa"/>
            <w:tcBorders>
              <w:top w:val="nil"/>
              <w:left w:val="nil"/>
              <w:bottom w:val="single" w:sz="4" w:space="0" w:color="auto"/>
              <w:right w:val="nil"/>
            </w:tcBorders>
          </w:tcPr>
          <w:p w14:paraId="27353C0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0.320</w:t>
            </w:r>
          </w:p>
        </w:tc>
        <w:tc>
          <w:tcPr>
            <w:tcW w:w="1704" w:type="dxa"/>
            <w:tcBorders>
              <w:top w:val="nil"/>
              <w:left w:val="nil"/>
              <w:bottom w:val="single" w:sz="4" w:space="0" w:color="auto"/>
              <w:right w:val="nil"/>
            </w:tcBorders>
          </w:tcPr>
          <w:p w14:paraId="404C860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0.115</w:t>
            </w:r>
          </w:p>
        </w:tc>
      </w:tr>
    </w:tbl>
    <w:p w14:paraId="7008168B" w14:textId="77777777" w:rsidR="00D45CD8" w:rsidRPr="007F7EE4" w:rsidRDefault="00D45CD8">
      <w:pPr>
        <w:ind w:firstLine="420"/>
      </w:pPr>
    </w:p>
    <w:p w14:paraId="0155CF7B" w14:textId="77777777" w:rsidR="00D45CD8" w:rsidRPr="007F7EE4" w:rsidRDefault="00AC3F08">
      <w:pPr>
        <w:ind w:firstLine="420"/>
      </w:pPr>
      <w:r w:rsidRPr="007F7EE4">
        <w:rPr>
          <w:rFonts w:cs="Times New Roman"/>
        </w:rPr>
        <w:t>最后</w:t>
      </w:r>
      <w:r w:rsidRPr="007F7EE4">
        <w:rPr>
          <w:rFonts w:cs="Times New Roman" w:hint="eastAsia"/>
        </w:rPr>
        <w:t>，</w:t>
      </w:r>
      <w:r w:rsidRPr="007F7EE4">
        <w:rPr>
          <w:rFonts w:cs="Times New Roman"/>
        </w:rPr>
        <w:t>从制度环境的视角来看，不同制度环境下企业绿色技术创新的所处的竞争强度具有差异性，一般而言，高市场化环境的区域由于市场在资源配置中的决定性作用更强，不管是从企业社会责任履责动力的视角</w:t>
      </w:r>
      <w:r w:rsidRPr="007F7EE4">
        <w:rPr>
          <w:rFonts w:cs="Times New Roman" w:hint="eastAsia"/>
        </w:rPr>
        <w:t>，</w:t>
      </w:r>
      <w:r w:rsidRPr="007F7EE4">
        <w:rPr>
          <w:rFonts w:cs="Times New Roman"/>
        </w:rPr>
        <w:t>还是从企业社会责任外部利益相关方关注程度的市场响应视角</w:t>
      </w:r>
      <w:r w:rsidRPr="007F7EE4">
        <w:rPr>
          <w:rFonts w:cs="Times New Roman" w:hint="eastAsia"/>
        </w:rPr>
        <w:t>，</w:t>
      </w:r>
      <w:r w:rsidRPr="007F7EE4">
        <w:rPr>
          <w:rFonts w:cs="Times New Roman"/>
        </w:rPr>
        <w:t>市场化程度更高的地区其社会责任的动力企业创新研发的动力与企业绿色技术创新的市场导向也更为市场化，且企业在绿色技术创新过程中也拥有更为完善的知识产权保护制度体系，因此根据王小鲁等</w:t>
      </w:r>
      <w:r w:rsidRPr="007F7EE4">
        <w:rPr>
          <w:rFonts w:cs="Times New Roman" w:hint="eastAsia"/>
          <w:vertAlign w:val="superscript"/>
        </w:rPr>
        <w:t>[45]</w:t>
      </w:r>
      <w:r w:rsidRPr="007F7EE4">
        <w:rPr>
          <w:rFonts w:cs="Times New Roman"/>
        </w:rPr>
        <w:t>（</w:t>
      </w:r>
      <w:r w:rsidRPr="007F7EE4">
        <w:rPr>
          <w:rFonts w:cs="Times New Roman"/>
        </w:rPr>
        <w:t>2017</w:t>
      </w:r>
      <w:r w:rsidRPr="007F7EE4">
        <w:rPr>
          <w:rFonts w:cs="Times New Roman"/>
        </w:rPr>
        <w:t>）对我国市场化强度的指数测算，进一步将本文的研究样本区分为高市场化强度与低市场化强度的区域，分组考察不同市场化强度下</w:t>
      </w:r>
      <w:r w:rsidRPr="007F7EE4">
        <w:rPr>
          <w:rFonts w:cs="Times New Roman" w:hint="eastAsia"/>
        </w:rPr>
        <w:t>企业</w:t>
      </w:r>
      <w:r w:rsidRPr="007F7EE4">
        <w:rPr>
          <w:rFonts w:cs="Times New Roman"/>
        </w:rPr>
        <w:t>社会责任与企业绿色技术创新绩效的差异性影响。表</w:t>
      </w:r>
      <w:r w:rsidRPr="007F7EE4">
        <w:rPr>
          <w:rFonts w:cs="Times New Roman" w:hint="eastAsia"/>
        </w:rPr>
        <w:t>13</w:t>
      </w:r>
      <w:r w:rsidRPr="007F7EE4">
        <w:rPr>
          <w:rFonts w:cs="Times New Roman"/>
        </w:rPr>
        <w:t>的列（</w:t>
      </w:r>
      <w:r w:rsidRPr="007F7EE4">
        <w:rPr>
          <w:rFonts w:cs="Times New Roman"/>
        </w:rPr>
        <w:t>1</w:t>
      </w:r>
      <w:r w:rsidRPr="007F7EE4">
        <w:rPr>
          <w:rFonts w:cs="Times New Roman"/>
        </w:rPr>
        <w:t>）</w:t>
      </w:r>
      <w:r w:rsidRPr="007F7EE4">
        <w:rPr>
          <w:rFonts w:cs="Times New Roman"/>
        </w:rPr>
        <w:t>-</w:t>
      </w:r>
      <w:r w:rsidRPr="007F7EE4">
        <w:rPr>
          <w:rFonts w:cs="Times New Roman"/>
        </w:rPr>
        <w:t>（</w:t>
      </w:r>
      <w:r w:rsidRPr="007F7EE4">
        <w:rPr>
          <w:rFonts w:cs="Times New Roman" w:hint="eastAsia"/>
        </w:rPr>
        <w:t>4</w:t>
      </w:r>
      <w:r w:rsidRPr="007F7EE4">
        <w:rPr>
          <w:rFonts w:cs="Times New Roman"/>
        </w:rPr>
        <w:t>）结果表明，</w:t>
      </w:r>
      <w:r w:rsidRPr="007F7EE4">
        <w:rPr>
          <w:rFonts w:cs="Times New Roman" w:hint="eastAsia"/>
        </w:rPr>
        <w:t>企业</w:t>
      </w:r>
      <w:r w:rsidRPr="007F7EE4">
        <w:rPr>
          <w:rFonts w:cs="Times New Roman"/>
        </w:rPr>
        <w:t>社会责任对企业绿色技术创新绩效影响不管是在高市场化地区还是低市场化地区都存在明显的差异性，且高市场化地区下</w:t>
      </w:r>
      <w:r w:rsidRPr="007F7EE4">
        <w:rPr>
          <w:rFonts w:cs="Times New Roman" w:hint="eastAsia"/>
        </w:rPr>
        <w:t>企业</w:t>
      </w:r>
      <w:r w:rsidRPr="007F7EE4">
        <w:rPr>
          <w:rFonts w:cs="Times New Roman"/>
        </w:rPr>
        <w:t>社会责任对企业绿色技术创新绩效的影响效应更强。</w:t>
      </w:r>
    </w:p>
    <w:p w14:paraId="54055442" w14:textId="77777777" w:rsidR="00D45CD8" w:rsidRPr="007F7EE4" w:rsidRDefault="00AC3F08">
      <w:pPr>
        <w:pStyle w:val="TableCHeading"/>
        <w:numPr>
          <w:ilvl w:val="0"/>
          <w:numId w:val="0"/>
        </w:numPr>
        <w:rPr>
          <w:rFonts w:ascii="宋体" w:hAnsi="宋体"/>
          <w:bCs w:val="0"/>
          <w:szCs w:val="18"/>
        </w:rPr>
      </w:pPr>
      <w:r w:rsidRPr="007F7EE4">
        <w:rPr>
          <w:rFonts w:hint="eastAsia"/>
        </w:rPr>
        <w:t>表</w:t>
      </w:r>
      <w:r w:rsidRPr="007F7EE4">
        <w:t xml:space="preserve">13 </w:t>
      </w:r>
      <w:r w:rsidRPr="007F7EE4">
        <w:rPr>
          <w:rFonts w:hint="eastAsia"/>
        </w:rPr>
        <w:t>正式制度异质性检验</w:t>
      </w:r>
    </w:p>
    <w:p w14:paraId="6B7E591E" w14:textId="77777777" w:rsidR="00D45CD8" w:rsidRPr="007F7EE4" w:rsidRDefault="00AC3F08">
      <w:pPr>
        <w:pStyle w:val="TableEHeading"/>
        <w:numPr>
          <w:ilvl w:val="0"/>
          <w:numId w:val="0"/>
        </w:numPr>
      </w:pPr>
      <w:r w:rsidRPr="007F7EE4">
        <w:rPr>
          <w:rFonts w:hint="eastAsia"/>
          <w:b w:val="0"/>
          <w:bCs w:val="0"/>
        </w:rPr>
        <w:t>Tab.</w:t>
      </w:r>
      <w:r w:rsidRPr="007F7EE4">
        <w:rPr>
          <w:b w:val="0"/>
          <w:bCs w:val="0"/>
        </w:rPr>
        <w:t>12 Heterogeneity test of formal institution</w:t>
      </w:r>
    </w:p>
    <w:tbl>
      <w:tblPr>
        <w:tblW w:w="8522" w:type="dxa"/>
        <w:tblLayout w:type="fixed"/>
        <w:tblLook w:val="04A0" w:firstRow="1" w:lastRow="0" w:firstColumn="1" w:lastColumn="0" w:noHBand="0" w:noVBand="1"/>
      </w:tblPr>
      <w:tblGrid>
        <w:gridCol w:w="1705"/>
        <w:gridCol w:w="1705"/>
        <w:gridCol w:w="1704"/>
        <w:gridCol w:w="1704"/>
        <w:gridCol w:w="1704"/>
      </w:tblGrid>
      <w:tr w:rsidR="007F7EE4" w:rsidRPr="007F7EE4" w14:paraId="56CB611D" w14:textId="77777777">
        <w:tc>
          <w:tcPr>
            <w:tcW w:w="1705" w:type="dxa"/>
            <w:tcBorders>
              <w:top w:val="single" w:sz="4" w:space="0" w:color="auto"/>
              <w:left w:val="nil"/>
              <w:bottom w:val="nil"/>
              <w:right w:val="nil"/>
            </w:tcBorders>
          </w:tcPr>
          <w:p w14:paraId="692DC3D7"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single" w:sz="4" w:space="0" w:color="auto"/>
              <w:left w:val="nil"/>
              <w:bottom w:val="nil"/>
              <w:right w:val="nil"/>
            </w:tcBorders>
          </w:tcPr>
          <w:p w14:paraId="1BBEF75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w:t>
            </w:r>
          </w:p>
        </w:tc>
        <w:tc>
          <w:tcPr>
            <w:tcW w:w="1704" w:type="dxa"/>
            <w:tcBorders>
              <w:top w:val="single" w:sz="4" w:space="0" w:color="auto"/>
              <w:left w:val="nil"/>
              <w:bottom w:val="nil"/>
              <w:right w:val="nil"/>
            </w:tcBorders>
          </w:tcPr>
          <w:p w14:paraId="082344C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w:t>
            </w:r>
          </w:p>
        </w:tc>
        <w:tc>
          <w:tcPr>
            <w:tcW w:w="1704" w:type="dxa"/>
            <w:tcBorders>
              <w:top w:val="single" w:sz="4" w:space="0" w:color="auto"/>
              <w:left w:val="nil"/>
              <w:bottom w:val="nil"/>
              <w:right w:val="nil"/>
            </w:tcBorders>
          </w:tcPr>
          <w:p w14:paraId="4C1187E3"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(3)</w:t>
            </w:r>
          </w:p>
        </w:tc>
        <w:tc>
          <w:tcPr>
            <w:tcW w:w="1704" w:type="dxa"/>
            <w:tcBorders>
              <w:top w:val="single" w:sz="4" w:space="0" w:color="auto"/>
              <w:left w:val="nil"/>
              <w:bottom w:val="nil"/>
              <w:right w:val="nil"/>
            </w:tcBorders>
          </w:tcPr>
          <w:p w14:paraId="5796FF4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(4)</w:t>
            </w:r>
          </w:p>
        </w:tc>
      </w:tr>
      <w:tr w:rsidR="007F7EE4" w:rsidRPr="007F7EE4" w14:paraId="0575CDCE" w14:textId="77777777">
        <w:tc>
          <w:tcPr>
            <w:tcW w:w="1705" w:type="dxa"/>
            <w:tcBorders>
              <w:left w:val="nil"/>
              <w:bottom w:val="nil"/>
              <w:right w:val="nil"/>
            </w:tcBorders>
          </w:tcPr>
          <w:p w14:paraId="53598314"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3409" w:type="dxa"/>
            <w:gridSpan w:val="2"/>
            <w:tcBorders>
              <w:left w:val="nil"/>
              <w:bottom w:val="nil"/>
              <w:right w:val="nil"/>
            </w:tcBorders>
          </w:tcPr>
          <w:p w14:paraId="2C068589"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lnAGreen</w:t>
            </w:r>
            <w:proofErr w:type="spellEnd"/>
            <w:r w:rsidRPr="007F7EE4">
              <w:rPr>
                <w:rFonts w:cs="Times New Roman" w:hint="eastAsia"/>
                <w:kern w:val="0"/>
                <w:sz w:val="15"/>
                <w:szCs w:val="15"/>
              </w:rPr>
              <w:t>申请</w:t>
            </w:r>
          </w:p>
        </w:tc>
        <w:tc>
          <w:tcPr>
            <w:tcW w:w="3408" w:type="dxa"/>
            <w:gridSpan w:val="2"/>
            <w:tcBorders>
              <w:left w:val="nil"/>
              <w:bottom w:val="nil"/>
              <w:right w:val="nil"/>
            </w:tcBorders>
          </w:tcPr>
          <w:p w14:paraId="113DA87F"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sz w:val="15"/>
                <w:szCs w:val="15"/>
              </w:rPr>
              <w:t>lnGGreen</w:t>
            </w:r>
            <w:proofErr w:type="spellEnd"/>
            <w:r w:rsidRPr="007F7EE4">
              <w:rPr>
                <w:rFonts w:cs="Times New Roman" w:hint="eastAsia"/>
                <w:kern w:val="0"/>
                <w:sz w:val="15"/>
                <w:szCs w:val="15"/>
              </w:rPr>
              <w:t>授权</w:t>
            </w:r>
          </w:p>
        </w:tc>
      </w:tr>
      <w:tr w:rsidR="007F7EE4" w:rsidRPr="007F7EE4" w14:paraId="02D9C7BD" w14:textId="77777777">
        <w:tc>
          <w:tcPr>
            <w:tcW w:w="1705" w:type="dxa"/>
            <w:tcBorders>
              <w:top w:val="nil"/>
              <w:left w:val="nil"/>
              <w:bottom w:val="nil"/>
              <w:right w:val="nil"/>
            </w:tcBorders>
          </w:tcPr>
          <w:p w14:paraId="13651E1F"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29414D46"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DMarket</w:t>
            </w:r>
            <w:proofErr w:type="spellEnd"/>
            <w:r w:rsidRPr="007F7EE4">
              <w:rPr>
                <w:rFonts w:cs="Times New Roman" w:hint="eastAsia"/>
                <w:kern w:val="0"/>
                <w:sz w:val="15"/>
                <w:szCs w:val="15"/>
              </w:rPr>
              <w:t>=</w:t>
            </w:r>
            <w:r w:rsidRPr="007F7EE4">
              <w:rPr>
                <w:rFonts w:cs="Times New Roman"/>
                <w:kern w:val="0"/>
                <w:sz w:val="15"/>
                <w:szCs w:val="15"/>
              </w:rPr>
              <w:t>1</w:t>
            </w:r>
          </w:p>
        </w:tc>
        <w:tc>
          <w:tcPr>
            <w:tcW w:w="1704" w:type="dxa"/>
            <w:tcBorders>
              <w:top w:val="nil"/>
              <w:left w:val="nil"/>
              <w:bottom w:val="nil"/>
              <w:right w:val="nil"/>
            </w:tcBorders>
          </w:tcPr>
          <w:p w14:paraId="493E513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DMarket</w:t>
            </w:r>
            <w:proofErr w:type="spellEnd"/>
            <w:r w:rsidRPr="007F7EE4">
              <w:rPr>
                <w:rFonts w:cs="Times New Roman" w:hint="eastAsia"/>
                <w:kern w:val="0"/>
                <w:sz w:val="15"/>
                <w:szCs w:val="15"/>
              </w:rPr>
              <w:t>=</w:t>
            </w:r>
            <w:r w:rsidRPr="007F7EE4">
              <w:rPr>
                <w:rFonts w:cs="Times New Roman"/>
                <w:kern w:val="0"/>
                <w:sz w:val="15"/>
                <w:szCs w:val="15"/>
              </w:rPr>
              <w:t>0</w:t>
            </w:r>
          </w:p>
        </w:tc>
        <w:tc>
          <w:tcPr>
            <w:tcW w:w="1704" w:type="dxa"/>
            <w:tcBorders>
              <w:top w:val="nil"/>
              <w:left w:val="nil"/>
              <w:bottom w:val="nil"/>
              <w:right w:val="nil"/>
            </w:tcBorders>
          </w:tcPr>
          <w:p w14:paraId="76BF970E"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DMarket</w:t>
            </w:r>
            <w:proofErr w:type="spellEnd"/>
            <w:r w:rsidRPr="007F7EE4">
              <w:rPr>
                <w:rFonts w:cs="Times New Roman" w:hint="eastAsia"/>
                <w:kern w:val="0"/>
                <w:sz w:val="15"/>
                <w:szCs w:val="15"/>
              </w:rPr>
              <w:t>=</w:t>
            </w:r>
            <w:r w:rsidRPr="007F7EE4">
              <w:rPr>
                <w:rFonts w:cs="Times New Roman"/>
                <w:kern w:val="0"/>
                <w:sz w:val="15"/>
                <w:szCs w:val="15"/>
              </w:rPr>
              <w:t>1</w:t>
            </w:r>
          </w:p>
        </w:tc>
        <w:tc>
          <w:tcPr>
            <w:tcW w:w="1704" w:type="dxa"/>
            <w:tcBorders>
              <w:top w:val="nil"/>
              <w:left w:val="nil"/>
              <w:bottom w:val="nil"/>
              <w:right w:val="nil"/>
            </w:tcBorders>
          </w:tcPr>
          <w:p w14:paraId="2F12E4A1" w14:textId="77777777" w:rsidR="00D45CD8" w:rsidRPr="007F7EE4" w:rsidRDefault="00AC3F08">
            <w:pPr>
              <w:autoSpaceDE w:val="0"/>
              <w:autoSpaceDN w:val="0"/>
              <w:adjustRightInd w:val="0"/>
              <w:ind w:firstLineChars="0" w:firstLine="0"/>
              <w:jc w:val="center"/>
              <w:rPr>
                <w:rFonts w:cs="Times New Roman"/>
                <w:kern w:val="0"/>
                <w:sz w:val="15"/>
                <w:szCs w:val="15"/>
              </w:rPr>
            </w:pPr>
            <w:proofErr w:type="spellStart"/>
            <w:r w:rsidRPr="007F7EE4">
              <w:rPr>
                <w:rFonts w:cs="Times New Roman" w:hint="eastAsia"/>
                <w:kern w:val="0"/>
                <w:sz w:val="15"/>
                <w:szCs w:val="15"/>
              </w:rPr>
              <w:t>DMarket</w:t>
            </w:r>
            <w:proofErr w:type="spellEnd"/>
            <w:r w:rsidRPr="007F7EE4">
              <w:rPr>
                <w:rFonts w:cs="Times New Roman" w:hint="eastAsia"/>
                <w:kern w:val="0"/>
                <w:sz w:val="15"/>
                <w:szCs w:val="15"/>
              </w:rPr>
              <w:t>=</w:t>
            </w:r>
            <w:r w:rsidRPr="007F7EE4">
              <w:rPr>
                <w:rFonts w:cs="Times New Roman"/>
                <w:kern w:val="0"/>
                <w:sz w:val="15"/>
                <w:szCs w:val="15"/>
              </w:rPr>
              <w:t>0</w:t>
            </w:r>
          </w:p>
        </w:tc>
      </w:tr>
      <w:tr w:rsidR="007F7EE4" w:rsidRPr="007F7EE4" w14:paraId="31C28F1B" w14:textId="77777777">
        <w:tc>
          <w:tcPr>
            <w:tcW w:w="1705" w:type="dxa"/>
            <w:tcBorders>
              <w:top w:val="single" w:sz="4" w:space="0" w:color="auto"/>
              <w:left w:val="nil"/>
              <w:bottom w:val="nil"/>
              <w:right w:val="nil"/>
            </w:tcBorders>
          </w:tcPr>
          <w:p w14:paraId="77D04991" w14:textId="77777777" w:rsidR="00D45CD8" w:rsidRPr="007F7EE4" w:rsidRDefault="00AC3F08">
            <w:pPr>
              <w:autoSpaceDE w:val="0"/>
              <w:autoSpaceDN w:val="0"/>
              <w:adjustRightInd w:val="0"/>
              <w:ind w:firstLineChars="0" w:firstLine="0"/>
              <w:jc w:val="left"/>
              <w:rPr>
                <w:rFonts w:cs="Times New Roman"/>
                <w:kern w:val="0"/>
                <w:sz w:val="15"/>
                <w:szCs w:val="15"/>
              </w:rPr>
            </w:pPr>
            <w:proofErr w:type="spellStart"/>
            <w:r w:rsidRPr="007F7EE4">
              <w:rPr>
                <w:rFonts w:cs="Times New Roman"/>
                <w:kern w:val="0"/>
                <w:sz w:val="15"/>
                <w:szCs w:val="15"/>
              </w:rPr>
              <w:t>lnCSR</w:t>
            </w:r>
            <w:proofErr w:type="spellEnd"/>
          </w:p>
        </w:tc>
        <w:tc>
          <w:tcPr>
            <w:tcW w:w="1705" w:type="dxa"/>
            <w:tcBorders>
              <w:top w:val="single" w:sz="4" w:space="0" w:color="auto"/>
              <w:left w:val="nil"/>
              <w:bottom w:val="nil"/>
              <w:right w:val="nil"/>
            </w:tcBorders>
          </w:tcPr>
          <w:p w14:paraId="0CA32A7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0.088***</w:t>
            </w:r>
          </w:p>
        </w:tc>
        <w:tc>
          <w:tcPr>
            <w:tcW w:w="1704" w:type="dxa"/>
            <w:tcBorders>
              <w:top w:val="single" w:sz="4" w:space="0" w:color="auto"/>
              <w:left w:val="nil"/>
              <w:bottom w:val="nil"/>
              <w:right w:val="nil"/>
            </w:tcBorders>
          </w:tcPr>
          <w:p w14:paraId="6AA06866"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0.067***</w:t>
            </w:r>
          </w:p>
        </w:tc>
        <w:tc>
          <w:tcPr>
            <w:tcW w:w="1704" w:type="dxa"/>
            <w:tcBorders>
              <w:top w:val="single" w:sz="4" w:space="0" w:color="auto"/>
              <w:left w:val="nil"/>
              <w:bottom w:val="nil"/>
              <w:right w:val="nil"/>
            </w:tcBorders>
          </w:tcPr>
          <w:p w14:paraId="26D1FD1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0.073***</w:t>
            </w:r>
          </w:p>
        </w:tc>
        <w:tc>
          <w:tcPr>
            <w:tcW w:w="1704" w:type="dxa"/>
            <w:tcBorders>
              <w:top w:val="single" w:sz="4" w:space="0" w:color="auto"/>
              <w:left w:val="nil"/>
              <w:bottom w:val="nil"/>
              <w:right w:val="nil"/>
            </w:tcBorders>
          </w:tcPr>
          <w:p w14:paraId="60E7A56F"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0.047***</w:t>
            </w:r>
          </w:p>
        </w:tc>
      </w:tr>
      <w:tr w:rsidR="007F7EE4" w:rsidRPr="007F7EE4" w14:paraId="7B0BD750" w14:textId="77777777">
        <w:tc>
          <w:tcPr>
            <w:tcW w:w="1705" w:type="dxa"/>
            <w:tcBorders>
              <w:top w:val="nil"/>
              <w:left w:val="nil"/>
              <w:bottom w:val="nil"/>
              <w:right w:val="nil"/>
            </w:tcBorders>
          </w:tcPr>
          <w:p w14:paraId="0FF8DB59"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5903A55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(0.020)</w:t>
            </w:r>
          </w:p>
        </w:tc>
        <w:tc>
          <w:tcPr>
            <w:tcW w:w="1704" w:type="dxa"/>
            <w:tcBorders>
              <w:top w:val="nil"/>
              <w:left w:val="nil"/>
              <w:bottom w:val="nil"/>
              <w:right w:val="nil"/>
            </w:tcBorders>
          </w:tcPr>
          <w:p w14:paraId="7BEA1945"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(0.016)</w:t>
            </w:r>
          </w:p>
        </w:tc>
        <w:tc>
          <w:tcPr>
            <w:tcW w:w="1704" w:type="dxa"/>
            <w:tcBorders>
              <w:top w:val="nil"/>
              <w:left w:val="nil"/>
              <w:bottom w:val="nil"/>
              <w:right w:val="nil"/>
            </w:tcBorders>
          </w:tcPr>
          <w:p w14:paraId="5ED86E2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(0.017)</w:t>
            </w:r>
          </w:p>
        </w:tc>
        <w:tc>
          <w:tcPr>
            <w:tcW w:w="1704" w:type="dxa"/>
            <w:tcBorders>
              <w:top w:val="nil"/>
              <w:left w:val="nil"/>
              <w:bottom w:val="nil"/>
              <w:right w:val="nil"/>
            </w:tcBorders>
          </w:tcPr>
          <w:p w14:paraId="3006418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(0.014)</w:t>
            </w:r>
          </w:p>
        </w:tc>
      </w:tr>
      <w:tr w:rsidR="007F7EE4" w:rsidRPr="007F7EE4" w14:paraId="16315C49" w14:textId="77777777">
        <w:tc>
          <w:tcPr>
            <w:tcW w:w="1705" w:type="dxa"/>
            <w:tcBorders>
              <w:top w:val="nil"/>
              <w:left w:val="nil"/>
              <w:bottom w:val="nil"/>
              <w:right w:val="nil"/>
            </w:tcBorders>
          </w:tcPr>
          <w:p w14:paraId="10501605"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_cons</w:t>
            </w:r>
          </w:p>
        </w:tc>
        <w:tc>
          <w:tcPr>
            <w:tcW w:w="1705" w:type="dxa"/>
            <w:tcBorders>
              <w:top w:val="nil"/>
              <w:left w:val="nil"/>
              <w:bottom w:val="nil"/>
              <w:right w:val="nil"/>
            </w:tcBorders>
          </w:tcPr>
          <w:p w14:paraId="6B697E5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-2.561***</w:t>
            </w:r>
          </w:p>
        </w:tc>
        <w:tc>
          <w:tcPr>
            <w:tcW w:w="1704" w:type="dxa"/>
            <w:tcBorders>
              <w:top w:val="nil"/>
              <w:left w:val="nil"/>
              <w:bottom w:val="nil"/>
              <w:right w:val="nil"/>
            </w:tcBorders>
          </w:tcPr>
          <w:p w14:paraId="4920456A"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-2.444***</w:t>
            </w:r>
          </w:p>
        </w:tc>
        <w:tc>
          <w:tcPr>
            <w:tcW w:w="1704" w:type="dxa"/>
            <w:tcBorders>
              <w:top w:val="nil"/>
              <w:left w:val="nil"/>
              <w:bottom w:val="nil"/>
              <w:right w:val="nil"/>
            </w:tcBorders>
          </w:tcPr>
          <w:p w14:paraId="7613D8B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-2.086***</w:t>
            </w:r>
          </w:p>
        </w:tc>
        <w:tc>
          <w:tcPr>
            <w:tcW w:w="1704" w:type="dxa"/>
            <w:tcBorders>
              <w:top w:val="nil"/>
              <w:left w:val="nil"/>
              <w:bottom w:val="nil"/>
              <w:right w:val="nil"/>
            </w:tcBorders>
          </w:tcPr>
          <w:p w14:paraId="726E8D5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-2.190***</w:t>
            </w:r>
          </w:p>
        </w:tc>
      </w:tr>
      <w:tr w:rsidR="007F7EE4" w:rsidRPr="007F7EE4" w14:paraId="3B4A402E" w14:textId="77777777">
        <w:tc>
          <w:tcPr>
            <w:tcW w:w="1705" w:type="dxa"/>
            <w:tcBorders>
              <w:top w:val="nil"/>
              <w:left w:val="nil"/>
              <w:bottom w:val="nil"/>
              <w:right w:val="nil"/>
            </w:tcBorders>
          </w:tcPr>
          <w:p w14:paraId="7EAE24F9" w14:textId="77777777" w:rsidR="00D45CD8" w:rsidRPr="007F7EE4" w:rsidRDefault="00D45CD8">
            <w:pPr>
              <w:autoSpaceDE w:val="0"/>
              <w:autoSpaceDN w:val="0"/>
              <w:adjustRightInd w:val="0"/>
              <w:ind w:firstLineChars="0" w:firstLine="0"/>
              <w:jc w:val="left"/>
              <w:rPr>
                <w:rFonts w:cs="Times New Roman"/>
                <w:kern w:val="0"/>
                <w:sz w:val="15"/>
                <w:szCs w:val="15"/>
              </w:rPr>
            </w:pPr>
          </w:p>
        </w:tc>
        <w:tc>
          <w:tcPr>
            <w:tcW w:w="1705" w:type="dxa"/>
            <w:tcBorders>
              <w:top w:val="nil"/>
              <w:left w:val="nil"/>
              <w:bottom w:val="nil"/>
              <w:right w:val="nil"/>
            </w:tcBorders>
          </w:tcPr>
          <w:p w14:paraId="79CD5718"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(0.118)</w:t>
            </w:r>
          </w:p>
        </w:tc>
        <w:tc>
          <w:tcPr>
            <w:tcW w:w="1704" w:type="dxa"/>
            <w:tcBorders>
              <w:top w:val="nil"/>
              <w:left w:val="nil"/>
              <w:bottom w:val="nil"/>
              <w:right w:val="nil"/>
            </w:tcBorders>
          </w:tcPr>
          <w:p w14:paraId="559330A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(0.094)</w:t>
            </w:r>
          </w:p>
        </w:tc>
        <w:tc>
          <w:tcPr>
            <w:tcW w:w="1704" w:type="dxa"/>
            <w:tcBorders>
              <w:top w:val="nil"/>
              <w:left w:val="nil"/>
              <w:bottom w:val="nil"/>
              <w:right w:val="nil"/>
            </w:tcBorders>
          </w:tcPr>
          <w:p w14:paraId="0ABD3C2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(0.103)</w:t>
            </w:r>
          </w:p>
        </w:tc>
        <w:tc>
          <w:tcPr>
            <w:tcW w:w="1704" w:type="dxa"/>
            <w:tcBorders>
              <w:top w:val="nil"/>
              <w:left w:val="nil"/>
              <w:bottom w:val="nil"/>
              <w:right w:val="nil"/>
            </w:tcBorders>
          </w:tcPr>
          <w:p w14:paraId="18BA39DB"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(0.078)</w:t>
            </w:r>
          </w:p>
        </w:tc>
      </w:tr>
      <w:tr w:rsidR="007F7EE4" w:rsidRPr="007F7EE4" w14:paraId="61196392" w14:textId="77777777" w:rsidTr="00364D74">
        <w:tc>
          <w:tcPr>
            <w:tcW w:w="1705" w:type="dxa"/>
            <w:tcBorders>
              <w:top w:val="nil"/>
              <w:left w:val="nil"/>
              <w:bottom w:val="nil"/>
              <w:right w:val="nil"/>
            </w:tcBorders>
            <w:vAlign w:val="center"/>
          </w:tcPr>
          <w:p w14:paraId="2A8CF257" w14:textId="77777777" w:rsidR="00A77404" w:rsidRPr="007F7EE4" w:rsidRDefault="00A77404">
            <w:pPr>
              <w:autoSpaceDE w:val="0"/>
              <w:autoSpaceDN w:val="0"/>
              <w:adjustRightInd w:val="0"/>
              <w:ind w:firstLineChars="0" w:firstLine="0"/>
              <w:jc w:val="left"/>
              <w:rPr>
                <w:rFonts w:cs="Times New Roman"/>
                <w:kern w:val="0"/>
                <w:sz w:val="15"/>
                <w:szCs w:val="15"/>
              </w:rPr>
            </w:pPr>
            <w:r w:rsidRPr="007F7EE4">
              <w:rPr>
                <w:rFonts w:cs="Times New Roman" w:hint="eastAsia"/>
                <w:kern w:val="0"/>
                <w:sz w:val="15"/>
                <w:szCs w:val="15"/>
              </w:rPr>
              <w:t>Controls</w:t>
            </w:r>
          </w:p>
        </w:tc>
        <w:tc>
          <w:tcPr>
            <w:tcW w:w="1705" w:type="dxa"/>
            <w:tcBorders>
              <w:top w:val="nil"/>
              <w:left w:val="nil"/>
              <w:bottom w:val="nil"/>
              <w:right w:val="nil"/>
            </w:tcBorders>
            <w:vAlign w:val="center"/>
          </w:tcPr>
          <w:p w14:paraId="7C39ADF9"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4BD41667"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226C4B75"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c>
          <w:tcPr>
            <w:tcW w:w="1704" w:type="dxa"/>
            <w:tcBorders>
              <w:top w:val="nil"/>
              <w:left w:val="nil"/>
              <w:bottom w:val="nil"/>
              <w:right w:val="nil"/>
            </w:tcBorders>
          </w:tcPr>
          <w:p w14:paraId="2F977968" w14:textId="77777777" w:rsidR="00A77404" w:rsidRPr="007F7EE4" w:rsidRDefault="00A77404">
            <w:pPr>
              <w:autoSpaceDE w:val="0"/>
              <w:autoSpaceDN w:val="0"/>
              <w:adjustRightInd w:val="0"/>
              <w:ind w:firstLineChars="0" w:firstLine="0"/>
              <w:jc w:val="center"/>
              <w:rPr>
                <w:rFonts w:cs="Times New Roman"/>
                <w:kern w:val="0"/>
                <w:sz w:val="15"/>
                <w:szCs w:val="15"/>
              </w:rPr>
            </w:pPr>
            <w:r w:rsidRPr="007F7EE4">
              <w:rPr>
                <w:rFonts w:cs="Times New Roman" w:hint="eastAsia"/>
                <w:kern w:val="0"/>
                <w:sz w:val="15"/>
                <w:szCs w:val="15"/>
              </w:rPr>
              <w:t>Yes</w:t>
            </w:r>
          </w:p>
        </w:tc>
      </w:tr>
      <w:tr w:rsidR="007F7EE4" w:rsidRPr="007F7EE4" w14:paraId="65145D64" w14:textId="77777777">
        <w:tc>
          <w:tcPr>
            <w:tcW w:w="1705" w:type="dxa"/>
            <w:tcBorders>
              <w:top w:val="nil"/>
              <w:left w:val="nil"/>
              <w:bottom w:val="nil"/>
              <w:right w:val="nil"/>
            </w:tcBorders>
          </w:tcPr>
          <w:p w14:paraId="260DBB3F"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Industry FE</w:t>
            </w:r>
          </w:p>
        </w:tc>
        <w:tc>
          <w:tcPr>
            <w:tcW w:w="1705" w:type="dxa"/>
            <w:tcBorders>
              <w:top w:val="nil"/>
              <w:left w:val="nil"/>
              <w:bottom w:val="nil"/>
              <w:right w:val="nil"/>
            </w:tcBorders>
          </w:tcPr>
          <w:p w14:paraId="77D5263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472907D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0C1FA67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nil"/>
              <w:right w:val="nil"/>
            </w:tcBorders>
          </w:tcPr>
          <w:p w14:paraId="3542F742"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05E9CC00" w14:textId="77777777">
        <w:tc>
          <w:tcPr>
            <w:tcW w:w="1705" w:type="dxa"/>
            <w:tcBorders>
              <w:top w:val="nil"/>
              <w:left w:val="nil"/>
              <w:bottom w:val="single" w:sz="4" w:space="0" w:color="auto"/>
              <w:right w:val="nil"/>
            </w:tcBorders>
          </w:tcPr>
          <w:p w14:paraId="594FAAEE"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Year FE</w:t>
            </w:r>
          </w:p>
        </w:tc>
        <w:tc>
          <w:tcPr>
            <w:tcW w:w="1705" w:type="dxa"/>
            <w:tcBorders>
              <w:top w:val="nil"/>
              <w:left w:val="nil"/>
              <w:bottom w:val="single" w:sz="4" w:space="0" w:color="auto"/>
              <w:right w:val="nil"/>
            </w:tcBorders>
          </w:tcPr>
          <w:p w14:paraId="605D51F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771F357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03531F4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c>
          <w:tcPr>
            <w:tcW w:w="1704" w:type="dxa"/>
            <w:tcBorders>
              <w:top w:val="nil"/>
              <w:left w:val="nil"/>
              <w:bottom w:val="single" w:sz="4" w:space="0" w:color="auto"/>
              <w:right w:val="nil"/>
            </w:tcBorders>
          </w:tcPr>
          <w:p w14:paraId="26E3A2D0"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Yes</w:t>
            </w:r>
          </w:p>
        </w:tc>
      </w:tr>
      <w:tr w:rsidR="007F7EE4" w:rsidRPr="007F7EE4" w14:paraId="39A0ADC8" w14:textId="77777777">
        <w:tc>
          <w:tcPr>
            <w:tcW w:w="1705" w:type="dxa"/>
            <w:tcBorders>
              <w:top w:val="single" w:sz="4" w:space="0" w:color="auto"/>
              <w:left w:val="nil"/>
              <w:bottom w:val="nil"/>
              <w:right w:val="nil"/>
            </w:tcBorders>
          </w:tcPr>
          <w:p w14:paraId="7543DC96"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N</w:t>
            </w:r>
          </w:p>
        </w:tc>
        <w:tc>
          <w:tcPr>
            <w:tcW w:w="1705" w:type="dxa"/>
            <w:tcBorders>
              <w:top w:val="single" w:sz="4" w:space="0" w:color="auto"/>
              <w:left w:val="nil"/>
              <w:bottom w:val="nil"/>
              <w:right w:val="nil"/>
            </w:tcBorders>
          </w:tcPr>
          <w:p w14:paraId="4772565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10257</w:t>
            </w:r>
          </w:p>
        </w:tc>
        <w:tc>
          <w:tcPr>
            <w:tcW w:w="1704" w:type="dxa"/>
            <w:tcBorders>
              <w:top w:val="single" w:sz="4" w:space="0" w:color="auto"/>
              <w:left w:val="nil"/>
              <w:bottom w:val="nil"/>
              <w:right w:val="nil"/>
            </w:tcBorders>
          </w:tcPr>
          <w:p w14:paraId="0867E89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12160</w:t>
            </w:r>
          </w:p>
        </w:tc>
        <w:tc>
          <w:tcPr>
            <w:tcW w:w="1704" w:type="dxa"/>
            <w:tcBorders>
              <w:top w:val="single" w:sz="4" w:space="0" w:color="auto"/>
              <w:left w:val="nil"/>
              <w:bottom w:val="nil"/>
              <w:right w:val="nil"/>
            </w:tcBorders>
          </w:tcPr>
          <w:p w14:paraId="15534C5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10257</w:t>
            </w:r>
          </w:p>
        </w:tc>
        <w:tc>
          <w:tcPr>
            <w:tcW w:w="1704" w:type="dxa"/>
            <w:tcBorders>
              <w:top w:val="single" w:sz="4" w:space="0" w:color="auto"/>
              <w:left w:val="nil"/>
              <w:bottom w:val="nil"/>
              <w:right w:val="nil"/>
            </w:tcBorders>
          </w:tcPr>
          <w:p w14:paraId="37A46AC4"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12160</w:t>
            </w:r>
          </w:p>
        </w:tc>
      </w:tr>
      <w:tr w:rsidR="00D45CD8" w:rsidRPr="007F7EE4" w14:paraId="3BE220B9" w14:textId="77777777">
        <w:tc>
          <w:tcPr>
            <w:tcW w:w="1705" w:type="dxa"/>
            <w:tcBorders>
              <w:top w:val="nil"/>
              <w:left w:val="nil"/>
              <w:bottom w:val="single" w:sz="4" w:space="0" w:color="auto"/>
              <w:right w:val="nil"/>
            </w:tcBorders>
          </w:tcPr>
          <w:p w14:paraId="64379D8F" w14:textId="77777777" w:rsidR="00D45CD8" w:rsidRPr="007F7EE4" w:rsidRDefault="00AC3F08">
            <w:pPr>
              <w:autoSpaceDE w:val="0"/>
              <w:autoSpaceDN w:val="0"/>
              <w:adjustRightInd w:val="0"/>
              <w:ind w:firstLineChars="0" w:firstLine="0"/>
              <w:jc w:val="left"/>
              <w:rPr>
                <w:rFonts w:cs="Times New Roman"/>
                <w:kern w:val="0"/>
                <w:sz w:val="15"/>
                <w:szCs w:val="15"/>
              </w:rPr>
            </w:pPr>
            <w:r w:rsidRPr="007F7EE4">
              <w:rPr>
                <w:rFonts w:cs="Times New Roman"/>
                <w:kern w:val="0"/>
                <w:sz w:val="15"/>
                <w:szCs w:val="15"/>
              </w:rPr>
              <w:t>r2_a</w:t>
            </w:r>
          </w:p>
        </w:tc>
        <w:tc>
          <w:tcPr>
            <w:tcW w:w="1705" w:type="dxa"/>
            <w:tcBorders>
              <w:top w:val="nil"/>
              <w:left w:val="nil"/>
              <w:bottom w:val="single" w:sz="4" w:space="0" w:color="auto"/>
              <w:right w:val="nil"/>
            </w:tcBorders>
          </w:tcPr>
          <w:p w14:paraId="44A450DD"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0.296</w:t>
            </w:r>
          </w:p>
        </w:tc>
        <w:tc>
          <w:tcPr>
            <w:tcW w:w="1704" w:type="dxa"/>
            <w:tcBorders>
              <w:top w:val="nil"/>
              <w:left w:val="nil"/>
              <w:bottom w:val="single" w:sz="4" w:space="0" w:color="auto"/>
              <w:right w:val="nil"/>
            </w:tcBorders>
          </w:tcPr>
          <w:p w14:paraId="6EBF06EC"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0.296</w:t>
            </w:r>
          </w:p>
        </w:tc>
        <w:tc>
          <w:tcPr>
            <w:tcW w:w="1704" w:type="dxa"/>
            <w:tcBorders>
              <w:top w:val="nil"/>
              <w:left w:val="nil"/>
              <w:bottom w:val="single" w:sz="4" w:space="0" w:color="auto"/>
              <w:right w:val="nil"/>
            </w:tcBorders>
          </w:tcPr>
          <w:p w14:paraId="3179875E"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0.278</w:t>
            </w:r>
          </w:p>
        </w:tc>
        <w:tc>
          <w:tcPr>
            <w:tcW w:w="1704" w:type="dxa"/>
            <w:tcBorders>
              <w:top w:val="nil"/>
              <w:left w:val="nil"/>
              <w:bottom w:val="single" w:sz="4" w:space="0" w:color="auto"/>
              <w:right w:val="nil"/>
            </w:tcBorders>
          </w:tcPr>
          <w:p w14:paraId="1E4AEFE7" w14:textId="77777777" w:rsidR="00D45CD8" w:rsidRPr="007F7EE4" w:rsidRDefault="00AC3F08">
            <w:pPr>
              <w:autoSpaceDE w:val="0"/>
              <w:autoSpaceDN w:val="0"/>
              <w:adjustRightInd w:val="0"/>
              <w:ind w:firstLineChars="0" w:firstLine="0"/>
              <w:jc w:val="center"/>
              <w:rPr>
                <w:rFonts w:cs="Times New Roman"/>
                <w:kern w:val="0"/>
                <w:sz w:val="15"/>
                <w:szCs w:val="15"/>
              </w:rPr>
            </w:pPr>
            <w:r w:rsidRPr="007F7EE4">
              <w:rPr>
                <w:rFonts w:cs="Times New Roman"/>
                <w:kern w:val="0"/>
                <w:sz w:val="15"/>
                <w:szCs w:val="15"/>
              </w:rPr>
              <w:t>0.284</w:t>
            </w:r>
          </w:p>
        </w:tc>
      </w:tr>
    </w:tbl>
    <w:p w14:paraId="6D0E2EB3" w14:textId="77777777" w:rsidR="00D45CD8" w:rsidRPr="007F7EE4" w:rsidRDefault="00D45CD8">
      <w:pPr>
        <w:ind w:firstLine="420"/>
      </w:pPr>
    </w:p>
    <w:p w14:paraId="54226C88" w14:textId="77777777" w:rsidR="00D45CD8" w:rsidRPr="007F7EE4" w:rsidRDefault="00AC3F08">
      <w:pPr>
        <w:pStyle w:val="1"/>
        <w:jc w:val="center"/>
        <w:rPr>
          <w:b/>
        </w:rPr>
      </w:pPr>
      <w:r w:rsidRPr="007F7EE4">
        <w:rPr>
          <w:rFonts w:hint="eastAsia"/>
          <w:b/>
        </w:rPr>
        <w:lastRenderedPageBreak/>
        <w:t>六、研究结论与启示</w:t>
      </w:r>
    </w:p>
    <w:p w14:paraId="47AA7FA3" w14:textId="77777777" w:rsidR="00D45CD8" w:rsidRPr="007F7EE4" w:rsidRDefault="00AC3F08">
      <w:pPr>
        <w:pStyle w:val="2"/>
      </w:pPr>
      <w:r w:rsidRPr="007F7EE4">
        <w:rPr>
          <w:rFonts w:hint="eastAsia"/>
        </w:rPr>
        <w:t>（一）研究结论</w:t>
      </w:r>
    </w:p>
    <w:p w14:paraId="72EF6F12" w14:textId="77777777" w:rsidR="00D45CD8" w:rsidRPr="007F7EE4" w:rsidRDefault="00AC3F08">
      <w:pPr>
        <w:ind w:firstLine="420"/>
      </w:pPr>
      <w:r w:rsidRPr="007F7EE4">
        <w:rPr>
          <w:rFonts w:hint="eastAsia"/>
        </w:rPr>
        <w:t>在创新驱动与创新引领的新发展阶段，系统实现绿色转型与创新要素驱动经济与社会的高质量发展成为未来较长一段时期的重大战略任务，基于绿色与创新驱动的发展理念也成为指引我国产业转型升级与微观企业高质量可持续发展的重要发展理念，如何推动企业树立可持续竞争理念，系统通过嵌入与融入可持续理念实现企业社会责任与企业竞争战略的内在相容成为企业迈向高质量发展不可回避的现实问题。本文以</w:t>
      </w:r>
      <w:r w:rsidRPr="007F7EE4">
        <w:rPr>
          <w:rFonts w:hint="eastAsia"/>
        </w:rPr>
        <w:t>2010-2019</w:t>
      </w:r>
      <w:r w:rsidRPr="007F7EE4">
        <w:rPr>
          <w:rFonts w:hint="eastAsia"/>
        </w:rPr>
        <w:t>年中国</w:t>
      </w:r>
      <w:r w:rsidRPr="007F7EE4">
        <w:rPr>
          <w:rFonts w:hint="eastAsia"/>
        </w:rPr>
        <w:t>A</w:t>
      </w:r>
      <w:r w:rsidRPr="007F7EE4">
        <w:rPr>
          <w:rFonts w:hint="eastAsia"/>
        </w:rPr>
        <w:t>股上市公司为实证研究样本，实证分析了企业社会责任对绿色技术创新的影响及其内在机理，并考察了媒体关注作为外部制度环境的规制与规范合法性压力在企业社会责任与企业绿色技术创新之间的调节效应。研究结果表明：（</w:t>
      </w:r>
      <w:r w:rsidRPr="007F7EE4">
        <w:rPr>
          <w:rFonts w:hint="eastAsia"/>
        </w:rPr>
        <w:t>1</w:t>
      </w:r>
      <w:r w:rsidRPr="007F7EE4">
        <w:rPr>
          <w:rFonts w:hint="eastAsia"/>
        </w:rPr>
        <w:t>）企业社会责任对企业绿色技术创新产生显著的促进效应，区分企业绿色专利申请与绿色专利授权促进效应依然存在，考虑内生性后本文研究结论依然成立。（</w:t>
      </w:r>
      <w:r w:rsidRPr="007F7EE4">
        <w:rPr>
          <w:rFonts w:hint="eastAsia"/>
        </w:rPr>
        <w:t>2</w:t>
      </w:r>
      <w:r w:rsidRPr="007F7EE4">
        <w:rPr>
          <w:rFonts w:hint="eastAsia"/>
        </w:rPr>
        <w:t>）媒体关注在企业社会责任与企业绿色技术创新之间产生显著的正向调节效应，不管是政策导向型媒体关注还是市场导向型媒体关注，基于制度合法性压力下企业社会责任的绿色技术创新的驱动效应都显著成立。（</w:t>
      </w:r>
      <w:r w:rsidRPr="007F7EE4">
        <w:rPr>
          <w:rFonts w:hint="eastAsia"/>
        </w:rPr>
        <w:t>3</w:t>
      </w:r>
      <w:r w:rsidRPr="007F7EE4">
        <w:rPr>
          <w:rFonts w:hint="eastAsia"/>
        </w:rPr>
        <w:t>）中介机制检验结果表明，企业社会责任主要通过强化企业环保投资促进企业绿色技术创新绩效。（</w:t>
      </w:r>
      <w:r w:rsidRPr="007F7EE4">
        <w:rPr>
          <w:rFonts w:hint="eastAsia"/>
        </w:rPr>
        <w:t>4</w:t>
      </w:r>
      <w:r w:rsidRPr="007F7EE4">
        <w:rPr>
          <w:rFonts w:hint="eastAsia"/>
        </w:rPr>
        <w:t>）异质性分析结果表明，企业社会责任在强高管激励、强制性社会责任披露环境、大规模企业以及市场化制度环境更强的样本中更为明显。本文的研究弥合传统研究过度关注环境规制下的企业绿色技术创新效率，基于全面的企业绿色技术创新的大样本数据丰富了企业绿色技术创新的测度，从企业社会责任的视角以及外部合法性压力双重视角为系统推进企业树立绿色技术创新战略提供新的理论框架，也为新发展阶段下系统推进企业绿色技术创新提供新的研究视角，为明晰企业社会责任的创新价值效应提供新的经验启示。</w:t>
      </w:r>
    </w:p>
    <w:p w14:paraId="66850417" w14:textId="77777777" w:rsidR="00D45CD8" w:rsidRPr="007F7EE4" w:rsidRDefault="00AC3F08">
      <w:pPr>
        <w:pStyle w:val="2"/>
      </w:pPr>
      <w:r w:rsidRPr="007F7EE4">
        <w:rPr>
          <w:rFonts w:hint="eastAsia"/>
        </w:rPr>
        <w:t>（二）启示</w:t>
      </w:r>
    </w:p>
    <w:p w14:paraId="17FADE9E" w14:textId="77777777" w:rsidR="009601BE" w:rsidRPr="007F7EE4" w:rsidRDefault="00AC3F08">
      <w:pPr>
        <w:ind w:firstLine="420"/>
      </w:pPr>
      <w:r w:rsidRPr="007F7EE4">
        <w:rPr>
          <w:rFonts w:hint="eastAsia"/>
        </w:rPr>
        <w:t>本文的研究对企业与外部制度主体具有三点启示。第一，</w:t>
      </w:r>
      <w:r w:rsidR="00F6513A" w:rsidRPr="007F7EE4">
        <w:rPr>
          <w:rFonts w:hint="eastAsia"/>
        </w:rPr>
        <w:t>深化推进企业社会责任实践体系与治理体系建设。对于微观企业而言，企业是制定企业社会责任战略与构建企业社会责任内部治理体系的微观市场主体，需要进一步在战略导向层面强化企业社会责任战略，将企业社会责任视为融合企业经济属性与社会属性的必要战略举措，推动企业社会责任与可持续发展认知导向融入到企业内部战略管理与创新管理体系之中，更好地实现企业技术创新过程中的责任嵌入，实现经济意义驱动的企业技术创新体系向涵盖经济与社会环境意义的绿色创新体系转型升级，最终以企业内部战略驱动实现企业社会责任实践的可持续性。对于政府而言，需要逐步完善企业社会责任治理体系，通过构建面向不同类型企业、不同情境以及不同资源基础的企业社会责任激励、惩戒与评价等治理制度安排，稳步分类推进企业更好地重视企业社会责任，响应绿色发展理念下的“双碳战略”，尤其是对于缺乏绿色技术创新动力与能力的企业需要加快政府治理赋能，以政府绿色注意力下的合法性传导实现企业绿色技术创新战略响应</w:t>
      </w:r>
      <w:r w:rsidR="009601BE" w:rsidRPr="007F7EE4">
        <w:rPr>
          <w:rFonts w:hint="eastAsia"/>
        </w:rPr>
        <w:t>，最终促进企业与利益相关方的共生发展，创造涵盖经济、社会与环境的综合价值与共享价值，避免商业模式创新或者技术创新带来负面环境问题</w:t>
      </w:r>
      <w:r w:rsidR="009601BE" w:rsidRPr="007F7EE4">
        <w:rPr>
          <w:rFonts w:hint="eastAsia"/>
          <w:vertAlign w:val="superscript"/>
        </w:rPr>
        <w:t>[46]</w:t>
      </w:r>
      <w:r w:rsidR="00F6513A" w:rsidRPr="007F7EE4">
        <w:rPr>
          <w:rFonts w:hint="eastAsia"/>
        </w:rPr>
        <w:t>。</w:t>
      </w:r>
    </w:p>
    <w:p w14:paraId="0E3B1B55" w14:textId="77777777" w:rsidR="00F6513A" w:rsidRPr="007F7EE4" w:rsidRDefault="00F6513A" w:rsidP="00527644">
      <w:pPr>
        <w:ind w:firstLine="420"/>
      </w:pPr>
      <w:r w:rsidRPr="007F7EE4">
        <w:rPr>
          <w:rFonts w:hint="eastAsia"/>
        </w:rPr>
        <w:t>第二，持续强化企业绿色技术创新的资源投入。一方面，企业开展绿色技术创新活动不仅仅是企业的一项市场活动，更是一项具有正外部性与公共性的社会性活动，企业绿色技术创新在企业私人收益与私人回报不对称的前提下，需要社会层面的利益相关方强化对企业开展绿色技术创新的资源支持，包括以责任投资、责任消费以及责任采购等方式主动选择具有较强企业社会责任导向与能力的企业开展价值共创活动，主动支持企业社会责任绩效表现好的企业开展企业绿色技术创新活动，为</w:t>
      </w:r>
      <w:r w:rsidR="00527644" w:rsidRPr="007F7EE4">
        <w:rPr>
          <w:rFonts w:hint="eastAsia"/>
        </w:rPr>
        <w:t>“双碳”背景下</w:t>
      </w:r>
      <w:r w:rsidRPr="007F7EE4">
        <w:rPr>
          <w:rFonts w:hint="eastAsia"/>
        </w:rPr>
        <w:t>企业绿色技术创新破除系列社会融资支持障碍</w:t>
      </w:r>
      <w:r w:rsidR="00527644" w:rsidRPr="007F7EE4">
        <w:rPr>
          <w:rFonts w:hint="eastAsia"/>
        </w:rPr>
        <w:t>，支持企业开展面向能源技术创新以及低碳节能减排类的绿色技术创新活动，从创新链的视角推动企业研发设计、生产制造流程、工艺以及产品包装销售等过程中的绿色化</w:t>
      </w:r>
      <w:r w:rsidRPr="007F7EE4">
        <w:rPr>
          <w:rFonts w:hint="eastAsia"/>
        </w:rPr>
        <w:t>。</w:t>
      </w:r>
      <w:r w:rsidRPr="007F7EE4">
        <w:rPr>
          <w:rFonts w:hint="eastAsia"/>
        </w:rPr>
        <w:lastRenderedPageBreak/>
        <w:t>另一方面，企业需要根据自身能力基础合理配置绿色技术创新资源，合理地配置企业的创新资源投入企业绿色技术创新的过程之中，保证企业开展绿色技术创新更好地实现自身经济竞争力与企业利益相关方价值的内在相容</w:t>
      </w:r>
      <w:r w:rsidR="009601BE" w:rsidRPr="007F7EE4">
        <w:rPr>
          <w:rFonts w:hint="eastAsia"/>
        </w:rPr>
        <w:t>，</w:t>
      </w:r>
      <w:r w:rsidR="00B8153B" w:rsidRPr="007F7EE4">
        <w:rPr>
          <w:rFonts w:hint="eastAsia"/>
        </w:rPr>
        <w:t>尤其是面向企业绿色技术创新的绿色环保投资过程中，一方面需要立足与企业生产运营活动密切联系的环境责任议题，开展与企业产业链相关联的企业绿色环保投资活动，进而驱动企业开展与产业链</w:t>
      </w:r>
      <w:r w:rsidR="007831E3" w:rsidRPr="007F7EE4">
        <w:rPr>
          <w:rFonts w:hint="eastAsia"/>
        </w:rPr>
        <w:t>活动相关联的绿色创新链建设，以绿色创新链支撑企业绿色产业链与价值链。另一方面</w:t>
      </w:r>
      <w:r w:rsidR="009601BE" w:rsidRPr="007F7EE4">
        <w:rPr>
          <w:rFonts w:hint="eastAsia"/>
        </w:rPr>
        <w:t>需要根据企业不同阶段持续优化企业绿色环保与创新投入机制，在资源不足的情景下充分发挥企业社会责任对外部利益相关方的资源获取机制的竞争工具价值，促进企业绿色技术创新拥有足够的资源基础，避免由于单一开展企业绿色技术创新活动忽视了企业本源性生产功能</w:t>
      </w:r>
      <w:r w:rsidRPr="007F7EE4">
        <w:rPr>
          <w:rFonts w:hint="eastAsia"/>
        </w:rPr>
        <w:t>。</w:t>
      </w:r>
    </w:p>
    <w:p w14:paraId="0C944DBF" w14:textId="77777777" w:rsidR="00F6513A" w:rsidRPr="007F7EE4" w:rsidRDefault="009601BE" w:rsidP="00F6513A">
      <w:pPr>
        <w:ind w:firstLine="422"/>
      </w:pPr>
      <w:r w:rsidRPr="007F7EE4">
        <w:rPr>
          <w:rFonts w:hint="eastAsia"/>
          <w:b/>
        </w:rPr>
        <w:t>第三，</w:t>
      </w:r>
      <w:r w:rsidRPr="007F7EE4">
        <w:rPr>
          <w:rFonts w:hint="eastAsia"/>
        </w:rPr>
        <w:t>媒体作为企业社会责任治理的外部治理主体需要更好地发挥对企业绿色技术创新的引导与治理功能。一方面，媒体关注作为一种外部合法性压力以及外部信号机制，对企业绿色导向的持续关注与报道有助于企业强化企业开展绿色技术创新导向的创新动力，吸引利益相关方关注以及形成基于利益相关方压力机制与信号机制优化企业绿色技术创新导向与技术创新绩效。另一方面，不同类型的媒体关注类型具有差异性，对于负面的企业社会责任实践或者企业衍生的负面环境问题，需要强化官方媒体的规制合法性的压力驱动机制，对于正面的企业社会责任实践需要更多地依靠市场激励下的规范合法性与信号机制实现企业绿色技术创新的可持续激励机制建构，最终形成不同类型媒体治理对积极企业社会责任行为的持续诱导与激励以及负面企业社会责任行为的及时曝光与惩戒。</w:t>
      </w:r>
    </w:p>
    <w:p w14:paraId="30773EE7" w14:textId="77777777" w:rsidR="00D45CD8" w:rsidRPr="007F7EE4" w:rsidRDefault="00AC3F08">
      <w:pPr>
        <w:spacing w:afterLines="50" w:after="156"/>
        <w:ind w:firstLineChars="50" w:firstLine="105"/>
        <w:jc w:val="center"/>
        <w:rPr>
          <w:rFonts w:eastAsia="黑体"/>
          <w:b/>
          <w:bCs/>
          <w:szCs w:val="21"/>
        </w:rPr>
      </w:pPr>
      <w:r w:rsidRPr="007F7EE4">
        <w:rPr>
          <w:rFonts w:eastAsia="黑体" w:hint="eastAsia"/>
          <w:b/>
          <w:bCs/>
          <w:szCs w:val="21"/>
        </w:rPr>
        <w:t>参</w:t>
      </w:r>
      <w:r w:rsidRPr="007F7EE4">
        <w:rPr>
          <w:rFonts w:eastAsia="黑体" w:hint="eastAsia"/>
          <w:b/>
          <w:bCs/>
          <w:szCs w:val="21"/>
        </w:rPr>
        <w:t xml:space="preserve"> </w:t>
      </w:r>
      <w:r w:rsidRPr="007F7EE4">
        <w:rPr>
          <w:rFonts w:eastAsia="黑体" w:hint="eastAsia"/>
          <w:b/>
          <w:bCs/>
          <w:szCs w:val="21"/>
        </w:rPr>
        <w:t>考</w:t>
      </w:r>
      <w:r w:rsidRPr="007F7EE4">
        <w:rPr>
          <w:rFonts w:eastAsia="黑体" w:hint="eastAsia"/>
          <w:b/>
          <w:bCs/>
          <w:szCs w:val="21"/>
        </w:rPr>
        <w:t xml:space="preserve"> </w:t>
      </w:r>
      <w:r w:rsidRPr="007F7EE4">
        <w:rPr>
          <w:rFonts w:eastAsia="黑体" w:hint="eastAsia"/>
          <w:b/>
          <w:bCs/>
          <w:szCs w:val="21"/>
        </w:rPr>
        <w:t>文</w:t>
      </w:r>
      <w:r w:rsidRPr="007F7EE4">
        <w:rPr>
          <w:rFonts w:eastAsia="黑体" w:hint="eastAsia"/>
          <w:b/>
          <w:bCs/>
          <w:szCs w:val="21"/>
        </w:rPr>
        <w:t xml:space="preserve"> </w:t>
      </w:r>
      <w:r w:rsidRPr="007F7EE4">
        <w:rPr>
          <w:rFonts w:eastAsia="黑体" w:hint="eastAsia"/>
          <w:b/>
          <w:bCs/>
          <w:szCs w:val="21"/>
        </w:rPr>
        <w:t>献</w:t>
      </w:r>
    </w:p>
    <w:p w14:paraId="69B4E554" w14:textId="77777777" w:rsidR="00D45CD8" w:rsidRPr="007F7EE4" w:rsidRDefault="00AC3F08">
      <w:pPr>
        <w:ind w:firstLineChars="83" w:firstLine="149"/>
        <w:rPr>
          <w:sz w:val="18"/>
          <w:szCs w:val="18"/>
        </w:rPr>
      </w:pPr>
      <w:r w:rsidRPr="007F7EE4">
        <w:rPr>
          <w:rFonts w:hint="eastAsia"/>
          <w:sz w:val="18"/>
          <w:szCs w:val="18"/>
        </w:rPr>
        <w:t xml:space="preserve">[1] </w:t>
      </w:r>
      <w:r w:rsidRPr="007F7EE4">
        <w:rPr>
          <w:sz w:val="18"/>
          <w:szCs w:val="18"/>
        </w:rPr>
        <w:t>LIN H, ZENG S X, MA H Y</w:t>
      </w:r>
      <w:r w:rsidRPr="007F7EE4">
        <w:rPr>
          <w:rFonts w:hint="eastAsia"/>
          <w:sz w:val="18"/>
          <w:szCs w:val="18"/>
        </w:rPr>
        <w:t>, et al. Can political capital drive corporate green innovation? lessons from China[J]. Journal of Cleaner Production,2014, 64: 63-72.</w:t>
      </w:r>
    </w:p>
    <w:p w14:paraId="5BCEB74F" w14:textId="77777777" w:rsidR="00D45CD8" w:rsidRPr="007F7EE4" w:rsidRDefault="00AC3F08">
      <w:pPr>
        <w:ind w:firstLineChars="83" w:firstLine="149"/>
        <w:rPr>
          <w:sz w:val="18"/>
          <w:szCs w:val="18"/>
        </w:rPr>
      </w:pPr>
      <w:r w:rsidRPr="007F7EE4">
        <w:rPr>
          <w:rFonts w:hint="eastAsia"/>
          <w:sz w:val="18"/>
          <w:szCs w:val="18"/>
        </w:rPr>
        <w:t xml:space="preserve">[2] </w:t>
      </w:r>
      <w:r w:rsidRPr="007F7EE4">
        <w:rPr>
          <w:rFonts w:hint="eastAsia"/>
          <w:sz w:val="18"/>
          <w:szCs w:val="18"/>
        </w:rPr>
        <w:t>李婉红</w:t>
      </w:r>
      <w:r w:rsidRPr="007F7EE4">
        <w:rPr>
          <w:rFonts w:hint="eastAsia"/>
          <w:sz w:val="18"/>
          <w:szCs w:val="18"/>
        </w:rPr>
        <w:t>.</w:t>
      </w:r>
      <w:r w:rsidRPr="007F7EE4">
        <w:rPr>
          <w:rFonts w:hint="eastAsia"/>
          <w:sz w:val="18"/>
          <w:szCs w:val="18"/>
        </w:rPr>
        <w:t>中国省域工业绿色技术创新产出的时空演化及影响因素</w:t>
      </w:r>
      <w:r w:rsidRPr="007F7EE4">
        <w:rPr>
          <w:rFonts w:hint="eastAsia"/>
          <w:sz w:val="18"/>
          <w:szCs w:val="18"/>
        </w:rPr>
        <w:t>:</w:t>
      </w:r>
      <w:r w:rsidRPr="007F7EE4">
        <w:rPr>
          <w:rFonts w:hint="eastAsia"/>
          <w:sz w:val="18"/>
          <w:szCs w:val="18"/>
        </w:rPr>
        <w:t>基于</w:t>
      </w:r>
      <w:r w:rsidRPr="007F7EE4">
        <w:rPr>
          <w:rFonts w:hint="eastAsia"/>
          <w:sz w:val="18"/>
          <w:szCs w:val="18"/>
        </w:rPr>
        <w:t>30</w:t>
      </w:r>
      <w:r w:rsidRPr="007F7EE4">
        <w:rPr>
          <w:rFonts w:hint="eastAsia"/>
          <w:sz w:val="18"/>
          <w:szCs w:val="18"/>
        </w:rPr>
        <w:t>个省域数据的实证研究</w:t>
      </w:r>
      <w:r w:rsidRPr="007F7EE4">
        <w:rPr>
          <w:rFonts w:hint="eastAsia"/>
          <w:sz w:val="18"/>
          <w:szCs w:val="18"/>
        </w:rPr>
        <w:t>[</w:t>
      </w:r>
      <w:r w:rsidRPr="007F7EE4">
        <w:rPr>
          <w:sz w:val="18"/>
          <w:szCs w:val="18"/>
        </w:rPr>
        <w:t>J]</w:t>
      </w:r>
      <w:r w:rsidRPr="007F7EE4">
        <w:rPr>
          <w:rFonts w:hint="eastAsia"/>
          <w:sz w:val="18"/>
          <w:szCs w:val="18"/>
        </w:rPr>
        <w:t>.</w:t>
      </w:r>
      <w:r w:rsidRPr="007F7EE4">
        <w:rPr>
          <w:rFonts w:hint="eastAsia"/>
          <w:sz w:val="18"/>
          <w:szCs w:val="18"/>
        </w:rPr>
        <w:t>管理工程学报</w:t>
      </w:r>
      <w:r w:rsidRPr="007F7EE4">
        <w:rPr>
          <w:rFonts w:hint="eastAsia"/>
          <w:sz w:val="18"/>
          <w:szCs w:val="18"/>
        </w:rPr>
        <w:t>,2017,31(2):9</w:t>
      </w:r>
      <w:r w:rsidRPr="007F7EE4">
        <w:rPr>
          <w:rFonts w:hint="eastAsia"/>
          <w:sz w:val="18"/>
          <w:szCs w:val="18"/>
        </w:rPr>
        <w:t>－</w:t>
      </w:r>
      <w:r w:rsidRPr="007F7EE4">
        <w:rPr>
          <w:rFonts w:hint="eastAsia"/>
          <w:sz w:val="18"/>
          <w:szCs w:val="18"/>
        </w:rPr>
        <w:t>19.</w:t>
      </w:r>
    </w:p>
    <w:p w14:paraId="245B2BD7" w14:textId="77777777" w:rsidR="00D45CD8" w:rsidRPr="007F7EE4" w:rsidRDefault="00AC3F08">
      <w:pPr>
        <w:ind w:firstLineChars="83" w:firstLine="149"/>
        <w:rPr>
          <w:sz w:val="18"/>
          <w:szCs w:val="18"/>
        </w:rPr>
      </w:pPr>
      <w:r w:rsidRPr="007F7EE4">
        <w:rPr>
          <w:rFonts w:hint="eastAsia"/>
          <w:sz w:val="18"/>
          <w:szCs w:val="18"/>
        </w:rPr>
        <w:t xml:space="preserve">[3] </w:t>
      </w:r>
      <w:r w:rsidRPr="007F7EE4">
        <w:rPr>
          <w:rFonts w:hint="eastAsia"/>
          <w:sz w:val="18"/>
          <w:szCs w:val="18"/>
        </w:rPr>
        <w:t>李旭</w:t>
      </w:r>
      <w:r w:rsidRPr="007F7EE4">
        <w:rPr>
          <w:rFonts w:hint="eastAsia"/>
          <w:sz w:val="18"/>
          <w:szCs w:val="18"/>
        </w:rPr>
        <w:t>.</w:t>
      </w:r>
      <w:r w:rsidRPr="007F7EE4">
        <w:rPr>
          <w:rFonts w:hint="eastAsia"/>
          <w:sz w:val="18"/>
          <w:szCs w:val="18"/>
        </w:rPr>
        <w:t>绿色创新相关研究的梳理与展望</w:t>
      </w:r>
      <w:r w:rsidRPr="007F7EE4">
        <w:rPr>
          <w:rFonts w:hint="eastAsia"/>
          <w:sz w:val="18"/>
          <w:szCs w:val="18"/>
        </w:rPr>
        <w:t>[J].</w:t>
      </w:r>
      <w:r w:rsidRPr="007F7EE4">
        <w:rPr>
          <w:rFonts w:hint="eastAsia"/>
          <w:sz w:val="18"/>
          <w:szCs w:val="18"/>
        </w:rPr>
        <w:t>研究与发展管理</w:t>
      </w:r>
      <w:r w:rsidRPr="007F7EE4">
        <w:rPr>
          <w:rFonts w:hint="eastAsia"/>
          <w:sz w:val="18"/>
          <w:szCs w:val="18"/>
        </w:rPr>
        <w:t>, 2015, 27(2):1-11.</w:t>
      </w:r>
    </w:p>
    <w:p w14:paraId="58AD9E49" w14:textId="77777777" w:rsidR="00D45CD8" w:rsidRPr="007F7EE4" w:rsidRDefault="00AC3F08">
      <w:pPr>
        <w:ind w:firstLineChars="83" w:firstLine="149"/>
        <w:rPr>
          <w:sz w:val="18"/>
          <w:szCs w:val="18"/>
        </w:rPr>
      </w:pPr>
      <w:r w:rsidRPr="007F7EE4">
        <w:rPr>
          <w:sz w:val="18"/>
          <w:szCs w:val="18"/>
        </w:rPr>
        <w:t>[4] WANG C, NIE P Y, PENG D H, et al. Green insurance subsidy for promoting clean production innovation[J]. Journal of Cleaner Production, 2017, 148:111-117.</w:t>
      </w:r>
    </w:p>
    <w:p w14:paraId="179E45CA" w14:textId="77777777" w:rsidR="00D45CD8" w:rsidRPr="007F7EE4" w:rsidRDefault="00AC3F08">
      <w:pPr>
        <w:ind w:firstLineChars="83" w:firstLine="149"/>
        <w:rPr>
          <w:sz w:val="18"/>
          <w:szCs w:val="18"/>
        </w:rPr>
      </w:pPr>
      <w:r w:rsidRPr="007F7EE4">
        <w:rPr>
          <w:sz w:val="18"/>
          <w:szCs w:val="18"/>
        </w:rPr>
        <w:t xml:space="preserve">[5] WANG M Y, LI Y M, LI M </w:t>
      </w:r>
      <w:proofErr w:type="spellStart"/>
      <w:r w:rsidRPr="007F7EE4">
        <w:rPr>
          <w:sz w:val="18"/>
          <w:szCs w:val="18"/>
        </w:rPr>
        <w:t>M</w:t>
      </w:r>
      <w:proofErr w:type="spellEnd"/>
      <w:r w:rsidRPr="007F7EE4">
        <w:rPr>
          <w:sz w:val="18"/>
          <w:szCs w:val="18"/>
        </w:rPr>
        <w:t>, et al. Will carbon tax affect the strategy and performance of low-carbon technology sharing between enterprises? [J]. Journal of Cleaner Production,2019(210):724-737.</w:t>
      </w:r>
    </w:p>
    <w:p w14:paraId="2DE8261C" w14:textId="77777777" w:rsidR="00D45CD8" w:rsidRPr="007F7EE4" w:rsidRDefault="00AC3F08">
      <w:pPr>
        <w:ind w:firstLineChars="83" w:firstLine="149"/>
        <w:rPr>
          <w:sz w:val="18"/>
          <w:szCs w:val="18"/>
        </w:rPr>
      </w:pPr>
      <w:r w:rsidRPr="007F7EE4">
        <w:rPr>
          <w:rFonts w:hint="eastAsia"/>
          <w:sz w:val="18"/>
          <w:szCs w:val="18"/>
        </w:rPr>
        <w:t xml:space="preserve">[6] </w:t>
      </w:r>
      <w:r w:rsidRPr="007F7EE4">
        <w:rPr>
          <w:rFonts w:hint="eastAsia"/>
          <w:sz w:val="18"/>
          <w:szCs w:val="18"/>
        </w:rPr>
        <w:t>陶锋</w:t>
      </w:r>
      <w:r w:rsidRPr="007F7EE4">
        <w:rPr>
          <w:rFonts w:hint="eastAsia"/>
          <w:sz w:val="18"/>
          <w:szCs w:val="18"/>
        </w:rPr>
        <w:t>,</w:t>
      </w:r>
      <w:r w:rsidRPr="007F7EE4">
        <w:rPr>
          <w:rFonts w:hint="eastAsia"/>
          <w:sz w:val="18"/>
          <w:szCs w:val="18"/>
        </w:rPr>
        <w:t>赵锦瑜</w:t>
      </w:r>
      <w:r w:rsidRPr="007F7EE4">
        <w:rPr>
          <w:rFonts w:hint="eastAsia"/>
          <w:sz w:val="18"/>
          <w:szCs w:val="18"/>
        </w:rPr>
        <w:t>,</w:t>
      </w:r>
      <w:r w:rsidRPr="007F7EE4">
        <w:rPr>
          <w:rFonts w:hint="eastAsia"/>
          <w:sz w:val="18"/>
          <w:szCs w:val="18"/>
        </w:rPr>
        <w:t>周浩</w:t>
      </w:r>
      <w:r w:rsidRPr="007F7EE4">
        <w:rPr>
          <w:rFonts w:hint="eastAsia"/>
          <w:sz w:val="18"/>
          <w:szCs w:val="18"/>
        </w:rPr>
        <w:t>.</w:t>
      </w:r>
      <w:r w:rsidRPr="007F7EE4">
        <w:rPr>
          <w:rFonts w:hint="eastAsia"/>
          <w:sz w:val="18"/>
          <w:szCs w:val="18"/>
        </w:rPr>
        <w:t>环境规制实现了绿色技术创新的“增量提质”吗——来自环保目标责任制的证据</w:t>
      </w:r>
      <w:r w:rsidRPr="007F7EE4">
        <w:rPr>
          <w:rFonts w:hint="eastAsia"/>
          <w:sz w:val="18"/>
          <w:szCs w:val="18"/>
        </w:rPr>
        <w:t>[J].</w:t>
      </w:r>
      <w:r w:rsidRPr="007F7EE4">
        <w:rPr>
          <w:rFonts w:hint="eastAsia"/>
          <w:sz w:val="18"/>
          <w:szCs w:val="18"/>
        </w:rPr>
        <w:t>中国工业经济</w:t>
      </w:r>
      <w:r w:rsidRPr="007F7EE4">
        <w:rPr>
          <w:rFonts w:hint="eastAsia"/>
          <w:sz w:val="18"/>
          <w:szCs w:val="18"/>
        </w:rPr>
        <w:t>,2021(02):136-154.</w:t>
      </w:r>
    </w:p>
    <w:p w14:paraId="3E0ABDD7" w14:textId="77777777" w:rsidR="00D45CD8" w:rsidRPr="007F7EE4" w:rsidRDefault="00AC3F08">
      <w:pPr>
        <w:ind w:firstLineChars="83" w:firstLine="149"/>
        <w:rPr>
          <w:sz w:val="18"/>
          <w:szCs w:val="18"/>
        </w:rPr>
      </w:pPr>
      <w:r w:rsidRPr="007F7EE4">
        <w:rPr>
          <w:rFonts w:hint="eastAsia"/>
          <w:sz w:val="18"/>
          <w:szCs w:val="18"/>
        </w:rPr>
        <w:t xml:space="preserve">[7] </w:t>
      </w:r>
      <w:r w:rsidRPr="007F7EE4">
        <w:rPr>
          <w:rFonts w:hint="eastAsia"/>
          <w:sz w:val="18"/>
          <w:szCs w:val="18"/>
        </w:rPr>
        <w:t>李依</w:t>
      </w:r>
      <w:r w:rsidRPr="007F7EE4">
        <w:rPr>
          <w:rFonts w:hint="eastAsia"/>
          <w:sz w:val="18"/>
          <w:szCs w:val="18"/>
        </w:rPr>
        <w:t>,</w:t>
      </w:r>
      <w:r w:rsidRPr="007F7EE4">
        <w:rPr>
          <w:rFonts w:hint="eastAsia"/>
          <w:sz w:val="18"/>
          <w:szCs w:val="18"/>
        </w:rPr>
        <w:t>高达</w:t>
      </w:r>
      <w:r w:rsidRPr="007F7EE4">
        <w:rPr>
          <w:rFonts w:hint="eastAsia"/>
          <w:sz w:val="18"/>
          <w:szCs w:val="18"/>
        </w:rPr>
        <w:t>,</w:t>
      </w:r>
      <w:r w:rsidRPr="007F7EE4">
        <w:rPr>
          <w:rFonts w:hint="eastAsia"/>
          <w:sz w:val="18"/>
          <w:szCs w:val="18"/>
        </w:rPr>
        <w:t>卫平</w:t>
      </w:r>
      <w:r w:rsidRPr="007F7EE4">
        <w:rPr>
          <w:rFonts w:hint="eastAsia"/>
          <w:sz w:val="18"/>
          <w:szCs w:val="18"/>
        </w:rPr>
        <w:t>.</w:t>
      </w:r>
      <w:r w:rsidRPr="007F7EE4">
        <w:rPr>
          <w:rFonts w:hint="eastAsia"/>
          <w:sz w:val="18"/>
          <w:szCs w:val="18"/>
        </w:rPr>
        <w:t>中央环保督察能否诱发企业绿色创新？</w:t>
      </w:r>
      <w:r w:rsidRPr="007F7EE4">
        <w:rPr>
          <w:rFonts w:hint="eastAsia"/>
          <w:sz w:val="18"/>
          <w:szCs w:val="18"/>
        </w:rPr>
        <w:t>[J/OL].</w:t>
      </w:r>
      <w:r w:rsidRPr="007F7EE4">
        <w:rPr>
          <w:rFonts w:hint="eastAsia"/>
          <w:sz w:val="18"/>
          <w:szCs w:val="18"/>
        </w:rPr>
        <w:t>科学学研究</w:t>
      </w:r>
      <w:r w:rsidRPr="007F7EE4">
        <w:rPr>
          <w:rFonts w:hint="eastAsia"/>
          <w:sz w:val="18"/>
          <w:szCs w:val="18"/>
        </w:rPr>
        <w:t>:1-16[2021-05-15].</w:t>
      </w:r>
      <w:r w:rsidRPr="007F7EE4">
        <w:rPr>
          <w:sz w:val="18"/>
          <w:szCs w:val="18"/>
        </w:rPr>
        <w:t xml:space="preserve"> </w:t>
      </w:r>
      <w:r w:rsidRPr="007F7EE4">
        <w:rPr>
          <w:rFonts w:hint="eastAsia"/>
          <w:sz w:val="18"/>
          <w:szCs w:val="18"/>
        </w:rPr>
        <w:t>https://doi.org/10.16192/j.cnki.1003-2053.20210202.004.</w:t>
      </w:r>
    </w:p>
    <w:p w14:paraId="3D21A764" w14:textId="77777777" w:rsidR="00D45CD8" w:rsidRPr="007F7EE4" w:rsidRDefault="00AC3F08">
      <w:pPr>
        <w:ind w:firstLineChars="83" w:firstLine="149"/>
        <w:rPr>
          <w:sz w:val="18"/>
          <w:szCs w:val="18"/>
        </w:rPr>
      </w:pPr>
      <w:r w:rsidRPr="007F7EE4">
        <w:rPr>
          <w:rFonts w:hint="eastAsia"/>
          <w:sz w:val="18"/>
          <w:szCs w:val="18"/>
        </w:rPr>
        <w:t xml:space="preserve">[8] </w:t>
      </w:r>
      <w:r w:rsidRPr="007F7EE4">
        <w:rPr>
          <w:rFonts w:hint="eastAsia"/>
          <w:sz w:val="18"/>
          <w:szCs w:val="18"/>
        </w:rPr>
        <w:t>李广培</w:t>
      </w:r>
      <w:r w:rsidRPr="007F7EE4">
        <w:rPr>
          <w:rFonts w:hint="eastAsia"/>
          <w:sz w:val="18"/>
          <w:szCs w:val="18"/>
        </w:rPr>
        <w:t>,</w:t>
      </w:r>
      <w:r w:rsidRPr="007F7EE4">
        <w:rPr>
          <w:rFonts w:hint="eastAsia"/>
          <w:sz w:val="18"/>
          <w:szCs w:val="18"/>
        </w:rPr>
        <w:t>李艳歌</w:t>
      </w:r>
      <w:r w:rsidRPr="007F7EE4">
        <w:rPr>
          <w:rFonts w:hint="eastAsia"/>
          <w:sz w:val="18"/>
          <w:szCs w:val="18"/>
        </w:rPr>
        <w:t>,</w:t>
      </w:r>
      <w:r w:rsidRPr="007F7EE4">
        <w:rPr>
          <w:rFonts w:hint="eastAsia"/>
          <w:sz w:val="18"/>
          <w:szCs w:val="18"/>
        </w:rPr>
        <w:t>全佳敏</w:t>
      </w:r>
      <w:r w:rsidRPr="007F7EE4">
        <w:rPr>
          <w:rFonts w:hint="eastAsia"/>
          <w:sz w:val="18"/>
          <w:szCs w:val="18"/>
        </w:rPr>
        <w:t>.</w:t>
      </w:r>
      <w:r w:rsidRPr="007F7EE4">
        <w:rPr>
          <w:rFonts w:hint="eastAsia"/>
          <w:sz w:val="18"/>
          <w:szCs w:val="18"/>
        </w:rPr>
        <w:t>环境规制、</w:t>
      </w:r>
      <w:r w:rsidRPr="007F7EE4">
        <w:rPr>
          <w:rFonts w:hint="eastAsia"/>
          <w:sz w:val="18"/>
          <w:szCs w:val="18"/>
        </w:rPr>
        <w:t>R&amp;D</w:t>
      </w:r>
      <w:r w:rsidRPr="007F7EE4">
        <w:rPr>
          <w:rFonts w:hint="eastAsia"/>
          <w:sz w:val="18"/>
          <w:szCs w:val="18"/>
        </w:rPr>
        <w:t>投入与企业绿色技术创新能力</w:t>
      </w:r>
      <w:r w:rsidRPr="007F7EE4">
        <w:rPr>
          <w:rFonts w:hint="eastAsia"/>
          <w:sz w:val="18"/>
          <w:szCs w:val="18"/>
        </w:rPr>
        <w:t>[J].</w:t>
      </w:r>
      <w:r w:rsidRPr="007F7EE4">
        <w:rPr>
          <w:rFonts w:hint="eastAsia"/>
          <w:sz w:val="18"/>
          <w:szCs w:val="18"/>
        </w:rPr>
        <w:t>科学学与科学技术管理</w:t>
      </w:r>
      <w:r w:rsidRPr="007F7EE4">
        <w:rPr>
          <w:rFonts w:hint="eastAsia"/>
          <w:sz w:val="18"/>
          <w:szCs w:val="18"/>
        </w:rPr>
        <w:t>,2018,39(11):61-73.</w:t>
      </w:r>
    </w:p>
    <w:p w14:paraId="4F1F6957" w14:textId="77777777" w:rsidR="00D45CD8" w:rsidRPr="007F7EE4" w:rsidRDefault="00AC3F08">
      <w:pPr>
        <w:ind w:firstLineChars="83" w:firstLine="149"/>
        <w:rPr>
          <w:sz w:val="18"/>
          <w:szCs w:val="18"/>
        </w:rPr>
      </w:pPr>
      <w:r w:rsidRPr="007F7EE4">
        <w:rPr>
          <w:rFonts w:hint="eastAsia"/>
          <w:sz w:val="18"/>
          <w:szCs w:val="18"/>
        </w:rPr>
        <w:t xml:space="preserve">[9] </w:t>
      </w:r>
      <w:r w:rsidRPr="007F7EE4">
        <w:rPr>
          <w:rFonts w:hint="eastAsia"/>
          <w:sz w:val="18"/>
          <w:szCs w:val="18"/>
        </w:rPr>
        <w:t>余伟</w:t>
      </w:r>
      <w:r w:rsidRPr="007F7EE4">
        <w:rPr>
          <w:rFonts w:hint="eastAsia"/>
          <w:sz w:val="18"/>
          <w:szCs w:val="18"/>
        </w:rPr>
        <w:t>,</w:t>
      </w:r>
      <w:r w:rsidRPr="007F7EE4">
        <w:rPr>
          <w:rFonts w:hint="eastAsia"/>
          <w:sz w:val="18"/>
          <w:szCs w:val="18"/>
        </w:rPr>
        <w:t>陈强</w:t>
      </w:r>
      <w:r w:rsidRPr="007F7EE4">
        <w:rPr>
          <w:rFonts w:hint="eastAsia"/>
          <w:sz w:val="18"/>
          <w:szCs w:val="18"/>
        </w:rPr>
        <w:t>.</w:t>
      </w:r>
      <w:r w:rsidRPr="007F7EE4">
        <w:rPr>
          <w:rFonts w:hint="eastAsia"/>
          <w:sz w:val="18"/>
          <w:szCs w:val="18"/>
        </w:rPr>
        <w:t>“波特假说”</w:t>
      </w:r>
      <w:r w:rsidRPr="007F7EE4">
        <w:rPr>
          <w:rFonts w:hint="eastAsia"/>
          <w:sz w:val="18"/>
          <w:szCs w:val="18"/>
        </w:rPr>
        <w:t>20</w:t>
      </w:r>
      <w:r w:rsidRPr="007F7EE4">
        <w:rPr>
          <w:rFonts w:hint="eastAsia"/>
          <w:sz w:val="18"/>
          <w:szCs w:val="18"/>
        </w:rPr>
        <w:t>年——环境规制与创新、竞争力研究述评</w:t>
      </w:r>
      <w:r w:rsidRPr="007F7EE4">
        <w:rPr>
          <w:rFonts w:hint="eastAsia"/>
          <w:sz w:val="18"/>
          <w:szCs w:val="18"/>
        </w:rPr>
        <w:t>[J].</w:t>
      </w:r>
      <w:r w:rsidRPr="007F7EE4">
        <w:rPr>
          <w:rFonts w:hint="eastAsia"/>
          <w:sz w:val="18"/>
          <w:szCs w:val="18"/>
        </w:rPr>
        <w:t>科研管理</w:t>
      </w:r>
      <w:r w:rsidRPr="007F7EE4">
        <w:rPr>
          <w:rFonts w:hint="eastAsia"/>
          <w:sz w:val="18"/>
          <w:szCs w:val="18"/>
        </w:rPr>
        <w:t>,2015,36(05):65-71.</w:t>
      </w:r>
    </w:p>
    <w:p w14:paraId="0319096C" w14:textId="77777777" w:rsidR="00D45CD8" w:rsidRPr="007F7EE4" w:rsidRDefault="00AC3F08">
      <w:pPr>
        <w:ind w:firstLineChars="83" w:firstLine="149"/>
        <w:rPr>
          <w:sz w:val="18"/>
          <w:szCs w:val="18"/>
        </w:rPr>
      </w:pPr>
      <w:r w:rsidRPr="007F7EE4">
        <w:rPr>
          <w:rFonts w:hint="eastAsia"/>
          <w:sz w:val="18"/>
          <w:szCs w:val="18"/>
        </w:rPr>
        <w:t xml:space="preserve">[10] </w:t>
      </w:r>
      <w:r w:rsidRPr="007F7EE4">
        <w:rPr>
          <w:rFonts w:hint="eastAsia"/>
          <w:sz w:val="18"/>
          <w:szCs w:val="18"/>
        </w:rPr>
        <w:t>徐佳</w:t>
      </w:r>
      <w:r w:rsidRPr="007F7EE4">
        <w:rPr>
          <w:rFonts w:hint="eastAsia"/>
          <w:sz w:val="18"/>
          <w:szCs w:val="18"/>
        </w:rPr>
        <w:t>,</w:t>
      </w:r>
      <w:r w:rsidRPr="007F7EE4">
        <w:rPr>
          <w:rFonts w:hint="eastAsia"/>
          <w:sz w:val="18"/>
          <w:szCs w:val="18"/>
        </w:rPr>
        <w:t>崔静波</w:t>
      </w:r>
      <w:r w:rsidRPr="007F7EE4">
        <w:rPr>
          <w:rFonts w:hint="eastAsia"/>
          <w:sz w:val="18"/>
          <w:szCs w:val="18"/>
        </w:rPr>
        <w:t>.2020.</w:t>
      </w:r>
      <w:r w:rsidRPr="007F7EE4">
        <w:rPr>
          <w:rFonts w:hint="eastAsia"/>
          <w:sz w:val="18"/>
          <w:szCs w:val="18"/>
        </w:rPr>
        <w:t>低碳城市和企业绿色技术创新</w:t>
      </w:r>
      <w:r w:rsidRPr="007F7EE4">
        <w:rPr>
          <w:rFonts w:hint="eastAsia"/>
          <w:sz w:val="18"/>
          <w:szCs w:val="18"/>
        </w:rPr>
        <w:t>[J].</w:t>
      </w:r>
      <w:r w:rsidRPr="007F7EE4">
        <w:rPr>
          <w:rFonts w:hint="eastAsia"/>
          <w:sz w:val="18"/>
          <w:szCs w:val="18"/>
        </w:rPr>
        <w:t>中国工业经济</w:t>
      </w:r>
      <w:r w:rsidRPr="007F7EE4">
        <w:rPr>
          <w:rFonts w:hint="eastAsia"/>
          <w:sz w:val="18"/>
          <w:szCs w:val="18"/>
        </w:rPr>
        <w:t>,2020(12):178-196.</w:t>
      </w:r>
    </w:p>
    <w:p w14:paraId="728B2D67" w14:textId="77777777" w:rsidR="00D45CD8" w:rsidRPr="007F7EE4" w:rsidRDefault="00AC3F08">
      <w:pPr>
        <w:ind w:firstLineChars="83" w:firstLine="149"/>
        <w:rPr>
          <w:sz w:val="18"/>
          <w:szCs w:val="18"/>
        </w:rPr>
      </w:pPr>
      <w:r w:rsidRPr="007F7EE4">
        <w:rPr>
          <w:rFonts w:hint="eastAsia"/>
          <w:sz w:val="18"/>
          <w:szCs w:val="18"/>
        </w:rPr>
        <w:t xml:space="preserve">[11] </w:t>
      </w:r>
      <w:r w:rsidRPr="007F7EE4">
        <w:rPr>
          <w:rFonts w:hint="eastAsia"/>
          <w:sz w:val="18"/>
          <w:szCs w:val="18"/>
        </w:rPr>
        <w:t>王旭</w:t>
      </w:r>
      <w:r w:rsidRPr="007F7EE4">
        <w:rPr>
          <w:rFonts w:hint="eastAsia"/>
          <w:sz w:val="18"/>
          <w:szCs w:val="18"/>
        </w:rPr>
        <w:t>,</w:t>
      </w:r>
      <w:r w:rsidRPr="007F7EE4">
        <w:rPr>
          <w:rFonts w:hint="eastAsia"/>
          <w:sz w:val="18"/>
          <w:szCs w:val="18"/>
        </w:rPr>
        <w:t>褚旭</w:t>
      </w:r>
      <w:r w:rsidRPr="007F7EE4">
        <w:rPr>
          <w:rFonts w:hint="eastAsia"/>
          <w:sz w:val="18"/>
          <w:szCs w:val="18"/>
        </w:rPr>
        <w:t>.</w:t>
      </w:r>
      <w:r w:rsidRPr="007F7EE4">
        <w:rPr>
          <w:rFonts w:hint="eastAsia"/>
          <w:sz w:val="18"/>
          <w:szCs w:val="18"/>
        </w:rPr>
        <w:t>制造业企业绿色技术创新的同群效应研究</w:t>
      </w:r>
      <w:r w:rsidRPr="007F7EE4">
        <w:rPr>
          <w:rFonts w:hint="eastAsia"/>
          <w:sz w:val="18"/>
          <w:szCs w:val="18"/>
        </w:rPr>
        <w:t>:</w:t>
      </w:r>
      <w:r w:rsidRPr="007F7EE4">
        <w:rPr>
          <w:rFonts w:hint="eastAsia"/>
          <w:sz w:val="18"/>
          <w:szCs w:val="18"/>
        </w:rPr>
        <w:t>基于多层次情境的参照作用</w:t>
      </w:r>
      <w:r w:rsidRPr="007F7EE4">
        <w:rPr>
          <w:rFonts w:hint="eastAsia"/>
          <w:sz w:val="18"/>
          <w:szCs w:val="18"/>
        </w:rPr>
        <w:t>[J/OL].</w:t>
      </w:r>
      <w:r w:rsidRPr="007F7EE4">
        <w:rPr>
          <w:rFonts w:hint="eastAsia"/>
          <w:sz w:val="18"/>
          <w:szCs w:val="18"/>
        </w:rPr>
        <w:t>南开管理评论</w:t>
      </w:r>
      <w:r w:rsidRPr="007F7EE4">
        <w:rPr>
          <w:rFonts w:hint="eastAsia"/>
          <w:sz w:val="18"/>
          <w:szCs w:val="18"/>
        </w:rPr>
        <w:t>:1-24[2021-05-15].</w:t>
      </w:r>
      <w:r w:rsidRPr="007F7EE4">
        <w:rPr>
          <w:sz w:val="18"/>
          <w:szCs w:val="18"/>
        </w:rPr>
        <w:t xml:space="preserve"> </w:t>
      </w:r>
      <w:r w:rsidRPr="007F7EE4">
        <w:rPr>
          <w:rFonts w:hint="eastAsia"/>
          <w:sz w:val="18"/>
          <w:szCs w:val="18"/>
        </w:rPr>
        <w:t>http://kns.cnki.net/kcms/detail/12.1288.F.20210408.1855.023.html.</w:t>
      </w:r>
    </w:p>
    <w:p w14:paraId="6059B8F6" w14:textId="77777777" w:rsidR="00D45CD8" w:rsidRPr="007F7EE4" w:rsidRDefault="00AC3F08">
      <w:pPr>
        <w:ind w:firstLineChars="83" w:firstLine="149"/>
        <w:rPr>
          <w:sz w:val="18"/>
          <w:szCs w:val="18"/>
        </w:rPr>
      </w:pPr>
      <w:r w:rsidRPr="007F7EE4">
        <w:rPr>
          <w:rFonts w:hint="eastAsia"/>
          <w:sz w:val="18"/>
          <w:szCs w:val="18"/>
        </w:rPr>
        <w:t xml:space="preserve">[12] </w:t>
      </w:r>
      <w:r w:rsidRPr="007F7EE4">
        <w:rPr>
          <w:rFonts w:hint="eastAsia"/>
          <w:sz w:val="18"/>
          <w:szCs w:val="18"/>
        </w:rPr>
        <w:t>王云</w:t>
      </w:r>
      <w:r w:rsidRPr="007F7EE4">
        <w:rPr>
          <w:rFonts w:hint="eastAsia"/>
          <w:sz w:val="18"/>
          <w:szCs w:val="18"/>
        </w:rPr>
        <w:t>,</w:t>
      </w:r>
      <w:r w:rsidRPr="007F7EE4">
        <w:rPr>
          <w:rFonts w:hint="eastAsia"/>
          <w:sz w:val="18"/>
          <w:szCs w:val="18"/>
        </w:rPr>
        <w:t>李延喜</w:t>
      </w:r>
      <w:r w:rsidRPr="007F7EE4">
        <w:rPr>
          <w:rFonts w:hint="eastAsia"/>
          <w:sz w:val="18"/>
          <w:szCs w:val="18"/>
        </w:rPr>
        <w:t>,</w:t>
      </w:r>
      <w:r w:rsidRPr="007F7EE4">
        <w:rPr>
          <w:rFonts w:hint="eastAsia"/>
          <w:sz w:val="18"/>
          <w:szCs w:val="18"/>
        </w:rPr>
        <w:t>马壮</w:t>
      </w:r>
      <w:r w:rsidRPr="007F7EE4">
        <w:rPr>
          <w:rFonts w:hint="eastAsia"/>
          <w:sz w:val="18"/>
          <w:szCs w:val="18"/>
        </w:rPr>
        <w:t>,</w:t>
      </w:r>
      <w:r w:rsidRPr="007F7EE4">
        <w:rPr>
          <w:rFonts w:hint="eastAsia"/>
          <w:sz w:val="18"/>
          <w:szCs w:val="18"/>
        </w:rPr>
        <w:t>宋金波</w:t>
      </w:r>
      <w:r w:rsidRPr="007F7EE4">
        <w:rPr>
          <w:rFonts w:hint="eastAsia"/>
          <w:sz w:val="18"/>
          <w:szCs w:val="18"/>
        </w:rPr>
        <w:t>.</w:t>
      </w:r>
      <w:r w:rsidRPr="007F7EE4">
        <w:rPr>
          <w:rFonts w:hint="eastAsia"/>
          <w:sz w:val="18"/>
          <w:szCs w:val="18"/>
        </w:rPr>
        <w:t>媒体关注、环境规制与企业环保投资</w:t>
      </w:r>
      <w:r w:rsidRPr="007F7EE4">
        <w:rPr>
          <w:rFonts w:hint="eastAsia"/>
          <w:sz w:val="18"/>
          <w:szCs w:val="18"/>
        </w:rPr>
        <w:t>[J].</w:t>
      </w:r>
      <w:r w:rsidRPr="007F7EE4">
        <w:rPr>
          <w:rFonts w:hint="eastAsia"/>
          <w:sz w:val="18"/>
          <w:szCs w:val="18"/>
        </w:rPr>
        <w:t>南开管理评论</w:t>
      </w:r>
      <w:r w:rsidRPr="007F7EE4">
        <w:rPr>
          <w:rFonts w:hint="eastAsia"/>
          <w:sz w:val="18"/>
          <w:szCs w:val="18"/>
        </w:rPr>
        <w:t>,2017,20(06):83-94.</w:t>
      </w:r>
    </w:p>
    <w:p w14:paraId="6D199F8A" w14:textId="77777777" w:rsidR="00D45CD8" w:rsidRPr="007F7EE4" w:rsidRDefault="00AC3F08">
      <w:pPr>
        <w:ind w:firstLineChars="83" w:firstLine="149"/>
        <w:rPr>
          <w:sz w:val="18"/>
          <w:szCs w:val="18"/>
        </w:rPr>
      </w:pPr>
      <w:r w:rsidRPr="007F7EE4">
        <w:rPr>
          <w:rFonts w:hint="eastAsia"/>
          <w:sz w:val="18"/>
          <w:szCs w:val="18"/>
        </w:rPr>
        <w:t xml:space="preserve">[13] </w:t>
      </w:r>
      <w:r w:rsidRPr="007F7EE4">
        <w:rPr>
          <w:rFonts w:hint="eastAsia"/>
          <w:sz w:val="18"/>
          <w:szCs w:val="18"/>
        </w:rPr>
        <w:t>王锋正</w:t>
      </w:r>
      <w:r w:rsidRPr="007F7EE4">
        <w:rPr>
          <w:rFonts w:hint="eastAsia"/>
          <w:sz w:val="18"/>
          <w:szCs w:val="18"/>
        </w:rPr>
        <w:t>,</w:t>
      </w:r>
      <w:r w:rsidRPr="007F7EE4">
        <w:rPr>
          <w:rFonts w:hint="eastAsia"/>
          <w:sz w:val="18"/>
          <w:szCs w:val="18"/>
        </w:rPr>
        <w:t>姜涛</w:t>
      </w:r>
      <w:r w:rsidRPr="007F7EE4">
        <w:rPr>
          <w:rFonts w:hint="eastAsia"/>
          <w:sz w:val="18"/>
          <w:szCs w:val="18"/>
        </w:rPr>
        <w:t>,</w:t>
      </w:r>
      <w:r w:rsidRPr="007F7EE4">
        <w:rPr>
          <w:rFonts w:hint="eastAsia"/>
          <w:sz w:val="18"/>
          <w:szCs w:val="18"/>
        </w:rPr>
        <w:t>郭晓川</w:t>
      </w:r>
      <w:r w:rsidRPr="007F7EE4">
        <w:rPr>
          <w:rFonts w:hint="eastAsia"/>
          <w:sz w:val="18"/>
          <w:szCs w:val="18"/>
        </w:rPr>
        <w:t>.</w:t>
      </w:r>
      <w:r w:rsidRPr="007F7EE4">
        <w:rPr>
          <w:rFonts w:hint="eastAsia"/>
          <w:sz w:val="18"/>
          <w:szCs w:val="18"/>
        </w:rPr>
        <w:t>政府质量、环境规制与企业绿色技术创新</w:t>
      </w:r>
      <w:r w:rsidRPr="007F7EE4">
        <w:rPr>
          <w:rFonts w:hint="eastAsia"/>
          <w:sz w:val="18"/>
          <w:szCs w:val="18"/>
        </w:rPr>
        <w:t>[J].</w:t>
      </w:r>
      <w:r w:rsidRPr="007F7EE4">
        <w:rPr>
          <w:rFonts w:hint="eastAsia"/>
          <w:sz w:val="18"/>
          <w:szCs w:val="18"/>
        </w:rPr>
        <w:t>科研管理</w:t>
      </w:r>
      <w:r w:rsidRPr="007F7EE4">
        <w:rPr>
          <w:rFonts w:hint="eastAsia"/>
          <w:sz w:val="18"/>
          <w:szCs w:val="18"/>
        </w:rPr>
        <w:t>,2018,39(1):26-33.</w:t>
      </w:r>
    </w:p>
    <w:p w14:paraId="0B0A59BC" w14:textId="77777777" w:rsidR="00D45CD8" w:rsidRPr="007F7EE4" w:rsidRDefault="00AC3F08">
      <w:pPr>
        <w:ind w:firstLineChars="83" w:firstLine="149"/>
        <w:rPr>
          <w:sz w:val="18"/>
          <w:szCs w:val="18"/>
        </w:rPr>
      </w:pPr>
      <w:r w:rsidRPr="007F7EE4">
        <w:rPr>
          <w:sz w:val="18"/>
          <w:szCs w:val="18"/>
        </w:rPr>
        <w:t xml:space="preserve">[14] KÜÇÜKOĞLU, M. T., PINAR, R. İ. Positive influences of green innovation on company performance. Procedia-Social and Behavioral Sciences, 2015,19(5):1232-1237. </w:t>
      </w:r>
    </w:p>
    <w:p w14:paraId="27214AA7" w14:textId="77777777" w:rsidR="00D45CD8" w:rsidRPr="007F7EE4" w:rsidRDefault="00AC3F08">
      <w:pPr>
        <w:ind w:firstLineChars="83" w:firstLine="149"/>
        <w:rPr>
          <w:sz w:val="18"/>
          <w:szCs w:val="18"/>
        </w:rPr>
      </w:pPr>
      <w:r w:rsidRPr="007F7EE4">
        <w:rPr>
          <w:rFonts w:hint="eastAsia"/>
          <w:sz w:val="18"/>
          <w:szCs w:val="18"/>
        </w:rPr>
        <w:t xml:space="preserve">[15] </w:t>
      </w:r>
      <w:r w:rsidRPr="007F7EE4">
        <w:rPr>
          <w:rFonts w:hint="eastAsia"/>
          <w:sz w:val="18"/>
          <w:szCs w:val="18"/>
        </w:rPr>
        <w:t>杨静</w:t>
      </w:r>
      <w:r w:rsidRPr="007F7EE4">
        <w:rPr>
          <w:rFonts w:hint="eastAsia"/>
          <w:sz w:val="18"/>
          <w:szCs w:val="18"/>
        </w:rPr>
        <w:t>,</w:t>
      </w:r>
      <w:r w:rsidRPr="007F7EE4">
        <w:rPr>
          <w:rFonts w:hint="eastAsia"/>
          <w:sz w:val="18"/>
          <w:szCs w:val="18"/>
        </w:rPr>
        <w:t>刘秋华</w:t>
      </w:r>
      <w:r w:rsidRPr="007F7EE4">
        <w:rPr>
          <w:rFonts w:hint="eastAsia"/>
          <w:sz w:val="18"/>
          <w:szCs w:val="18"/>
        </w:rPr>
        <w:t>,</w:t>
      </w:r>
      <w:r w:rsidRPr="007F7EE4">
        <w:rPr>
          <w:rFonts w:hint="eastAsia"/>
          <w:sz w:val="18"/>
          <w:szCs w:val="18"/>
        </w:rPr>
        <w:t>施建军</w:t>
      </w:r>
      <w:r w:rsidRPr="007F7EE4">
        <w:rPr>
          <w:rFonts w:hint="eastAsia"/>
          <w:sz w:val="18"/>
          <w:szCs w:val="18"/>
        </w:rPr>
        <w:t>.</w:t>
      </w:r>
      <w:r w:rsidRPr="007F7EE4">
        <w:rPr>
          <w:rFonts w:hint="eastAsia"/>
          <w:sz w:val="18"/>
          <w:szCs w:val="18"/>
        </w:rPr>
        <w:t>企业绿色创新战略的价值研究</w:t>
      </w:r>
      <w:r w:rsidRPr="007F7EE4">
        <w:rPr>
          <w:rFonts w:hint="eastAsia"/>
          <w:sz w:val="18"/>
          <w:szCs w:val="18"/>
        </w:rPr>
        <w:t>[J].</w:t>
      </w:r>
      <w:r w:rsidRPr="007F7EE4">
        <w:rPr>
          <w:rFonts w:hint="eastAsia"/>
          <w:sz w:val="18"/>
          <w:szCs w:val="18"/>
        </w:rPr>
        <w:t>科研管理</w:t>
      </w:r>
      <w:r w:rsidRPr="007F7EE4">
        <w:rPr>
          <w:rFonts w:hint="eastAsia"/>
          <w:sz w:val="18"/>
          <w:szCs w:val="18"/>
        </w:rPr>
        <w:t>,2015,36(1):18-25</w:t>
      </w:r>
    </w:p>
    <w:p w14:paraId="4339BBD7" w14:textId="77777777" w:rsidR="00D45CD8" w:rsidRPr="007F7EE4" w:rsidRDefault="00AC3F08">
      <w:pPr>
        <w:ind w:firstLineChars="83" w:firstLine="149"/>
        <w:rPr>
          <w:sz w:val="18"/>
          <w:szCs w:val="18"/>
        </w:rPr>
      </w:pPr>
      <w:r w:rsidRPr="007F7EE4">
        <w:rPr>
          <w:sz w:val="18"/>
          <w:szCs w:val="18"/>
        </w:rPr>
        <w:t xml:space="preserve">[16] NGNIATEDEMA T.,LI S.,ILLIA A. Understanding the impact of green operations on organizational </w:t>
      </w:r>
      <w:r w:rsidRPr="007F7EE4">
        <w:rPr>
          <w:sz w:val="18"/>
          <w:szCs w:val="18"/>
        </w:rPr>
        <w:lastRenderedPageBreak/>
        <w:t xml:space="preserve">financial </w:t>
      </w:r>
      <w:proofErr w:type="spellStart"/>
      <w:r w:rsidRPr="007F7EE4">
        <w:rPr>
          <w:sz w:val="18"/>
          <w:szCs w:val="18"/>
        </w:rPr>
        <w:t>performance:an</w:t>
      </w:r>
      <w:proofErr w:type="spellEnd"/>
      <w:r w:rsidRPr="007F7EE4">
        <w:rPr>
          <w:sz w:val="18"/>
          <w:szCs w:val="18"/>
        </w:rPr>
        <w:t xml:space="preserve"> industry perspective[J]. Environmental Quality Management,2014,24(1):45-59</w:t>
      </w:r>
    </w:p>
    <w:p w14:paraId="18E7F269" w14:textId="77777777" w:rsidR="00D45CD8" w:rsidRPr="007F7EE4" w:rsidRDefault="00AC3F08">
      <w:pPr>
        <w:ind w:firstLineChars="83" w:firstLine="149"/>
        <w:rPr>
          <w:sz w:val="18"/>
          <w:szCs w:val="18"/>
        </w:rPr>
      </w:pPr>
      <w:r w:rsidRPr="007F7EE4">
        <w:rPr>
          <w:sz w:val="18"/>
          <w:szCs w:val="18"/>
        </w:rPr>
        <w:t>[17] HUANG J. W.,LI Y. H. Green innovation and performance: the view of organizational capability and social reciprocity[J].Journal of Business Ethics,2017,145(2):309-324</w:t>
      </w:r>
    </w:p>
    <w:p w14:paraId="154B6EAE" w14:textId="77777777" w:rsidR="00D45CD8" w:rsidRPr="007F7EE4" w:rsidRDefault="00AC3F08">
      <w:pPr>
        <w:ind w:firstLineChars="83" w:firstLine="149"/>
        <w:rPr>
          <w:sz w:val="18"/>
          <w:szCs w:val="18"/>
        </w:rPr>
      </w:pPr>
      <w:r w:rsidRPr="007F7EE4">
        <w:rPr>
          <w:rFonts w:hint="eastAsia"/>
          <w:sz w:val="18"/>
          <w:szCs w:val="18"/>
        </w:rPr>
        <w:t xml:space="preserve">[18] </w:t>
      </w:r>
      <w:r w:rsidRPr="007F7EE4">
        <w:rPr>
          <w:rFonts w:hint="eastAsia"/>
          <w:sz w:val="18"/>
          <w:szCs w:val="18"/>
        </w:rPr>
        <w:t>肖小虹</w:t>
      </w:r>
      <w:r w:rsidRPr="007F7EE4">
        <w:rPr>
          <w:rFonts w:hint="eastAsia"/>
          <w:sz w:val="18"/>
          <w:szCs w:val="18"/>
        </w:rPr>
        <w:t>,</w:t>
      </w:r>
      <w:r w:rsidRPr="007F7EE4">
        <w:rPr>
          <w:rFonts w:hint="eastAsia"/>
          <w:sz w:val="18"/>
          <w:szCs w:val="18"/>
        </w:rPr>
        <w:t>潘也</w:t>
      </w:r>
      <w:r w:rsidRPr="007F7EE4">
        <w:rPr>
          <w:rFonts w:hint="eastAsia"/>
          <w:sz w:val="18"/>
          <w:szCs w:val="18"/>
        </w:rPr>
        <w:t>,</w:t>
      </w:r>
      <w:r w:rsidRPr="007F7EE4">
        <w:rPr>
          <w:rFonts w:hint="eastAsia"/>
          <w:sz w:val="18"/>
          <w:szCs w:val="18"/>
        </w:rPr>
        <w:t>王站杰</w:t>
      </w:r>
      <w:r w:rsidRPr="007F7EE4">
        <w:rPr>
          <w:rFonts w:hint="eastAsia"/>
          <w:sz w:val="18"/>
          <w:szCs w:val="18"/>
        </w:rPr>
        <w:t>.</w:t>
      </w:r>
      <w:r w:rsidRPr="007F7EE4">
        <w:rPr>
          <w:rFonts w:hint="eastAsia"/>
          <w:sz w:val="18"/>
          <w:szCs w:val="18"/>
        </w:rPr>
        <w:t>企业履行社会责任促进了企业绿色创新吗</w:t>
      </w:r>
      <w:r w:rsidRPr="007F7EE4">
        <w:rPr>
          <w:rFonts w:hint="eastAsia"/>
          <w:sz w:val="18"/>
          <w:szCs w:val="18"/>
        </w:rPr>
        <w:t>[J/OL].</w:t>
      </w:r>
      <w:r w:rsidRPr="007F7EE4">
        <w:rPr>
          <w:rFonts w:hint="eastAsia"/>
          <w:sz w:val="18"/>
          <w:szCs w:val="18"/>
        </w:rPr>
        <w:t>经济经纬</w:t>
      </w:r>
      <w:r w:rsidRPr="007F7EE4">
        <w:rPr>
          <w:rFonts w:hint="eastAsia"/>
          <w:sz w:val="18"/>
          <w:szCs w:val="18"/>
        </w:rPr>
        <w:t>:1-13[2021-05-15].</w:t>
      </w:r>
      <w:r w:rsidRPr="007F7EE4">
        <w:rPr>
          <w:sz w:val="18"/>
          <w:szCs w:val="18"/>
        </w:rPr>
        <w:t xml:space="preserve"> </w:t>
      </w:r>
      <w:r w:rsidRPr="007F7EE4">
        <w:rPr>
          <w:rFonts w:hint="eastAsia"/>
          <w:sz w:val="18"/>
          <w:szCs w:val="18"/>
        </w:rPr>
        <w:t>https://doi.org/10.15931/j.cnki.1006-1096.20210324.001.</w:t>
      </w:r>
    </w:p>
    <w:p w14:paraId="09E1B619" w14:textId="77777777" w:rsidR="00D45CD8" w:rsidRPr="007F7EE4" w:rsidRDefault="00AC3F08">
      <w:pPr>
        <w:ind w:firstLineChars="83" w:firstLine="149"/>
        <w:rPr>
          <w:sz w:val="18"/>
          <w:szCs w:val="18"/>
        </w:rPr>
      </w:pPr>
      <w:r w:rsidRPr="007F7EE4">
        <w:rPr>
          <w:rFonts w:hint="eastAsia"/>
          <w:sz w:val="18"/>
          <w:szCs w:val="18"/>
        </w:rPr>
        <w:t xml:space="preserve">[19] </w:t>
      </w:r>
      <w:r w:rsidRPr="007F7EE4">
        <w:rPr>
          <w:rFonts w:hint="eastAsia"/>
          <w:sz w:val="18"/>
          <w:szCs w:val="18"/>
        </w:rPr>
        <w:t>李伟阳</w:t>
      </w:r>
      <w:r w:rsidRPr="007F7EE4">
        <w:rPr>
          <w:rFonts w:hint="eastAsia"/>
          <w:sz w:val="18"/>
          <w:szCs w:val="18"/>
        </w:rPr>
        <w:t>,</w:t>
      </w:r>
      <w:r w:rsidRPr="007F7EE4">
        <w:rPr>
          <w:rFonts w:hint="eastAsia"/>
          <w:sz w:val="18"/>
          <w:szCs w:val="18"/>
        </w:rPr>
        <w:t>肖红军</w:t>
      </w:r>
      <w:r w:rsidRPr="007F7EE4">
        <w:rPr>
          <w:rFonts w:hint="eastAsia"/>
          <w:sz w:val="18"/>
          <w:szCs w:val="18"/>
        </w:rPr>
        <w:t>.</w:t>
      </w:r>
      <w:r w:rsidRPr="007F7EE4">
        <w:rPr>
          <w:rFonts w:hint="eastAsia"/>
          <w:sz w:val="18"/>
          <w:szCs w:val="18"/>
        </w:rPr>
        <w:t>企业社会责任的逻辑</w:t>
      </w:r>
      <w:r w:rsidRPr="007F7EE4">
        <w:rPr>
          <w:rFonts w:hint="eastAsia"/>
          <w:sz w:val="18"/>
          <w:szCs w:val="18"/>
        </w:rPr>
        <w:t>[J].</w:t>
      </w:r>
      <w:r w:rsidRPr="007F7EE4">
        <w:rPr>
          <w:rFonts w:hint="eastAsia"/>
          <w:sz w:val="18"/>
          <w:szCs w:val="18"/>
        </w:rPr>
        <w:t>中国工业经济</w:t>
      </w:r>
      <w:r w:rsidRPr="007F7EE4">
        <w:rPr>
          <w:rFonts w:hint="eastAsia"/>
          <w:sz w:val="18"/>
          <w:szCs w:val="18"/>
        </w:rPr>
        <w:t>,2011(10):87-97.</w:t>
      </w:r>
    </w:p>
    <w:p w14:paraId="331388FE" w14:textId="77777777" w:rsidR="00D45CD8" w:rsidRPr="007F7EE4" w:rsidRDefault="00AC3F08">
      <w:pPr>
        <w:ind w:firstLineChars="83" w:firstLine="149"/>
        <w:rPr>
          <w:sz w:val="18"/>
          <w:szCs w:val="18"/>
        </w:rPr>
      </w:pPr>
      <w:r w:rsidRPr="007F7EE4">
        <w:rPr>
          <w:rFonts w:hint="eastAsia"/>
          <w:sz w:val="18"/>
          <w:szCs w:val="18"/>
        </w:rPr>
        <w:t xml:space="preserve">[20] </w:t>
      </w:r>
      <w:r w:rsidRPr="007F7EE4">
        <w:rPr>
          <w:rFonts w:hint="eastAsia"/>
          <w:sz w:val="18"/>
          <w:szCs w:val="18"/>
        </w:rPr>
        <w:t>肖红军</w:t>
      </w:r>
      <w:r w:rsidRPr="007F7EE4">
        <w:rPr>
          <w:rFonts w:hint="eastAsia"/>
          <w:sz w:val="18"/>
          <w:szCs w:val="18"/>
        </w:rPr>
        <w:t>,</w:t>
      </w:r>
      <w:r w:rsidRPr="007F7EE4">
        <w:rPr>
          <w:rFonts w:hint="eastAsia"/>
          <w:sz w:val="18"/>
          <w:szCs w:val="18"/>
        </w:rPr>
        <w:t>阳镇</w:t>
      </w:r>
      <w:r w:rsidRPr="007F7EE4">
        <w:rPr>
          <w:rFonts w:hint="eastAsia"/>
          <w:sz w:val="18"/>
          <w:szCs w:val="18"/>
        </w:rPr>
        <w:t>.</w:t>
      </w:r>
      <w:r w:rsidRPr="007F7EE4">
        <w:rPr>
          <w:rFonts w:hint="eastAsia"/>
          <w:sz w:val="18"/>
          <w:szCs w:val="18"/>
        </w:rPr>
        <w:t>中国企业社会责任</w:t>
      </w:r>
      <w:r w:rsidRPr="007F7EE4">
        <w:rPr>
          <w:rFonts w:hint="eastAsia"/>
          <w:sz w:val="18"/>
          <w:szCs w:val="18"/>
        </w:rPr>
        <w:t>40</w:t>
      </w:r>
      <w:r w:rsidRPr="007F7EE4">
        <w:rPr>
          <w:rFonts w:hint="eastAsia"/>
          <w:sz w:val="18"/>
          <w:szCs w:val="18"/>
        </w:rPr>
        <w:t>年</w:t>
      </w:r>
      <w:r w:rsidRPr="007F7EE4">
        <w:rPr>
          <w:rFonts w:hint="eastAsia"/>
          <w:sz w:val="18"/>
          <w:szCs w:val="18"/>
        </w:rPr>
        <w:t>:</w:t>
      </w:r>
      <w:r w:rsidRPr="007F7EE4">
        <w:rPr>
          <w:rFonts w:hint="eastAsia"/>
          <w:sz w:val="18"/>
          <w:szCs w:val="18"/>
        </w:rPr>
        <w:t>历史演进、逻辑演化与未来展望</w:t>
      </w:r>
      <w:r w:rsidRPr="007F7EE4">
        <w:rPr>
          <w:rFonts w:hint="eastAsia"/>
          <w:sz w:val="18"/>
          <w:szCs w:val="18"/>
        </w:rPr>
        <w:t>[J].</w:t>
      </w:r>
      <w:r w:rsidRPr="007F7EE4">
        <w:rPr>
          <w:rFonts w:hint="eastAsia"/>
          <w:sz w:val="18"/>
          <w:szCs w:val="18"/>
        </w:rPr>
        <w:t>经济学家</w:t>
      </w:r>
      <w:r w:rsidRPr="007F7EE4">
        <w:rPr>
          <w:rFonts w:hint="eastAsia"/>
          <w:sz w:val="18"/>
          <w:szCs w:val="18"/>
        </w:rPr>
        <w:t>,2018(11):22-31.</w:t>
      </w:r>
    </w:p>
    <w:p w14:paraId="0F7B3CB0" w14:textId="77777777" w:rsidR="00D45CD8" w:rsidRPr="007F7EE4" w:rsidRDefault="00AC3F08">
      <w:pPr>
        <w:ind w:firstLineChars="83" w:firstLine="149"/>
        <w:rPr>
          <w:sz w:val="18"/>
          <w:szCs w:val="18"/>
        </w:rPr>
      </w:pPr>
      <w:r w:rsidRPr="007F7EE4">
        <w:rPr>
          <w:sz w:val="18"/>
          <w:szCs w:val="18"/>
        </w:rPr>
        <w:t>[21] PORTER, M. E. KRAMER, M. R. Strategy and society the link between competitive advantage and corporate social responsibility. Harvard Business Review,2006, (12):78-92.</w:t>
      </w:r>
    </w:p>
    <w:p w14:paraId="05D3D933" w14:textId="77777777" w:rsidR="00D45CD8" w:rsidRPr="007F7EE4" w:rsidRDefault="00AC3F08">
      <w:pPr>
        <w:ind w:firstLineChars="83" w:firstLine="149"/>
        <w:rPr>
          <w:sz w:val="18"/>
          <w:szCs w:val="18"/>
        </w:rPr>
      </w:pPr>
      <w:r w:rsidRPr="007F7EE4">
        <w:rPr>
          <w:sz w:val="18"/>
          <w:szCs w:val="18"/>
        </w:rPr>
        <w:t>[22] PORTER M E, KRAMER M R. The big idea: Creating shared value[J]. Harvard Business Review,2011, 89(1): 2-17.</w:t>
      </w:r>
    </w:p>
    <w:p w14:paraId="2B4021EA" w14:textId="77777777" w:rsidR="00D45CD8" w:rsidRPr="007F7EE4" w:rsidRDefault="00AC3F08">
      <w:pPr>
        <w:ind w:firstLineChars="83" w:firstLine="149"/>
        <w:rPr>
          <w:sz w:val="18"/>
          <w:szCs w:val="18"/>
        </w:rPr>
      </w:pPr>
      <w:r w:rsidRPr="007F7EE4">
        <w:rPr>
          <w:sz w:val="18"/>
          <w:szCs w:val="18"/>
        </w:rPr>
        <w:t>[23] FREEMAN R E, VELAMURI S R. A new approach to CSR: company stakeholder responsibility[M]. Corporate Social Responsibility. New York: Palgrave Macmillan.2006.</w:t>
      </w:r>
    </w:p>
    <w:p w14:paraId="5661E42D" w14:textId="77777777" w:rsidR="00D45CD8" w:rsidRPr="007F7EE4" w:rsidRDefault="00AC3F08">
      <w:pPr>
        <w:ind w:firstLineChars="83" w:firstLine="149"/>
        <w:rPr>
          <w:sz w:val="18"/>
          <w:szCs w:val="18"/>
        </w:rPr>
      </w:pPr>
      <w:r w:rsidRPr="007F7EE4">
        <w:rPr>
          <w:sz w:val="18"/>
          <w:szCs w:val="18"/>
        </w:rPr>
        <w:t xml:space="preserve">[24] ALSUWAIDI, M., EID, R., AGAG, G. Understanding the link between CSR and employee green </w:t>
      </w:r>
      <w:proofErr w:type="spellStart"/>
      <w:r w:rsidRPr="007F7EE4">
        <w:rPr>
          <w:sz w:val="18"/>
          <w:szCs w:val="18"/>
        </w:rPr>
        <w:t>behaviour</w:t>
      </w:r>
      <w:proofErr w:type="spellEnd"/>
      <w:r w:rsidRPr="007F7EE4">
        <w:rPr>
          <w:sz w:val="18"/>
          <w:szCs w:val="18"/>
        </w:rPr>
        <w:t>. Journal of Hospitality and Tourism Management, 2021(46):50-61.</w:t>
      </w:r>
    </w:p>
    <w:p w14:paraId="047B67D8" w14:textId="77777777" w:rsidR="00D45CD8" w:rsidRPr="007F7EE4" w:rsidRDefault="00AC3F08">
      <w:pPr>
        <w:ind w:firstLineChars="83" w:firstLine="149"/>
        <w:rPr>
          <w:sz w:val="18"/>
          <w:szCs w:val="18"/>
        </w:rPr>
      </w:pPr>
      <w:r w:rsidRPr="007F7EE4">
        <w:rPr>
          <w:rFonts w:hint="eastAsia"/>
          <w:sz w:val="18"/>
          <w:szCs w:val="18"/>
        </w:rPr>
        <w:t xml:space="preserve">[25] </w:t>
      </w:r>
      <w:r w:rsidRPr="007F7EE4">
        <w:rPr>
          <w:rFonts w:hint="eastAsia"/>
          <w:sz w:val="18"/>
          <w:szCs w:val="18"/>
        </w:rPr>
        <w:t>阳镇</w:t>
      </w:r>
      <w:r w:rsidRPr="007F7EE4">
        <w:rPr>
          <w:rFonts w:hint="eastAsia"/>
          <w:sz w:val="18"/>
          <w:szCs w:val="18"/>
        </w:rPr>
        <w:t>,</w:t>
      </w:r>
      <w:r w:rsidRPr="007F7EE4">
        <w:rPr>
          <w:rFonts w:hint="eastAsia"/>
          <w:sz w:val="18"/>
          <w:szCs w:val="18"/>
        </w:rPr>
        <w:t>李井林</w:t>
      </w:r>
      <w:r w:rsidRPr="007F7EE4">
        <w:rPr>
          <w:rFonts w:hint="eastAsia"/>
          <w:sz w:val="18"/>
          <w:szCs w:val="18"/>
        </w:rPr>
        <w:t>.</w:t>
      </w:r>
      <w:r w:rsidRPr="007F7EE4">
        <w:rPr>
          <w:rFonts w:hint="eastAsia"/>
          <w:sz w:val="18"/>
          <w:szCs w:val="18"/>
        </w:rPr>
        <w:t>创新工具还是粉饰工具</w:t>
      </w:r>
      <w:r w:rsidRPr="007F7EE4">
        <w:rPr>
          <w:rFonts w:hint="eastAsia"/>
          <w:sz w:val="18"/>
          <w:szCs w:val="18"/>
        </w:rPr>
        <w:t>?</w:t>
      </w:r>
      <w:r w:rsidRPr="007F7EE4">
        <w:rPr>
          <w:rFonts w:hint="eastAsia"/>
          <w:sz w:val="18"/>
          <w:szCs w:val="18"/>
        </w:rPr>
        <w:t>——业绩下滑与企业社会责任的再检验</w:t>
      </w:r>
      <w:r w:rsidRPr="007F7EE4">
        <w:rPr>
          <w:rFonts w:hint="eastAsia"/>
          <w:sz w:val="18"/>
          <w:szCs w:val="18"/>
        </w:rPr>
        <w:t>[J].</w:t>
      </w:r>
      <w:r w:rsidRPr="007F7EE4">
        <w:rPr>
          <w:rFonts w:hint="eastAsia"/>
          <w:sz w:val="18"/>
          <w:szCs w:val="18"/>
        </w:rPr>
        <w:t>科学学研究</w:t>
      </w:r>
      <w:r w:rsidRPr="007F7EE4">
        <w:rPr>
          <w:rFonts w:hint="eastAsia"/>
          <w:sz w:val="18"/>
          <w:szCs w:val="18"/>
        </w:rPr>
        <w:t>,2020,38(04):734-746.</w:t>
      </w:r>
    </w:p>
    <w:p w14:paraId="0D4B869D" w14:textId="77777777" w:rsidR="00D45CD8" w:rsidRPr="007F7EE4" w:rsidRDefault="00AC3F08">
      <w:pPr>
        <w:ind w:firstLineChars="83" w:firstLine="149"/>
        <w:rPr>
          <w:sz w:val="18"/>
          <w:szCs w:val="18"/>
        </w:rPr>
      </w:pPr>
      <w:r w:rsidRPr="007F7EE4">
        <w:rPr>
          <w:rFonts w:hint="eastAsia"/>
          <w:sz w:val="18"/>
          <w:szCs w:val="18"/>
        </w:rPr>
        <w:t xml:space="preserve">[26] </w:t>
      </w:r>
      <w:r w:rsidRPr="007F7EE4">
        <w:rPr>
          <w:rFonts w:hint="eastAsia"/>
          <w:sz w:val="18"/>
          <w:szCs w:val="18"/>
        </w:rPr>
        <w:t>王锋正</w:t>
      </w:r>
      <w:r w:rsidRPr="007F7EE4">
        <w:rPr>
          <w:rFonts w:hint="eastAsia"/>
          <w:sz w:val="18"/>
          <w:szCs w:val="18"/>
        </w:rPr>
        <w:t>,</w:t>
      </w:r>
      <w:r w:rsidRPr="007F7EE4">
        <w:rPr>
          <w:rFonts w:hint="eastAsia"/>
          <w:sz w:val="18"/>
          <w:szCs w:val="18"/>
        </w:rPr>
        <w:t>陈方圆</w:t>
      </w:r>
      <w:r w:rsidRPr="007F7EE4">
        <w:rPr>
          <w:rFonts w:hint="eastAsia"/>
          <w:sz w:val="18"/>
          <w:szCs w:val="18"/>
        </w:rPr>
        <w:t>.</w:t>
      </w:r>
      <w:r w:rsidRPr="007F7EE4">
        <w:rPr>
          <w:rFonts w:hint="eastAsia"/>
          <w:sz w:val="18"/>
          <w:szCs w:val="18"/>
        </w:rPr>
        <w:t>董事会治理、环境规制与绿色技术创新——基于我国重污染行业上市公司的实证检验</w:t>
      </w:r>
      <w:r w:rsidRPr="007F7EE4">
        <w:rPr>
          <w:rFonts w:hint="eastAsia"/>
          <w:sz w:val="18"/>
          <w:szCs w:val="18"/>
        </w:rPr>
        <w:t>[J].</w:t>
      </w:r>
      <w:r w:rsidRPr="007F7EE4">
        <w:rPr>
          <w:rFonts w:hint="eastAsia"/>
          <w:sz w:val="18"/>
          <w:szCs w:val="18"/>
        </w:rPr>
        <w:t>科学学研究</w:t>
      </w:r>
      <w:r w:rsidRPr="007F7EE4">
        <w:rPr>
          <w:rFonts w:hint="eastAsia"/>
          <w:sz w:val="18"/>
          <w:szCs w:val="18"/>
        </w:rPr>
        <w:t>,2018,36(2):361-369.</w:t>
      </w:r>
    </w:p>
    <w:p w14:paraId="2577F0E8" w14:textId="77777777" w:rsidR="00D45CD8" w:rsidRPr="007F7EE4" w:rsidRDefault="00AC3F08">
      <w:pPr>
        <w:ind w:firstLineChars="83" w:firstLine="149"/>
        <w:rPr>
          <w:sz w:val="18"/>
          <w:szCs w:val="18"/>
        </w:rPr>
      </w:pPr>
      <w:r w:rsidRPr="007F7EE4">
        <w:rPr>
          <w:sz w:val="18"/>
          <w:szCs w:val="18"/>
        </w:rPr>
        <w:t>[27] DIMAGGIO, PAUL J. AND WALTER W. POWELL. The iron cage revisited: institutional isomorphism and collective rationality in organizational fields[J]. American Sociological Review 1983(48): 147-60.</w:t>
      </w:r>
    </w:p>
    <w:p w14:paraId="0561ACC8" w14:textId="77777777" w:rsidR="00D45CD8" w:rsidRPr="007F7EE4" w:rsidRDefault="00AC3F08">
      <w:pPr>
        <w:ind w:firstLineChars="83" w:firstLine="149"/>
        <w:rPr>
          <w:sz w:val="18"/>
          <w:szCs w:val="18"/>
        </w:rPr>
      </w:pPr>
      <w:r w:rsidRPr="007F7EE4">
        <w:rPr>
          <w:sz w:val="18"/>
          <w:szCs w:val="18"/>
        </w:rPr>
        <w:t>[28] Scott, W. R. 2001. Institutions and organizations[M]. Thousand Oaks, CA: Sage.</w:t>
      </w:r>
    </w:p>
    <w:p w14:paraId="0F2E267D" w14:textId="77777777" w:rsidR="00D45CD8" w:rsidRPr="007F7EE4" w:rsidRDefault="00AC3F08">
      <w:pPr>
        <w:ind w:firstLineChars="83" w:firstLine="149"/>
        <w:rPr>
          <w:sz w:val="18"/>
          <w:szCs w:val="18"/>
        </w:rPr>
      </w:pPr>
      <w:r w:rsidRPr="007F7EE4">
        <w:rPr>
          <w:sz w:val="18"/>
          <w:szCs w:val="18"/>
        </w:rPr>
        <w:t>[29] STELIOS C., ZYGLIDOPOULOS S C, GEORGIADIS A P, CARROLL C E, et al. Does media attention drive corporate social responsibility?[J]. Journal of Business Research, 2012, 65(11): 1622-1627.</w:t>
      </w:r>
    </w:p>
    <w:p w14:paraId="788734DE" w14:textId="77777777" w:rsidR="00D45CD8" w:rsidRPr="007F7EE4" w:rsidRDefault="00AC3F08">
      <w:pPr>
        <w:ind w:firstLineChars="83" w:firstLine="149"/>
        <w:rPr>
          <w:sz w:val="18"/>
          <w:szCs w:val="18"/>
        </w:rPr>
      </w:pPr>
      <w:r w:rsidRPr="007F7EE4">
        <w:rPr>
          <w:rFonts w:hint="eastAsia"/>
          <w:sz w:val="18"/>
          <w:szCs w:val="18"/>
        </w:rPr>
        <w:t xml:space="preserve">[30] </w:t>
      </w:r>
      <w:r w:rsidRPr="007F7EE4">
        <w:rPr>
          <w:rFonts w:hint="eastAsia"/>
          <w:sz w:val="18"/>
          <w:szCs w:val="18"/>
        </w:rPr>
        <w:t>赵莉</w:t>
      </w:r>
      <w:r w:rsidRPr="007F7EE4">
        <w:rPr>
          <w:rFonts w:hint="eastAsia"/>
          <w:sz w:val="18"/>
          <w:szCs w:val="18"/>
        </w:rPr>
        <w:t>,</w:t>
      </w:r>
      <w:r w:rsidRPr="007F7EE4">
        <w:rPr>
          <w:rFonts w:hint="eastAsia"/>
          <w:sz w:val="18"/>
          <w:szCs w:val="18"/>
        </w:rPr>
        <w:t>张玲</w:t>
      </w:r>
      <w:r w:rsidRPr="007F7EE4">
        <w:rPr>
          <w:rFonts w:hint="eastAsia"/>
          <w:sz w:val="18"/>
          <w:szCs w:val="18"/>
        </w:rPr>
        <w:t>.</w:t>
      </w:r>
      <w:r w:rsidRPr="007F7EE4">
        <w:rPr>
          <w:rFonts w:hint="eastAsia"/>
          <w:sz w:val="18"/>
          <w:szCs w:val="18"/>
        </w:rPr>
        <w:t>媒体关注对企业绿色技术创新的影响</w:t>
      </w:r>
      <w:r w:rsidRPr="007F7EE4">
        <w:rPr>
          <w:rFonts w:hint="eastAsia"/>
          <w:sz w:val="18"/>
          <w:szCs w:val="18"/>
        </w:rPr>
        <w:t>:</w:t>
      </w:r>
      <w:r w:rsidRPr="007F7EE4">
        <w:rPr>
          <w:rFonts w:hint="eastAsia"/>
          <w:sz w:val="18"/>
          <w:szCs w:val="18"/>
        </w:rPr>
        <w:t>市场化水平的调节作用</w:t>
      </w:r>
      <w:r w:rsidRPr="007F7EE4">
        <w:rPr>
          <w:rFonts w:hint="eastAsia"/>
          <w:sz w:val="18"/>
          <w:szCs w:val="18"/>
        </w:rPr>
        <w:t>[J].</w:t>
      </w:r>
      <w:r w:rsidRPr="007F7EE4">
        <w:rPr>
          <w:rFonts w:hint="eastAsia"/>
          <w:sz w:val="18"/>
          <w:szCs w:val="18"/>
        </w:rPr>
        <w:t>管理评论</w:t>
      </w:r>
      <w:r w:rsidRPr="007F7EE4">
        <w:rPr>
          <w:rFonts w:hint="eastAsia"/>
          <w:sz w:val="18"/>
          <w:szCs w:val="18"/>
        </w:rPr>
        <w:t>,2020,32(9):132-141.</w:t>
      </w:r>
    </w:p>
    <w:p w14:paraId="76040FF9" w14:textId="77777777" w:rsidR="00D45CD8" w:rsidRPr="007F7EE4" w:rsidRDefault="00AC3F08">
      <w:pPr>
        <w:ind w:firstLineChars="83" w:firstLine="149"/>
        <w:rPr>
          <w:sz w:val="18"/>
          <w:szCs w:val="18"/>
        </w:rPr>
      </w:pPr>
      <w:r w:rsidRPr="007F7EE4">
        <w:rPr>
          <w:rFonts w:hint="eastAsia"/>
          <w:sz w:val="18"/>
          <w:szCs w:val="18"/>
        </w:rPr>
        <w:t xml:space="preserve">[31] </w:t>
      </w:r>
      <w:r w:rsidRPr="007F7EE4">
        <w:rPr>
          <w:rFonts w:hint="eastAsia"/>
          <w:sz w:val="18"/>
          <w:szCs w:val="18"/>
        </w:rPr>
        <w:t>齐绍洲</w:t>
      </w:r>
      <w:r w:rsidRPr="007F7EE4">
        <w:rPr>
          <w:rFonts w:hint="eastAsia"/>
          <w:sz w:val="18"/>
          <w:szCs w:val="18"/>
        </w:rPr>
        <w:t>,</w:t>
      </w:r>
      <w:r w:rsidRPr="007F7EE4">
        <w:rPr>
          <w:rFonts w:hint="eastAsia"/>
          <w:sz w:val="18"/>
          <w:szCs w:val="18"/>
        </w:rPr>
        <w:t>林屾</w:t>
      </w:r>
      <w:r w:rsidRPr="007F7EE4">
        <w:rPr>
          <w:rFonts w:hint="eastAsia"/>
          <w:sz w:val="18"/>
          <w:szCs w:val="18"/>
        </w:rPr>
        <w:t>,</w:t>
      </w:r>
      <w:r w:rsidRPr="007F7EE4">
        <w:rPr>
          <w:rFonts w:hint="eastAsia"/>
          <w:sz w:val="18"/>
          <w:szCs w:val="18"/>
        </w:rPr>
        <w:t>崔静波</w:t>
      </w:r>
      <w:r w:rsidRPr="007F7EE4">
        <w:rPr>
          <w:rFonts w:hint="eastAsia"/>
          <w:sz w:val="18"/>
          <w:szCs w:val="18"/>
        </w:rPr>
        <w:t>.</w:t>
      </w:r>
      <w:r w:rsidRPr="007F7EE4">
        <w:rPr>
          <w:rFonts w:hint="eastAsia"/>
          <w:sz w:val="18"/>
          <w:szCs w:val="18"/>
        </w:rPr>
        <w:t>环境权益交易市场能否诱发绿色创新</w:t>
      </w:r>
      <w:r w:rsidRPr="007F7EE4">
        <w:rPr>
          <w:rFonts w:hint="eastAsia"/>
          <w:sz w:val="18"/>
          <w:szCs w:val="18"/>
        </w:rPr>
        <w:t>?</w:t>
      </w:r>
      <w:r w:rsidRPr="007F7EE4">
        <w:rPr>
          <w:rFonts w:hint="eastAsia"/>
          <w:sz w:val="18"/>
          <w:szCs w:val="18"/>
        </w:rPr>
        <w:t>——基于我国上市公司绿色专利数据的证据</w:t>
      </w:r>
      <w:r w:rsidRPr="007F7EE4">
        <w:rPr>
          <w:rFonts w:hint="eastAsia"/>
          <w:sz w:val="18"/>
          <w:szCs w:val="18"/>
        </w:rPr>
        <w:t>[J].</w:t>
      </w:r>
      <w:r w:rsidRPr="007F7EE4">
        <w:rPr>
          <w:rFonts w:hint="eastAsia"/>
          <w:sz w:val="18"/>
          <w:szCs w:val="18"/>
        </w:rPr>
        <w:t>经济研究</w:t>
      </w:r>
      <w:r w:rsidRPr="007F7EE4">
        <w:rPr>
          <w:rFonts w:hint="eastAsia"/>
          <w:sz w:val="18"/>
          <w:szCs w:val="18"/>
        </w:rPr>
        <w:t>,2018,53(12):129-143.</w:t>
      </w:r>
    </w:p>
    <w:p w14:paraId="14E5AFE2" w14:textId="77777777" w:rsidR="00D45CD8" w:rsidRPr="007F7EE4" w:rsidRDefault="00AC3F08">
      <w:pPr>
        <w:ind w:firstLineChars="83" w:firstLine="149"/>
        <w:rPr>
          <w:sz w:val="18"/>
          <w:szCs w:val="18"/>
        </w:rPr>
      </w:pPr>
      <w:r w:rsidRPr="007F7EE4">
        <w:rPr>
          <w:rFonts w:hint="eastAsia"/>
          <w:sz w:val="18"/>
          <w:szCs w:val="18"/>
        </w:rPr>
        <w:t xml:space="preserve">[32] </w:t>
      </w:r>
      <w:r w:rsidRPr="007F7EE4">
        <w:rPr>
          <w:rFonts w:hint="eastAsia"/>
          <w:sz w:val="18"/>
          <w:szCs w:val="18"/>
        </w:rPr>
        <w:t>肖红军</w:t>
      </w:r>
      <w:r w:rsidRPr="007F7EE4">
        <w:rPr>
          <w:rFonts w:hint="eastAsia"/>
          <w:sz w:val="18"/>
          <w:szCs w:val="18"/>
        </w:rPr>
        <w:t>,</w:t>
      </w:r>
      <w:r w:rsidRPr="007F7EE4">
        <w:rPr>
          <w:rFonts w:hint="eastAsia"/>
          <w:sz w:val="18"/>
          <w:szCs w:val="18"/>
        </w:rPr>
        <w:t>李井林</w:t>
      </w:r>
      <w:r w:rsidRPr="007F7EE4">
        <w:rPr>
          <w:rFonts w:hint="eastAsia"/>
          <w:sz w:val="18"/>
          <w:szCs w:val="18"/>
        </w:rPr>
        <w:t>.</w:t>
      </w:r>
      <w:r w:rsidRPr="007F7EE4">
        <w:rPr>
          <w:rFonts w:hint="eastAsia"/>
          <w:sz w:val="18"/>
          <w:szCs w:val="18"/>
        </w:rPr>
        <w:t>责任铁律的动态检验</w:t>
      </w:r>
      <w:r w:rsidRPr="007F7EE4">
        <w:rPr>
          <w:rFonts w:hint="eastAsia"/>
          <w:sz w:val="18"/>
          <w:szCs w:val="18"/>
        </w:rPr>
        <w:t>:</w:t>
      </w:r>
      <w:r w:rsidRPr="007F7EE4">
        <w:rPr>
          <w:rFonts w:hint="eastAsia"/>
          <w:sz w:val="18"/>
          <w:szCs w:val="18"/>
        </w:rPr>
        <w:t>来自中国上市公司并购样本的经验证据</w:t>
      </w:r>
      <w:r w:rsidRPr="007F7EE4">
        <w:rPr>
          <w:rFonts w:hint="eastAsia"/>
          <w:sz w:val="18"/>
          <w:szCs w:val="18"/>
        </w:rPr>
        <w:t>[J].</w:t>
      </w:r>
      <w:r w:rsidRPr="007F7EE4">
        <w:rPr>
          <w:rFonts w:hint="eastAsia"/>
          <w:sz w:val="18"/>
          <w:szCs w:val="18"/>
        </w:rPr>
        <w:t>管理世界</w:t>
      </w:r>
      <w:r w:rsidRPr="007F7EE4">
        <w:rPr>
          <w:rFonts w:hint="eastAsia"/>
          <w:sz w:val="18"/>
          <w:szCs w:val="18"/>
        </w:rPr>
        <w:t>,2018,34(7):114-135.</w:t>
      </w:r>
    </w:p>
    <w:p w14:paraId="4A991E48" w14:textId="77777777" w:rsidR="00D45CD8" w:rsidRPr="007F7EE4" w:rsidRDefault="00AC3F08">
      <w:pPr>
        <w:ind w:firstLineChars="83" w:firstLine="149"/>
        <w:rPr>
          <w:sz w:val="18"/>
          <w:szCs w:val="18"/>
        </w:rPr>
      </w:pPr>
      <w:r w:rsidRPr="007F7EE4">
        <w:rPr>
          <w:rFonts w:hint="eastAsia"/>
          <w:sz w:val="18"/>
          <w:szCs w:val="18"/>
        </w:rPr>
        <w:t xml:space="preserve">[33] </w:t>
      </w:r>
      <w:r w:rsidRPr="007F7EE4">
        <w:rPr>
          <w:rFonts w:hint="eastAsia"/>
          <w:sz w:val="18"/>
          <w:szCs w:val="18"/>
        </w:rPr>
        <w:t>李井林</w:t>
      </w:r>
      <w:r w:rsidRPr="007F7EE4">
        <w:rPr>
          <w:rFonts w:hint="eastAsia"/>
          <w:sz w:val="18"/>
          <w:szCs w:val="18"/>
        </w:rPr>
        <w:t>,</w:t>
      </w:r>
      <w:r w:rsidRPr="007F7EE4">
        <w:rPr>
          <w:rFonts w:hint="eastAsia"/>
          <w:sz w:val="18"/>
          <w:szCs w:val="18"/>
        </w:rPr>
        <w:t>阳镇</w:t>
      </w:r>
      <w:r w:rsidRPr="007F7EE4">
        <w:rPr>
          <w:rFonts w:hint="eastAsia"/>
          <w:sz w:val="18"/>
          <w:szCs w:val="18"/>
        </w:rPr>
        <w:t>.</w:t>
      </w:r>
      <w:r w:rsidRPr="007F7EE4">
        <w:rPr>
          <w:rFonts w:hint="eastAsia"/>
          <w:sz w:val="18"/>
          <w:szCs w:val="18"/>
        </w:rPr>
        <w:t>董事会性别多元化、企业社会责任与企业技术创新——基于中国上市公司的实证研究</w:t>
      </w:r>
      <w:r w:rsidRPr="007F7EE4">
        <w:rPr>
          <w:rFonts w:hint="eastAsia"/>
          <w:sz w:val="18"/>
          <w:szCs w:val="18"/>
        </w:rPr>
        <w:t>[J].</w:t>
      </w:r>
      <w:r w:rsidRPr="007F7EE4">
        <w:rPr>
          <w:rFonts w:hint="eastAsia"/>
          <w:sz w:val="18"/>
          <w:szCs w:val="18"/>
        </w:rPr>
        <w:t>科学学与科学技术管理</w:t>
      </w:r>
      <w:r w:rsidRPr="007F7EE4">
        <w:rPr>
          <w:rFonts w:hint="eastAsia"/>
          <w:sz w:val="18"/>
          <w:szCs w:val="18"/>
        </w:rPr>
        <w:t>,2019,40(5):34-51.</w:t>
      </w:r>
    </w:p>
    <w:p w14:paraId="6F2B9E4C" w14:textId="77777777" w:rsidR="00D45CD8" w:rsidRPr="007F7EE4" w:rsidRDefault="00AC3F08">
      <w:pPr>
        <w:ind w:firstLineChars="83" w:firstLine="149"/>
        <w:rPr>
          <w:sz w:val="18"/>
          <w:szCs w:val="18"/>
        </w:rPr>
      </w:pPr>
      <w:r w:rsidRPr="007F7EE4">
        <w:rPr>
          <w:rFonts w:hint="eastAsia"/>
          <w:sz w:val="18"/>
          <w:szCs w:val="18"/>
        </w:rPr>
        <w:t xml:space="preserve">[34] </w:t>
      </w:r>
      <w:r w:rsidRPr="007F7EE4">
        <w:rPr>
          <w:rFonts w:hint="eastAsia"/>
          <w:sz w:val="18"/>
          <w:szCs w:val="18"/>
        </w:rPr>
        <w:t>权小锋</w:t>
      </w:r>
      <w:r w:rsidRPr="007F7EE4">
        <w:rPr>
          <w:rFonts w:hint="eastAsia"/>
          <w:sz w:val="18"/>
          <w:szCs w:val="18"/>
        </w:rPr>
        <w:t>,</w:t>
      </w:r>
      <w:r w:rsidRPr="007F7EE4">
        <w:rPr>
          <w:rFonts w:hint="eastAsia"/>
          <w:sz w:val="18"/>
          <w:szCs w:val="18"/>
        </w:rPr>
        <w:t>吴世农</w:t>
      </w:r>
      <w:r w:rsidRPr="007F7EE4">
        <w:rPr>
          <w:rFonts w:hint="eastAsia"/>
          <w:sz w:val="18"/>
          <w:szCs w:val="18"/>
        </w:rPr>
        <w:t>,</w:t>
      </w:r>
      <w:r w:rsidRPr="007F7EE4">
        <w:rPr>
          <w:rFonts w:hint="eastAsia"/>
          <w:sz w:val="18"/>
          <w:szCs w:val="18"/>
        </w:rPr>
        <w:t>尹洪英</w:t>
      </w:r>
      <w:r w:rsidRPr="007F7EE4">
        <w:rPr>
          <w:rFonts w:hint="eastAsia"/>
          <w:sz w:val="18"/>
          <w:szCs w:val="18"/>
        </w:rPr>
        <w:t>.</w:t>
      </w:r>
      <w:r w:rsidRPr="007F7EE4">
        <w:rPr>
          <w:rFonts w:hint="eastAsia"/>
          <w:sz w:val="18"/>
          <w:szCs w:val="18"/>
        </w:rPr>
        <w:t>企业社会责任与股价崩盘风险</w:t>
      </w:r>
      <w:r w:rsidRPr="007F7EE4">
        <w:rPr>
          <w:rFonts w:hint="eastAsia"/>
          <w:sz w:val="18"/>
          <w:szCs w:val="18"/>
        </w:rPr>
        <w:t>:</w:t>
      </w:r>
      <w:r w:rsidRPr="007F7EE4">
        <w:rPr>
          <w:rFonts w:hint="eastAsia"/>
          <w:sz w:val="18"/>
          <w:szCs w:val="18"/>
        </w:rPr>
        <w:t>“价值利器”或“自利工具”</w:t>
      </w:r>
      <w:r w:rsidRPr="007F7EE4">
        <w:rPr>
          <w:rFonts w:hint="eastAsia"/>
          <w:sz w:val="18"/>
          <w:szCs w:val="18"/>
        </w:rPr>
        <w:t>?[J].</w:t>
      </w:r>
      <w:r w:rsidRPr="007F7EE4">
        <w:rPr>
          <w:rFonts w:hint="eastAsia"/>
          <w:sz w:val="18"/>
          <w:szCs w:val="18"/>
        </w:rPr>
        <w:t>经济研究</w:t>
      </w:r>
      <w:r w:rsidRPr="007F7EE4">
        <w:rPr>
          <w:rFonts w:hint="eastAsia"/>
          <w:sz w:val="18"/>
          <w:szCs w:val="18"/>
        </w:rPr>
        <w:t>,2015,50(11):49-64. 51-58+97.</w:t>
      </w:r>
    </w:p>
    <w:p w14:paraId="7764CA42" w14:textId="77777777" w:rsidR="00D45CD8" w:rsidRPr="007F7EE4" w:rsidRDefault="00AC3F08">
      <w:pPr>
        <w:ind w:firstLineChars="83" w:firstLine="149"/>
        <w:rPr>
          <w:sz w:val="18"/>
          <w:szCs w:val="18"/>
        </w:rPr>
      </w:pPr>
      <w:r w:rsidRPr="007F7EE4">
        <w:rPr>
          <w:rFonts w:hint="eastAsia"/>
          <w:sz w:val="18"/>
          <w:szCs w:val="18"/>
        </w:rPr>
        <w:t xml:space="preserve">[35] </w:t>
      </w:r>
      <w:r w:rsidRPr="007F7EE4">
        <w:rPr>
          <w:rFonts w:hint="eastAsia"/>
          <w:sz w:val="18"/>
          <w:szCs w:val="18"/>
        </w:rPr>
        <w:t>王新</w:t>
      </w:r>
      <w:r w:rsidRPr="007F7EE4">
        <w:rPr>
          <w:rFonts w:hint="eastAsia"/>
          <w:sz w:val="18"/>
          <w:szCs w:val="18"/>
        </w:rPr>
        <w:t>,</w:t>
      </w:r>
      <w:r w:rsidRPr="007F7EE4">
        <w:rPr>
          <w:rFonts w:hint="eastAsia"/>
          <w:sz w:val="18"/>
          <w:szCs w:val="18"/>
        </w:rPr>
        <w:t>李彦霖</w:t>
      </w:r>
      <w:r w:rsidRPr="007F7EE4">
        <w:rPr>
          <w:rFonts w:hint="eastAsia"/>
          <w:sz w:val="18"/>
          <w:szCs w:val="18"/>
        </w:rPr>
        <w:t>,</w:t>
      </w:r>
      <w:r w:rsidRPr="007F7EE4">
        <w:rPr>
          <w:rFonts w:hint="eastAsia"/>
          <w:sz w:val="18"/>
          <w:szCs w:val="18"/>
        </w:rPr>
        <w:t>李方舒</w:t>
      </w:r>
      <w:r w:rsidRPr="007F7EE4">
        <w:rPr>
          <w:rFonts w:hint="eastAsia"/>
          <w:sz w:val="18"/>
          <w:szCs w:val="18"/>
        </w:rPr>
        <w:t>.</w:t>
      </w:r>
      <w:r w:rsidRPr="007F7EE4">
        <w:rPr>
          <w:rFonts w:hint="eastAsia"/>
          <w:sz w:val="18"/>
          <w:szCs w:val="18"/>
        </w:rPr>
        <w:t>企业社会责任与经理人薪酬激励有效性研究——战略性动机还是卸责借口</w:t>
      </w:r>
      <w:r w:rsidRPr="007F7EE4">
        <w:rPr>
          <w:rFonts w:hint="eastAsia"/>
          <w:sz w:val="18"/>
          <w:szCs w:val="18"/>
        </w:rPr>
        <w:t>?[J].</w:t>
      </w:r>
      <w:r w:rsidRPr="007F7EE4">
        <w:rPr>
          <w:rFonts w:hint="eastAsia"/>
          <w:sz w:val="18"/>
          <w:szCs w:val="18"/>
        </w:rPr>
        <w:t>会计研究</w:t>
      </w:r>
      <w:r w:rsidRPr="007F7EE4">
        <w:rPr>
          <w:rFonts w:hint="eastAsia"/>
          <w:sz w:val="18"/>
          <w:szCs w:val="18"/>
        </w:rPr>
        <w:t>,2015(10):51-58+97.</w:t>
      </w:r>
    </w:p>
    <w:p w14:paraId="70B04188" w14:textId="77777777" w:rsidR="00D45CD8" w:rsidRPr="007F7EE4" w:rsidRDefault="00AC3F08">
      <w:pPr>
        <w:ind w:firstLineChars="83" w:firstLine="149"/>
        <w:rPr>
          <w:sz w:val="18"/>
          <w:szCs w:val="18"/>
        </w:rPr>
      </w:pPr>
      <w:r w:rsidRPr="007F7EE4">
        <w:rPr>
          <w:rFonts w:hint="eastAsia"/>
          <w:sz w:val="18"/>
          <w:szCs w:val="18"/>
        </w:rPr>
        <w:t xml:space="preserve">[36] </w:t>
      </w:r>
      <w:r w:rsidRPr="007F7EE4">
        <w:rPr>
          <w:rFonts w:hint="eastAsia"/>
          <w:sz w:val="18"/>
          <w:szCs w:val="18"/>
        </w:rPr>
        <w:t>阳镇</w:t>
      </w:r>
      <w:r w:rsidRPr="007F7EE4">
        <w:rPr>
          <w:rFonts w:hint="eastAsia"/>
          <w:sz w:val="18"/>
          <w:szCs w:val="18"/>
        </w:rPr>
        <w:t>,</w:t>
      </w:r>
      <w:r w:rsidRPr="007F7EE4">
        <w:rPr>
          <w:rFonts w:hint="eastAsia"/>
          <w:sz w:val="18"/>
          <w:szCs w:val="18"/>
        </w:rPr>
        <w:t>凌鸿程</w:t>
      </w:r>
      <w:r w:rsidRPr="007F7EE4">
        <w:rPr>
          <w:rFonts w:hint="eastAsia"/>
          <w:sz w:val="18"/>
          <w:szCs w:val="18"/>
        </w:rPr>
        <w:t>,</w:t>
      </w:r>
      <w:r w:rsidRPr="007F7EE4">
        <w:rPr>
          <w:rFonts w:hint="eastAsia"/>
          <w:sz w:val="18"/>
          <w:szCs w:val="18"/>
        </w:rPr>
        <w:t>陈劲</w:t>
      </w:r>
      <w:r w:rsidRPr="007F7EE4">
        <w:rPr>
          <w:rFonts w:hint="eastAsia"/>
          <w:sz w:val="18"/>
          <w:szCs w:val="18"/>
        </w:rPr>
        <w:t>.</w:t>
      </w:r>
      <w:r w:rsidRPr="007F7EE4">
        <w:rPr>
          <w:rFonts w:hint="eastAsia"/>
          <w:sz w:val="18"/>
          <w:szCs w:val="18"/>
        </w:rPr>
        <w:t>社会信任有助于企业履行社会责任吗</w:t>
      </w:r>
      <w:r w:rsidRPr="007F7EE4">
        <w:rPr>
          <w:rFonts w:hint="eastAsia"/>
          <w:sz w:val="18"/>
          <w:szCs w:val="18"/>
        </w:rPr>
        <w:t>?[J].</w:t>
      </w:r>
      <w:r w:rsidRPr="007F7EE4">
        <w:rPr>
          <w:rFonts w:hint="eastAsia"/>
          <w:sz w:val="18"/>
          <w:szCs w:val="18"/>
        </w:rPr>
        <w:t>科研管理</w:t>
      </w:r>
      <w:r w:rsidRPr="007F7EE4">
        <w:rPr>
          <w:rFonts w:hint="eastAsia"/>
          <w:sz w:val="18"/>
          <w:szCs w:val="18"/>
        </w:rPr>
        <w:t>,2021,42(05):143-152.</w:t>
      </w:r>
    </w:p>
    <w:p w14:paraId="34CEEC7A" w14:textId="77777777" w:rsidR="00D45CD8" w:rsidRPr="007F7EE4" w:rsidRDefault="00AC3F08">
      <w:pPr>
        <w:ind w:firstLineChars="83" w:firstLine="149"/>
        <w:rPr>
          <w:sz w:val="18"/>
          <w:szCs w:val="18"/>
        </w:rPr>
      </w:pPr>
      <w:r w:rsidRPr="007F7EE4">
        <w:rPr>
          <w:rFonts w:hint="eastAsia"/>
          <w:sz w:val="18"/>
          <w:szCs w:val="18"/>
        </w:rPr>
        <w:t xml:space="preserve">[37] </w:t>
      </w:r>
      <w:r w:rsidRPr="007F7EE4">
        <w:rPr>
          <w:rFonts w:hint="eastAsia"/>
          <w:sz w:val="18"/>
          <w:szCs w:val="18"/>
        </w:rPr>
        <w:t>李培功</w:t>
      </w:r>
      <w:r w:rsidRPr="007F7EE4">
        <w:rPr>
          <w:rFonts w:hint="eastAsia"/>
          <w:sz w:val="18"/>
          <w:szCs w:val="18"/>
        </w:rPr>
        <w:t>,</w:t>
      </w:r>
      <w:r w:rsidRPr="007F7EE4">
        <w:rPr>
          <w:rFonts w:hint="eastAsia"/>
          <w:sz w:val="18"/>
          <w:szCs w:val="18"/>
        </w:rPr>
        <w:t>沈艺峰</w:t>
      </w:r>
      <w:r w:rsidRPr="007F7EE4">
        <w:rPr>
          <w:rFonts w:hint="eastAsia"/>
          <w:sz w:val="18"/>
          <w:szCs w:val="18"/>
        </w:rPr>
        <w:t>.</w:t>
      </w:r>
      <w:r w:rsidRPr="007F7EE4">
        <w:rPr>
          <w:rFonts w:hint="eastAsia"/>
          <w:sz w:val="18"/>
          <w:szCs w:val="18"/>
        </w:rPr>
        <w:t>媒体的公司治理作用</w:t>
      </w:r>
      <w:r w:rsidRPr="007F7EE4">
        <w:rPr>
          <w:rFonts w:hint="eastAsia"/>
          <w:sz w:val="18"/>
          <w:szCs w:val="18"/>
        </w:rPr>
        <w:t>:</w:t>
      </w:r>
      <w:r w:rsidRPr="007F7EE4">
        <w:rPr>
          <w:rFonts w:hint="eastAsia"/>
          <w:sz w:val="18"/>
          <w:szCs w:val="18"/>
        </w:rPr>
        <w:t>中国的经验证据</w:t>
      </w:r>
      <w:r w:rsidRPr="007F7EE4">
        <w:rPr>
          <w:rFonts w:hint="eastAsia"/>
          <w:sz w:val="18"/>
          <w:szCs w:val="18"/>
        </w:rPr>
        <w:t>[J].</w:t>
      </w:r>
      <w:r w:rsidRPr="007F7EE4">
        <w:rPr>
          <w:rFonts w:hint="eastAsia"/>
          <w:sz w:val="18"/>
          <w:szCs w:val="18"/>
        </w:rPr>
        <w:t>经济研究</w:t>
      </w:r>
      <w:r w:rsidRPr="007F7EE4">
        <w:rPr>
          <w:rFonts w:hint="eastAsia"/>
          <w:sz w:val="18"/>
          <w:szCs w:val="18"/>
        </w:rPr>
        <w:t>,2010,45(4):14-27.</w:t>
      </w:r>
    </w:p>
    <w:p w14:paraId="0152D7B8" w14:textId="77777777" w:rsidR="00D45CD8" w:rsidRPr="007F7EE4" w:rsidRDefault="00AC3F08">
      <w:pPr>
        <w:ind w:firstLineChars="83" w:firstLine="149"/>
        <w:rPr>
          <w:sz w:val="18"/>
          <w:szCs w:val="18"/>
        </w:rPr>
      </w:pPr>
      <w:r w:rsidRPr="007F7EE4">
        <w:rPr>
          <w:rFonts w:hint="eastAsia"/>
          <w:sz w:val="18"/>
          <w:szCs w:val="18"/>
        </w:rPr>
        <w:t>[38]</w:t>
      </w:r>
      <w:r w:rsidRPr="007F7EE4">
        <w:rPr>
          <w:rFonts w:hint="eastAsia"/>
          <w:sz w:val="18"/>
          <w:szCs w:val="18"/>
        </w:rPr>
        <w:t>戴亦一</w:t>
      </w:r>
      <w:r w:rsidRPr="007F7EE4">
        <w:rPr>
          <w:rFonts w:hint="eastAsia"/>
          <w:sz w:val="18"/>
          <w:szCs w:val="18"/>
        </w:rPr>
        <w:t>,</w:t>
      </w:r>
      <w:r w:rsidRPr="007F7EE4">
        <w:rPr>
          <w:rFonts w:hint="eastAsia"/>
          <w:sz w:val="18"/>
          <w:szCs w:val="18"/>
        </w:rPr>
        <w:t>潘越</w:t>
      </w:r>
      <w:r w:rsidRPr="007F7EE4">
        <w:rPr>
          <w:rFonts w:hint="eastAsia"/>
          <w:sz w:val="18"/>
          <w:szCs w:val="18"/>
        </w:rPr>
        <w:t>,</w:t>
      </w:r>
      <w:r w:rsidRPr="007F7EE4">
        <w:rPr>
          <w:rFonts w:hint="eastAsia"/>
          <w:sz w:val="18"/>
          <w:szCs w:val="18"/>
        </w:rPr>
        <w:t>刘思超</w:t>
      </w:r>
      <w:r w:rsidRPr="007F7EE4">
        <w:rPr>
          <w:rFonts w:hint="eastAsia"/>
          <w:sz w:val="18"/>
          <w:szCs w:val="18"/>
        </w:rPr>
        <w:t>.</w:t>
      </w:r>
      <w:r w:rsidRPr="007F7EE4">
        <w:rPr>
          <w:rFonts w:hint="eastAsia"/>
          <w:sz w:val="18"/>
          <w:szCs w:val="18"/>
        </w:rPr>
        <w:t>媒体监督、政府干预与公司治理</w:t>
      </w:r>
      <w:r w:rsidRPr="007F7EE4">
        <w:rPr>
          <w:rFonts w:hint="eastAsia"/>
          <w:sz w:val="18"/>
          <w:szCs w:val="18"/>
        </w:rPr>
        <w:t>:</w:t>
      </w:r>
      <w:r w:rsidRPr="007F7EE4">
        <w:rPr>
          <w:rFonts w:hint="eastAsia"/>
          <w:sz w:val="18"/>
          <w:szCs w:val="18"/>
        </w:rPr>
        <w:t>来自中国上市公司财务重述视角的证据</w:t>
      </w:r>
      <w:r w:rsidRPr="007F7EE4">
        <w:rPr>
          <w:rFonts w:hint="eastAsia"/>
          <w:sz w:val="18"/>
          <w:szCs w:val="18"/>
        </w:rPr>
        <w:t>[J].</w:t>
      </w:r>
      <w:r w:rsidRPr="007F7EE4">
        <w:rPr>
          <w:rFonts w:hint="eastAsia"/>
          <w:sz w:val="18"/>
          <w:szCs w:val="18"/>
        </w:rPr>
        <w:t>世界经济</w:t>
      </w:r>
      <w:r w:rsidRPr="007F7EE4">
        <w:rPr>
          <w:rFonts w:hint="eastAsia"/>
          <w:sz w:val="18"/>
          <w:szCs w:val="18"/>
        </w:rPr>
        <w:t>,2011(11):121-144.</w:t>
      </w:r>
    </w:p>
    <w:p w14:paraId="622A67B0" w14:textId="77777777" w:rsidR="00D45CD8" w:rsidRPr="007F7EE4" w:rsidRDefault="00AC3F08">
      <w:pPr>
        <w:ind w:firstLineChars="83" w:firstLine="149"/>
        <w:rPr>
          <w:sz w:val="18"/>
          <w:szCs w:val="18"/>
        </w:rPr>
      </w:pPr>
      <w:r w:rsidRPr="007F7EE4">
        <w:rPr>
          <w:rFonts w:hint="eastAsia"/>
          <w:sz w:val="18"/>
          <w:szCs w:val="18"/>
        </w:rPr>
        <w:t xml:space="preserve">[39] </w:t>
      </w:r>
      <w:r w:rsidRPr="007F7EE4">
        <w:rPr>
          <w:rFonts w:hint="eastAsia"/>
          <w:sz w:val="18"/>
          <w:szCs w:val="18"/>
        </w:rPr>
        <w:t>张琦</w:t>
      </w:r>
      <w:r w:rsidRPr="007F7EE4">
        <w:rPr>
          <w:rFonts w:hint="eastAsia"/>
          <w:sz w:val="18"/>
          <w:szCs w:val="18"/>
        </w:rPr>
        <w:t>,</w:t>
      </w:r>
      <w:r w:rsidRPr="007F7EE4">
        <w:rPr>
          <w:rFonts w:hint="eastAsia"/>
          <w:sz w:val="18"/>
          <w:szCs w:val="18"/>
        </w:rPr>
        <w:t>郑瑶</w:t>
      </w:r>
      <w:r w:rsidRPr="007F7EE4">
        <w:rPr>
          <w:rFonts w:hint="eastAsia"/>
          <w:sz w:val="18"/>
          <w:szCs w:val="18"/>
        </w:rPr>
        <w:t>,</w:t>
      </w:r>
      <w:r w:rsidRPr="007F7EE4">
        <w:rPr>
          <w:rFonts w:hint="eastAsia"/>
          <w:sz w:val="18"/>
          <w:szCs w:val="18"/>
        </w:rPr>
        <w:t>孔东民</w:t>
      </w:r>
      <w:r w:rsidRPr="007F7EE4">
        <w:rPr>
          <w:rFonts w:hint="eastAsia"/>
          <w:sz w:val="18"/>
          <w:szCs w:val="18"/>
        </w:rPr>
        <w:t>.2019.</w:t>
      </w:r>
      <w:r w:rsidRPr="007F7EE4">
        <w:rPr>
          <w:rFonts w:hint="eastAsia"/>
          <w:sz w:val="18"/>
          <w:szCs w:val="18"/>
        </w:rPr>
        <w:t>地区环境治理压力、高管经历与企业环保投资———一项基于《环境空气质量标准</w:t>
      </w:r>
      <w:r w:rsidRPr="007F7EE4">
        <w:rPr>
          <w:rFonts w:hint="eastAsia"/>
          <w:sz w:val="18"/>
          <w:szCs w:val="18"/>
        </w:rPr>
        <w:t>(2012)</w:t>
      </w:r>
      <w:r w:rsidRPr="007F7EE4">
        <w:rPr>
          <w:rFonts w:hint="eastAsia"/>
          <w:sz w:val="18"/>
          <w:szCs w:val="18"/>
        </w:rPr>
        <w:t>》的准自然实验</w:t>
      </w:r>
      <w:r w:rsidRPr="007F7EE4">
        <w:rPr>
          <w:rFonts w:hint="eastAsia"/>
          <w:sz w:val="18"/>
          <w:szCs w:val="18"/>
        </w:rPr>
        <w:t>.</w:t>
      </w:r>
      <w:r w:rsidRPr="007F7EE4">
        <w:rPr>
          <w:rFonts w:hint="eastAsia"/>
          <w:sz w:val="18"/>
          <w:szCs w:val="18"/>
        </w:rPr>
        <w:t>经济研究</w:t>
      </w:r>
      <w:r w:rsidRPr="007F7EE4">
        <w:rPr>
          <w:rFonts w:hint="eastAsia"/>
          <w:sz w:val="18"/>
          <w:szCs w:val="18"/>
        </w:rPr>
        <w:t>,6:183</w:t>
      </w:r>
      <w:r w:rsidRPr="007F7EE4">
        <w:rPr>
          <w:rFonts w:hint="eastAsia"/>
          <w:sz w:val="18"/>
          <w:szCs w:val="18"/>
        </w:rPr>
        <w:t>～</w:t>
      </w:r>
      <w:r w:rsidRPr="007F7EE4">
        <w:rPr>
          <w:rFonts w:hint="eastAsia"/>
          <w:sz w:val="18"/>
          <w:szCs w:val="18"/>
        </w:rPr>
        <w:t>198</w:t>
      </w:r>
    </w:p>
    <w:p w14:paraId="0FD8AD79" w14:textId="77777777" w:rsidR="00D45CD8" w:rsidRPr="007F7EE4" w:rsidRDefault="00AC3F08">
      <w:pPr>
        <w:ind w:firstLineChars="83" w:firstLine="149"/>
        <w:rPr>
          <w:sz w:val="18"/>
          <w:szCs w:val="18"/>
        </w:rPr>
      </w:pPr>
      <w:r w:rsidRPr="007F7EE4">
        <w:rPr>
          <w:rFonts w:hint="eastAsia"/>
          <w:sz w:val="18"/>
          <w:szCs w:val="18"/>
        </w:rPr>
        <w:t xml:space="preserve">[40] </w:t>
      </w:r>
      <w:r w:rsidRPr="007F7EE4">
        <w:rPr>
          <w:rFonts w:hint="eastAsia"/>
          <w:sz w:val="18"/>
          <w:szCs w:val="18"/>
        </w:rPr>
        <w:t>谢东明</w:t>
      </w:r>
      <w:r w:rsidRPr="007F7EE4">
        <w:rPr>
          <w:rFonts w:hint="eastAsia"/>
          <w:sz w:val="18"/>
          <w:szCs w:val="18"/>
        </w:rPr>
        <w:t>.</w:t>
      </w:r>
      <w:r w:rsidRPr="007F7EE4">
        <w:rPr>
          <w:rFonts w:hint="eastAsia"/>
          <w:sz w:val="18"/>
          <w:szCs w:val="18"/>
        </w:rPr>
        <w:t>地方监管、垂直监管与企业环保投资——基于上市</w:t>
      </w:r>
      <w:r w:rsidRPr="007F7EE4">
        <w:rPr>
          <w:rFonts w:hint="eastAsia"/>
          <w:sz w:val="18"/>
          <w:szCs w:val="18"/>
        </w:rPr>
        <w:t>A</w:t>
      </w:r>
      <w:r w:rsidRPr="007F7EE4">
        <w:rPr>
          <w:rFonts w:hint="eastAsia"/>
          <w:sz w:val="18"/>
          <w:szCs w:val="18"/>
        </w:rPr>
        <w:t>股重污染企业的实证研究</w:t>
      </w:r>
      <w:r w:rsidRPr="007F7EE4">
        <w:rPr>
          <w:rFonts w:hint="eastAsia"/>
          <w:sz w:val="18"/>
          <w:szCs w:val="18"/>
        </w:rPr>
        <w:t>[J].</w:t>
      </w:r>
      <w:r w:rsidRPr="007F7EE4">
        <w:rPr>
          <w:rFonts w:hint="eastAsia"/>
          <w:sz w:val="18"/>
          <w:szCs w:val="18"/>
        </w:rPr>
        <w:t>会计研究</w:t>
      </w:r>
      <w:r w:rsidRPr="007F7EE4">
        <w:rPr>
          <w:rFonts w:hint="eastAsia"/>
          <w:sz w:val="18"/>
          <w:szCs w:val="18"/>
        </w:rPr>
        <w:t>,2020(11):170-186.</w:t>
      </w:r>
    </w:p>
    <w:p w14:paraId="0683B46E" w14:textId="77777777" w:rsidR="00D45CD8" w:rsidRPr="007F7EE4" w:rsidRDefault="00AC3F08">
      <w:pPr>
        <w:ind w:firstLineChars="83" w:firstLine="149"/>
        <w:rPr>
          <w:sz w:val="18"/>
          <w:szCs w:val="18"/>
        </w:rPr>
      </w:pPr>
      <w:r w:rsidRPr="007F7EE4">
        <w:rPr>
          <w:rFonts w:hint="eastAsia"/>
          <w:sz w:val="18"/>
          <w:szCs w:val="18"/>
        </w:rPr>
        <w:lastRenderedPageBreak/>
        <w:t xml:space="preserve">[41] </w:t>
      </w:r>
      <w:r w:rsidRPr="007F7EE4">
        <w:rPr>
          <w:rFonts w:hint="eastAsia"/>
          <w:sz w:val="18"/>
          <w:szCs w:val="18"/>
        </w:rPr>
        <w:t>凌鸿程</w:t>
      </w:r>
      <w:r w:rsidRPr="007F7EE4">
        <w:rPr>
          <w:rFonts w:hint="eastAsia"/>
          <w:sz w:val="18"/>
          <w:szCs w:val="18"/>
        </w:rPr>
        <w:t>,</w:t>
      </w:r>
      <w:r w:rsidRPr="007F7EE4">
        <w:rPr>
          <w:rFonts w:hint="eastAsia"/>
          <w:sz w:val="18"/>
          <w:szCs w:val="18"/>
        </w:rPr>
        <w:t>孙怡龙</w:t>
      </w:r>
      <w:r w:rsidRPr="007F7EE4">
        <w:rPr>
          <w:rFonts w:hint="eastAsia"/>
          <w:sz w:val="18"/>
          <w:szCs w:val="18"/>
        </w:rPr>
        <w:t>.</w:t>
      </w:r>
      <w:r w:rsidRPr="007F7EE4">
        <w:rPr>
          <w:rFonts w:hint="eastAsia"/>
          <w:sz w:val="18"/>
          <w:szCs w:val="18"/>
        </w:rPr>
        <w:t>社会信任提高了企业创新能力吗</w:t>
      </w:r>
      <w:r w:rsidRPr="007F7EE4">
        <w:rPr>
          <w:rFonts w:hint="eastAsia"/>
          <w:sz w:val="18"/>
          <w:szCs w:val="18"/>
        </w:rPr>
        <w:t>?[J].</w:t>
      </w:r>
      <w:r w:rsidRPr="007F7EE4">
        <w:rPr>
          <w:rFonts w:hint="eastAsia"/>
          <w:sz w:val="18"/>
          <w:szCs w:val="18"/>
        </w:rPr>
        <w:t>科学学研究</w:t>
      </w:r>
      <w:r w:rsidRPr="007F7EE4">
        <w:rPr>
          <w:rFonts w:hint="eastAsia"/>
          <w:sz w:val="18"/>
          <w:szCs w:val="18"/>
        </w:rPr>
        <w:t>,2019,37(10):1912-1920.</w:t>
      </w:r>
    </w:p>
    <w:p w14:paraId="05AD9FA7" w14:textId="77777777" w:rsidR="00D45CD8" w:rsidRPr="007F7EE4" w:rsidRDefault="00AC3F08">
      <w:pPr>
        <w:ind w:firstLineChars="83" w:firstLine="149"/>
        <w:rPr>
          <w:sz w:val="18"/>
          <w:szCs w:val="18"/>
        </w:rPr>
      </w:pPr>
      <w:r w:rsidRPr="007F7EE4">
        <w:rPr>
          <w:rFonts w:hint="eastAsia"/>
          <w:sz w:val="18"/>
          <w:szCs w:val="18"/>
        </w:rPr>
        <w:t xml:space="preserve">[42] </w:t>
      </w:r>
      <w:r w:rsidRPr="007F7EE4">
        <w:rPr>
          <w:rFonts w:hint="eastAsia"/>
          <w:sz w:val="18"/>
          <w:szCs w:val="18"/>
        </w:rPr>
        <w:t>苏媛</w:t>
      </w:r>
      <w:r w:rsidRPr="007F7EE4">
        <w:rPr>
          <w:rFonts w:hint="eastAsia"/>
          <w:sz w:val="18"/>
          <w:szCs w:val="18"/>
        </w:rPr>
        <w:t>,</w:t>
      </w:r>
      <w:r w:rsidRPr="007F7EE4">
        <w:rPr>
          <w:rFonts w:hint="eastAsia"/>
          <w:sz w:val="18"/>
          <w:szCs w:val="18"/>
        </w:rPr>
        <w:t>李广培</w:t>
      </w:r>
      <w:r w:rsidRPr="007F7EE4">
        <w:rPr>
          <w:rFonts w:hint="eastAsia"/>
          <w:sz w:val="18"/>
          <w:szCs w:val="18"/>
        </w:rPr>
        <w:t>.</w:t>
      </w:r>
      <w:r w:rsidRPr="007F7EE4">
        <w:rPr>
          <w:rFonts w:hint="eastAsia"/>
          <w:sz w:val="18"/>
          <w:szCs w:val="18"/>
        </w:rPr>
        <w:t>绿色技术创新能力、产品差异化与企业竞争力——基于节能环保产业上市公司的分析</w:t>
      </w:r>
      <w:r w:rsidRPr="007F7EE4">
        <w:rPr>
          <w:rFonts w:hint="eastAsia"/>
          <w:sz w:val="18"/>
          <w:szCs w:val="18"/>
        </w:rPr>
        <w:t>[J].</w:t>
      </w:r>
      <w:r w:rsidRPr="007F7EE4">
        <w:rPr>
          <w:rFonts w:hint="eastAsia"/>
          <w:sz w:val="18"/>
          <w:szCs w:val="18"/>
        </w:rPr>
        <w:t>中国管理科学</w:t>
      </w:r>
      <w:r w:rsidRPr="007F7EE4">
        <w:rPr>
          <w:rFonts w:hint="eastAsia"/>
          <w:sz w:val="18"/>
          <w:szCs w:val="18"/>
        </w:rPr>
        <w:t>,2021,29(04):46-56.</w:t>
      </w:r>
    </w:p>
    <w:p w14:paraId="70D28C47" w14:textId="77777777" w:rsidR="00D45CD8" w:rsidRPr="007F7EE4" w:rsidRDefault="00AC3F08">
      <w:pPr>
        <w:ind w:firstLineChars="83" w:firstLine="149"/>
        <w:rPr>
          <w:sz w:val="18"/>
          <w:szCs w:val="18"/>
        </w:rPr>
      </w:pPr>
      <w:r w:rsidRPr="007F7EE4">
        <w:rPr>
          <w:rFonts w:hint="eastAsia"/>
          <w:sz w:val="18"/>
          <w:szCs w:val="18"/>
        </w:rPr>
        <w:t xml:space="preserve">[43] </w:t>
      </w:r>
      <w:r w:rsidRPr="007F7EE4">
        <w:rPr>
          <w:rFonts w:hint="eastAsia"/>
          <w:sz w:val="18"/>
          <w:szCs w:val="18"/>
        </w:rPr>
        <w:t>于芝麦</w:t>
      </w:r>
      <w:r w:rsidRPr="007F7EE4">
        <w:rPr>
          <w:rFonts w:hint="eastAsia"/>
          <w:sz w:val="18"/>
          <w:szCs w:val="18"/>
        </w:rPr>
        <w:t>.</w:t>
      </w:r>
      <w:r w:rsidRPr="007F7EE4">
        <w:rPr>
          <w:rFonts w:hint="eastAsia"/>
          <w:sz w:val="18"/>
          <w:szCs w:val="18"/>
        </w:rPr>
        <w:t>环保约谈、政府环保补助与企业绿色创新</w:t>
      </w:r>
      <w:r w:rsidRPr="007F7EE4">
        <w:rPr>
          <w:rFonts w:hint="eastAsia"/>
          <w:sz w:val="18"/>
          <w:szCs w:val="18"/>
        </w:rPr>
        <w:t>[J/OL].</w:t>
      </w:r>
      <w:r w:rsidRPr="007F7EE4">
        <w:rPr>
          <w:rFonts w:hint="eastAsia"/>
          <w:sz w:val="18"/>
          <w:szCs w:val="18"/>
        </w:rPr>
        <w:t>外国经济与管理</w:t>
      </w:r>
      <w:r w:rsidRPr="007F7EE4">
        <w:rPr>
          <w:rFonts w:hint="eastAsia"/>
          <w:sz w:val="18"/>
          <w:szCs w:val="18"/>
        </w:rPr>
        <w:t>:1-16[2021-05-15].</w:t>
      </w:r>
      <w:r w:rsidRPr="007F7EE4">
        <w:rPr>
          <w:sz w:val="18"/>
          <w:szCs w:val="18"/>
        </w:rPr>
        <w:t xml:space="preserve"> </w:t>
      </w:r>
      <w:r w:rsidRPr="007F7EE4">
        <w:rPr>
          <w:rFonts w:hint="eastAsia"/>
          <w:sz w:val="18"/>
          <w:szCs w:val="18"/>
        </w:rPr>
        <w:t>https://doi.org/10.16538/j.cnki.fem.20210508.201.</w:t>
      </w:r>
    </w:p>
    <w:p w14:paraId="585C6BFD" w14:textId="77777777" w:rsidR="00D45CD8" w:rsidRPr="007F7EE4" w:rsidRDefault="00AC3F08">
      <w:pPr>
        <w:ind w:firstLineChars="83" w:firstLine="149"/>
        <w:rPr>
          <w:sz w:val="18"/>
          <w:szCs w:val="18"/>
        </w:rPr>
      </w:pPr>
      <w:r w:rsidRPr="007F7EE4">
        <w:rPr>
          <w:rFonts w:hint="eastAsia"/>
          <w:sz w:val="18"/>
          <w:szCs w:val="18"/>
        </w:rPr>
        <w:t xml:space="preserve">[44] </w:t>
      </w:r>
      <w:r w:rsidRPr="007F7EE4">
        <w:rPr>
          <w:rFonts w:hint="eastAsia"/>
          <w:sz w:val="18"/>
          <w:szCs w:val="18"/>
        </w:rPr>
        <w:t>沈洪涛</w:t>
      </w:r>
      <w:r w:rsidRPr="007F7EE4">
        <w:rPr>
          <w:rFonts w:hint="eastAsia"/>
          <w:sz w:val="18"/>
          <w:szCs w:val="18"/>
        </w:rPr>
        <w:t xml:space="preserve">, </w:t>
      </w:r>
      <w:r w:rsidRPr="007F7EE4">
        <w:rPr>
          <w:rFonts w:hint="eastAsia"/>
          <w:sz w:val="18"/>
          <w:szCs w:val="18"/>
        </w:rPr>
        <w:t>周艳坤</w:t>
      </w:r>
      <w:r w:rsidRPr="007F7EE4">
        <w:rPr>
          <w:rFonts w:hint="eastAsia"/>
          <w:sz w:val="18"/>
          <w:szCs w:val="18"/>
        </w:rPr>
        <w:t xml:space="preserve">. </w:t>
      </w:r>
      <w:r w:rsidRPr="007F7EE4">
        <w:rPr>
          <w:rFonts w:hint="eastAsia"/>
          <w:sz w:val="18"/>
          <w:szCs w:val="18"/>
        </w:rPr>
        <w:t>环境执法监督与企业环境绩效</w:t>
      </w:r>
      <w:r w:rsidRPr="007F7EE4">
        <w:rPr>
          <w:rFonts w:hint="eastAsia"/>
          <w:sz w:val="18"/>
          <w:szCs w:val="18"/>
        </w:rPr>
        <w:t xml:space="preserve">: </w:t>
      </w:r>
      <w:r w:rsidRPr="007F7EE4">
        <w:rPr>
          <w:rFonts w:hint="eastAsia"/>
          <w:sz w:val="18"/>
          <w:szCs w:val="18"/>
        </w:rPr>
        <w:t>来自环保约谈的准自然实验证据</w:t>
      </w:r>
      <w:r w:rsidRPr="007F7EE4">
        <w:rPr>
          <w:rFonts w:hint="eastAsia"/>
          <w:sz w:val="18"/>
          <w:szCs w:val="18"/>
        </w:rPr>
        <w:t xml:space="preserve">[J]. </w:t>
      </w:r>
      <w:r w:rsidRPr="007F7EE4">
        <w:rPr>
          <w:rFonts w:hint="eastAsia"/>
          <w:sz w:val="18"/>
          <w:szCs w:val="18"/>
        </w:rPr>
        <w:t>南开管理评论</w:t>
      </w:r>
      <w:r w:rsidRPr="007F7EE4">
        <w:rPr>
          <w:rFonts w:hint="eastAsia"/>
          <w:sz w:val="18"/>
          <w:szCs w:val="18"/>
        </w:rPr>
        <w:t>,2017, 20(6): 73-82.</w:t>
      </w:r>
    </w:p>
    <w:p w14:paraId="6CA7ADD6" w14:textId="77777777" w:rsidR="00D45CD8" w:rsidRPr="007F7EE4" w:rsidRDefault="00AC3F08">
      <w:pPr>
        <w:ind w:firstLineChars="83" w:firstLine="149"/>
        <w:rPr>
          <w:sz w:val="18"/>
          <w:szCs w:val="18"/>
        </w:rPr>
      </w:pPr>
      <w:r w:rsidRPr="007F7EE4">
        <w:rPr>
          <w:rFonts w:hint="eastAsia"/>
          <w:sz w:val="18"/>
          <w:szCs w:val="18"/>
        </w:rPr>
        <w:t xml:space="preserve">[45] </w:t>
      </w:r>
      <w:r w:rsidRPr="007F7EE4">
        <w:rPr>
          <w:rFonts w:hint="eastAsia"/>
          <w:sz w:val="18"/>
          <w:szCs w:val="18"/>
        </w:rPr>
        <w:t>王小鲁</w:t>
      </w:r>
      <w:r w:rsidRPr="007F7EE4">
        <w:rPr>
          <w:rFonts w:hint="eastAsia"/>
          <w:sz w:val="18"/>
          <w:szCs w:val="18"/>
        </w:rPr>
        <w:t>,</w:t>
      </w:r>
      <w:r w:rsidRPr="007F7EE4">
        <w:rPr>
          <w:rFonts w:hint="eastAsia"/>
          <w:sz w:val="18"/>
          <w:szCs w:val="18"/>
        </w:rPr>
        <w:t>樊纲</w:t>
      </w:r>
      <w:r w:rsidRPr="007F7EE4">
        <w:rPr>
          <w:rFonts w:hint="eastAsia"/>
          <w:sz w:val="18"/>
          <w:szCs w:val="18"/>
        </w:rPr>
        <w:t>,</w:t>
      </w:r>
      <w:r w:rsidRPr="007F7EE4">
        <w:rPr>
          <w:rFonts w:hint="eastAsia"/>
          <w:sz w:val="18"/>
          <w:szCs w:val="18"/>
        </w:rPr>
        <w:t>余静文</w:t>
      </w:r>
      <w:r w:rsidRPr="007F7EE4">
        <w:rPr>
          <w:rFonts w:hint="eastAsia"/>
          <w:sz w:val="18"/>
          <w:szCs w:val="18"/>
        </w:rPr>
        <w:t>.</w:t>
      </w:r>
      <w:r w:rsidRPr="007F7EE4">
        <w:rPr>
          <w:rFonts w:hint="eastAsia"/>
          <w:sz w:val="18"/>
          <w:szCs w:val="18"/>
        </w:rPr>
        <w:t>中国分省份市场化指数报告</w:t>
      </w:r>
      <w:r w:rsidRPr="007F7EE4">
        <w:rPr>
          <w:rFonts w:hint="eastAsia"/>
          <w:sz w:val="18"/>
          <w:szCs w:val="18"/>
        </w:rPr>
        <w:t xml:space="preserve">(2018)[M]. </w:t>
      </w:r>
      <w:r w:rsidRPr="007F7EE4">
        <w:rPr>
          <w:rFonts w:hint="eastAsia"/>
          <w:sz w:val="18"/>
          <w:szCs w:val="18"/>
        </w:rPr>
        <w:t>北京</w:t>
      </w:r>
      <w:r w:rsidRPr="007F7EE4">
        <w:rPr>
          <w:rFonts w:hint="eastAsia"/>
          <w:sz w:val="18"/>
          <w:szCs w:val="18"/>
        </w:rPr>
        <w:t>:</w:t>
      </w:r>
      <w:r w:rsidRPr="007F7EE4">
        <w:rPr>
          <w:rFonts w:hint="eastAsia"/>
          <w:sz w:val="18"/>
          <w:szCs w:val="18"/>
        </w:rPr>
        <w:t>社会科学文献出版社</w:t>
      </w:r>
      <w:r w:rsidRPr="007F7EE4">
        <w:rPr>
          <w:rFonts w:hint="eastAsia"/>
          <w:sz w:val="18"/>
          <w:szCs w:val="18"/>
        </w:rPr>
        <w:t>,2019.</w:t>
      </w:r>
    </w:p>
    <w:p w14:paraId="77C4DE47" w14:textId="77777777" w:rsidR="00D45CD8" w:rsidRPr="007F7EE4" w:rsidRDefault="00AC3F08">
      <w:pPr>
        <w:ind w:firstLineChars="83" w:firstLine="149"/>
        <w:rPr>
          <w:sz w:val="18"/>
          <w:szCs w:val="18"/>
        </w:rPr>
      </w:pPr>
      <w:r w:rsidRPr="007F7EE4">
        <w:rPr>
          <w:rFonts w:hint="eastAsia"/>
          <w:sz w:val="18"/>
          <w:szCs w:val="18"/>
        </w:rPr>
        <w:t xml:space="preserve">[46] </w:t>
      </w:r>
      <w:r w:rsidRPr="007F7EE4">
        <w:rPr>
          <w:rFonts w:hint="eastAsia"/>
          <w:sz w:val="18"/>
          <w:szCs w:val="18"/>
        </w:rPr>
        <w:t>阳镇</w:t>
      </w:r>
      <w:r w:rsidRPr="007F7EE4">
        <w:rPr>
          <w:rFonts w:hint="eastAsia"/>
          <w:sz w:val="18"/>
          <w:szCs w:val="18"/>
        </w:rPr>
        <w:t>,</w:t>
      </w:r>
      <w:r w:rsidRPr="007F7EE4">
        <w:rPr>
          <w:rFonts w:hint="eastAsia"/>
          <w:sz w:val="18"/>
          <w:szCs w:val="18"/>
        </w:rPr>
        <w:t>陈劲</w:t>
      </w:r>
      <w:r w:rsidRPr="007F7EE4">
        <w:rPr>
          <w:rFonts w:hint="eastAsia"/>
          <w:sz w:val="18"/>
          <w:szCs w:val="18"/>
        </w:rPr>
        <w:t>.</w:t>
      </w:r>
      <w:r w:rsidRPr="007F7EE4">
        <w:rPr>
          <w:rFonts w:hint="eastAsia"/>
          <w:sz w:val="18"/>
          <w:szCs w:val="18"/>
        </w:rPr>
        <w:t>平台情境下的可持续性商业模式</w:t>
      </w:r>
      <w:r w:rsidRPr="007F7EE4">
        <w:rPr>
          <w:rFonts w:hint="eastAsia"/>
          <w:sz w:val="18"/>
          <w:szCs w:val="18"/>
        </w:rPr>
        <w:t>:</w:t>
      </w:r>
      <w:r w:rsidRPr="007F7EE4">
        <w:rPr>
          <w:rFonts w:hint="eastAsia"/>
          <w:sz w:val="18"/>
          <w:szCs w:val="18"/>
        </w:rPr>
        <w:t>逻辑与实现</w:t>
      </w:r>
      <w:r w:rsidRPr="007F7EE4">
        <w:rPr>
          <w:rFonts w:hint="eastAsia"/>
          <w:sz w:val="18"/>
          <w:szCs w:val="18"/>
        </w:rPr>
        <w:t>[J].</w:t>
      </w:r>
      <w:r w:rsidRPr="007F7EE4">
        <w:rPr>
          <w:rFonts w:hint="eastAsia"/>
          <w:sz w:val="18"/>
          <w:szCs w:val="18"/>
        </w:rPr>
        <w:t>科学学与科学技术管理</w:t>
      </w:r>
      <w:r w:rsidRPr="007F7EE4">
        <w:rPr>
          <w:rFonts w:hint="eastAsia"/>
          <w:sz w:val="18"/>
          <w:szCs w:val="18"/>
        </w:rPr>
        <w:t>,2021,42(02):59-76.</w:t>
      </w:r>
    </w:p>
    <w:p w14:paraId="56904D97" w14:textId="77777777" w:rsidR="00D45CD8" w:rsidRPr="007F7EE4" w:rsidRDefault="00D45CD8">
      <w:pPr>
        <w:ind w:firstLineChars="83" w:firstLine="174"/>
      </w:pPr>
    </w:p>
    <w:p w14:paraId="78FD872C" w14:textId="77777777" w:rsidR="00D45CD8" w:rsidRPr="007F7EE4" w:rsidRDefault="00D45CD8">
      <w:pPr>
        <w:ind w:firstLineChars="83" w:firstLine="174"/>
      </w:pPr>
    </w:p>
    <w:p w14:paraId="3137A3B6" w14:textId="77777777" w:rsidR="00D45CD8" w:rsidRPr="007F7EE4" w:rsidRDefault="00AC3F08">
      <w:pPr>
        <w:pStyle w:val="Abstract"/>
        <w:ind w:rightChars="202" w:right="424" w:firstLineChars="118" w:firstLine="379"/>
        <w:jc w:val="center"/>
        <w:rPr>
          <w:rFonts w:cstheme="minorBidi"/>
          <w:b/>
          <w:sz w:val="32"/>
          <w:szCs w:val="32"/>
        </w:rPr>
      </w:pPr>
      <w:r w:rsidRPr="007F7EE4">
        <w:rPr>
          <w:rFonts w:cstheme="minorBidi"/>
          <w:b/>
          <w:sz w:val="32"/>
          <w:szCs w:val="32"/>
        </w:rPr>
        <w:t xml:space="preserve">Does corporate social responsibility have the effect </w:t>
      </w:r>
      <w:r w:rsidRPr="007F7EE4">
        <w:rPr>
          <w:rFonts w:cstheme="minorBidi" w:hint="eastAsia"/>
          <w:b/>
          <w:sz w:val="32"/>
          <w:szCs w:val="32"/>
        </w:rPr>
        <w:t>on</w:t>
      </w:r>
      <w:r w:rsidRPr="007F7EE4">
        <w:rPr>
          <w:rFonts w:cstheme="minorBidi"/>
          <w:b/>
          <w:sz w:val="32"/>
          <w:szCs w:val="32"/>
        </w:rPr>
        <w:t xml:space="preserve"> green innovation?</w:t>
      </w:r>
    </w:p>
    <w:p w14:paraId="3E90595B" w14:textId="77777777" w:rsidR="00D45CD8" w:rsidRPr="007F7EE4" w:rsidRDefault="00AC3F08">
      <w:pPr>
        <w:pStyle w:val="Abstract"/>
        <w:ind w:rightChars="202" w:right="424" w:firstLineChars="118" w:firstLine="213"/>
      </w:pPr>
      <w:r w:rsidRPr="007F7EE4">
        <w:rPr>
          <w:rFonts w:cs="Times New Roman"/>
          <w:b/>
        </w:rPr>
        <w:t>Abstract</w:t>
      </w:r>
      <w:r w:rsidRPr="007F7EE4">
        <w:rPr>
          <w:rFonts w:cs="Times New Roman"/>
          <w:b/>
        </w:rPr>
        <w:t>：</w:t>
      </w:r>
      <w:r w:rsidRPr="007F7EE4">
        <w:t xml:space="preserve"> </w:t>
      </w:r>
      <w:r w:rsidRPr="007F7EE4">
        <w:rPr>
          <w:rFonts w:hint="eastAsia"/>
        </w:rPr>
        <w:t>G</w:t>
      </w:r>
      <w:r w:rsidRPr="007F7EE4">
        <w:t xml:space="preserve">reen development is an important development concept in the new development stage. Green technology innovation is an important strategic guidance to achieve high-quality development in the transformation period of innovation driven development at the enterprise level, and an important way to realize the symbiotic and integrated development of enterprises and social environment. This paper empirically analyzes the impact of corporate social responsibility on green technology innovation and its internal mechanism and examines the regulatory and normative legitimacy pressure of media attention as an external institutional environment on the regulatory effect between corporate social responsibility and green technology innovation. The results show that: (1) corporate social responsibility has a significant </w:t>
      </w:r>
      <w:r w:rsidRPr="007F7EE4">
        <w:rPr>
          <w:rFonts w:hint="eastAsia"/>
        </w:rPr>
        <w:t>positive</w:t>
      </w:r>
      <w:r w:rsidRPr="007F7EE4">
        <w:t xml:space="preserve"> effect on enterprise green technology innovation. The promotion effect of distinguishing enterprise green patent application and green patent authorization still exists. Considering t</w:t>
      </w:r>
      <w:r w:rsidRPr="007F7EE4">
        <w:rPr>
          <w:rFonts w:hint="eastAsia"/>
        </w:rPr>
        <w:t>he endogeneity, the conclusion is still valid.</w:t>
      </w:r>
      <w:r w:rsidRPr="007F7EE4">
        <w:t xml:space="preserve"> </w:t>
      </w:r>
      <w:r w:rsidRPr="007F7EE4">
        <w:rPr>
          <w:rFonts w:hint="eastAsia"/>
        </w:rPr>
        <w:t xml:space="preserve">(2) Media attention has a significant positive moderating effect between corporate social responsibility and corporate green technology innovation. Whether it is </w:t>
      </w:r>
      <w:r w:rsidRPr="007F7EE4">
        <w:t>policy-oriented</w:t>
      </w:r>
      <w:r w:rsidRPr="007F7EE4">
        <w:rPr>
          <w:rFonts w:hint="eastAsia"/>
        </w:rPr>
        <w:t xml:space="preserve"> media attention or market-oriented media attention, the driving effect of green technology innovation based on corporate social responsibility under the pressure of institutional legitimacy should be significant. </w:t>
      </w:r>
      <w:r w:rsidRPr="007F7EE4">
        <w:t>(</w:t>
      </w:r>
      <w:r w:rsidRPr="007F7EE4">
        <w:rPr>
          <w:rFonts w:hint="eastAsia"/>
        </w:rPr>
        <w:t xml:space="preserve">3) Further mechanism test results show that corporate social </w:t>
      </w:r>
      <w:r w:rsidRPr="007F7EE4">
        <w:t>responsibility mainly promotes corporate green innovation performance by strengthening corporate environmental protection investment, and political connection and external air environment quality produce negative inhibition and positive enhancement effects</w:t>
      </w:r>
      <w:r w:rsidRPr="007F7EE4">
        <w:rPr>
          <w:rFonts w:hint="eastAsia"/>
        </w:rPr>
        <w:t xml:space="preserve"> between corporate social responsibility and corporate green technology innovation respectively</w:t>
      </w:r>
      <w:r w:rsidRPr="007F7EE4">
        <w:t xml:space="preserve">. </w:t>
      </w:r>
      <w:r w:rsidRPr="007F7EE4">
        <w:rPr>
          <w:rFonts w:hint="eastAsia"/>
        </w:rPr>
        <w:t>(4) The results of heterogeneity analysis show that corporate social responsibility is more obvious in the samples with strong executive incentive, mandatory so</w:t>
      </w:r>
      <w:r w:rsidRPr="007F7EE4">
        <w:t>cial responsibility disclosure environment, large-scale enterprises and stronger market-oriented institutional environment. This study provides a new perspective for the systematic promotion of enterprise green technology innovation in the new development stage and provides new experience for clarifying the value effect of corporate social responsibility.</w:t>
      </w:r>
    </w:p>
    <w:p w14:paraId="42C0C28A" w14:textId="77777777" w:rsidR="00D45CD8" w:rsidRPr="007F7EE4" w:rsidRDefault="00AC3F08">
      <w:pPr>
        <w:ind w:firstLine="422"/>
      </w:pPr>
      <w:r w:rsidRPr="007F7EE4">
        <w:rPr>
          <w:b/>
        </w:rPr>
        <w:t>K</w:t>
      </w:r>
      <w:r w:rsidRPr="007F7EE4">
        <w:rPr>
          <w:rFonts w:hint="eastAsia"/>
          <w:b/>
        </w:rPr>
        <w:t>eywords</w:t>
      </w:r>
      <w:r w:rsidRPr="007F7EE4">
        <w:rPr>
          <w:rFonts w:hint="eastAsia"/>
        </w:rPr>
        <w:t>：</w:t>
      </w:r>
      <w:r w:rsidRPr="007F7EE4">
        <w:rPr>
          <w:rFonts w:cs="Arial" w:hint="eastAsia"/>
          <w:sz w:val="18"/>
          <w:szCs w:val="24"/>
        </w:rPr>
        <w:t xml:space="preserve"> </w:t>
      </w:r>
      <w:r w:rsidRPr="007F7EE4">
        <w:rPr>
          <w:rFonts w:cs="Arial"/>
          <w:sz w:val="18"/>
          <w:szCs w:val="24"/>
        </w:rPr>
        <w:t xml:space="preserve">corporate social responsibility </w:t>
      </w:r>
      <w:r w:rsidRPr="007F7EE4">
        <w:rPr>
          <w:rFonts w:cs="Arial" w:hint="eastAsia"/>
          <w:sz w:val="18"/>
          <w:szCs w:val="24"/>
        </w:rPr>
        <w:t>(CSR)</w:t>
      </w:r>
      <w:r w:rsidRPr="007F7EE4">
        <w:rPr>
          <w:rFonts w:cs="Arial"/>
          <w:sz w:val="18"/>
          <w:szCs w:val="24"/>
        </w:rPr>
        <w:t>; Green technology</w:t>
      </w:r>
      <w:r w:rsidRPr="007F7EE4">
        <w:rPr>
          <w:rFonts w:cs="Arial" w:hint="eastAsia"/>
          <w:sz w:val="18"/>
          <w:szCs w:val="24"/>
        </w:rPr>
        <w:t xml:space="preserve"> </w:t>
      </w:r>
      <w:r w:rsidRPr="007F7EE4">
        <w:rPr>
          <w:rFonts w:cs="Arial"/>
          <w:sz w:val="18"/>
          <w:szCs w:val="24"/>
        </w:rPr>
        <w:t>innovation; Media attention; Legitimacy; Environmental protection investment</w:t>
      </w:r>
    </w:p>
    <w:p w14:paraId="77F3F0BC" w14:textId="77777777" w:rsidR="00D45CD8" w:rsidRPr="007F7EE4" w:rsidRDefault="00D45CD8">
      <w:pPr>
        <w:ind w:firstLineChars="83" w:firstLine="174"/>
      </w:pPr>
    </w:p>
    <w:sectPr w:rsidR="00D45CD8" w:rsidRPr="007F7EE4">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35DB" w14:textId="77777777" w:rsidR="002E41C1" w:rsidRDefault="002E41C1" w:rsidP="00D97A12">
      <w:pPr>
        <w:ind w:firstLine="420"/>
      </w:pPr>
      <w:r>
        <w:separator/>
      </w:r>
    </w:p>
  </w:endnote>
  <w:endnote w:type="continuationSeparator" w:id="0">
    <w:p w14:paraId="51C0CF5F" w14:textId="77777777" w:rsidR="002E41C1" w:rsidRDefault="002E41C1" w:rsidP="00D97A1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DY3+ZMUDMa-9">
    <w:altName w:val="Times New Roman"/>
    <w:panose1 w:val="00000000000000000000"/>
    <w:charset w:val="00"/>
    <w:family w:val="roman"/>
    <w:notTrueType/>
    <w:pitch w:val="default"/>
  </w:font>
  <w:font w:name="HTJ0+ZMUDMY-1">
    <w:altName w:val="Times New Roman"/>
    <w:panose1 w:val="00000000000000000000"/>
    <w:charset w:val="00"/>
    <w:family w:val="roman"/>
    <w:notTrueType/>
    <w:pitch w:val="default"/>
  </w:font>
  <w:font w:name="E-BZ+ZMUDMY-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ˎ̥,verdana">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49E8" w14:textId="77777777" w:rsidR="00527644" w:rsidRDefault="00527644">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FE48" w14:textId="77777777" w:rsidR="00527644" w:rsidRDefault="00527644">
    <w:pPr>
      <w:pStyle w:val="a9"/>
      <w:ind w:firstLine="360"/>
    </w:pPr>
    <w:r>
      <w:rPr>
        <w:noProof/>
      </w:rPr>
      <mc:AlternateContent>
        <mc:Choice Requires="wps">
          <w:drawing>
            <wp:anchor distT="0" distB="0" distL="114300" distR="114300" simplePos="0" relativeHeight="251658240" behindDoc="0" locked="0" layoutInCell="1" allowOverlap="1" wp14:anchorId="1DFB77D4" wp14:editId="5330CB3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9245A" w14:textId="77777777" w:rsidR="00527644" w:rsidRDefault="00527644" w:rsidP="00D97A12">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9A302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B77D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A9245A" w14:textId="77777777" w:rsidR="00527644" w:rsidRDefault="00527644" w:rsidP="00D97A12">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9A3020">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BC42" w14:textId="77777777" w:rsidR="00527644" w:rsidRDefault="00527644">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4161" w14:textId="77777777" w:rsidR="002E41C1" w:rsidRDefault="002E41C1" w:rsidP="00D97A12">
      <w:pPr>
        <w:ind w:firstLine="420"/>
      </w:pPr>
      <w:r>
        <w:separator/>
      </w:r>
    </w:p>
  </w:footnote>
  <w:footnote w:type="continuationSeparator" w:id="0">
    <w:p w14:paraId="43035378" w14:textId="77777777" w:rsidR="002E41C1" w:rsidRDefault="002E41C1" w:rsidP="00D97A12">
      <w:pPr>
        <w:ind w:firstLine="420"/>
      </w:pPr>
      <w:r>
        <w:continuationSeparator/>
      </w:r>
    </w:p>
  </w:footnote>
  <w:footnote w:id="1">
    <w:p w14:paraId="11F1F174" w14:textId="77777777" w:rsidR="00527644" w:rsidRDefault="00527644" w:rsidP="00700294">
      <w:pPr>
        <w:pStyle w:val="ad"/>
        <w:ind w:firstLine="360"/>
      </w:pPr>
      <w:r>
        <w:rPr>
          <w:rStyle w:val="af4"/>
        </w:rPr>
        <w:sym w:font="Symbol" w:char="F020"/>
      </w:r>
      <w:r>
        <w:t xml:space="preserve"> </w:t>
      </w:r>
    </w:p>
    <w:p w14:paraId="09C8A026" w14:textId="77777777" w:rsidR="00527644" w:rsidRDefault="00527644" w:rsidP="00D97A12">
      <w:pPr>
        <w:pStyle w:val="ad"/>
        <w:ind w:firstLine="360"/>
      </w:pPr>
    </w:p>
  </w:footnote>
  <w:footnote w:id="2">
    <w:p w14:paraId="70B47D56" w14:textId="77777777" w:rsidR="00527644" w:rsidRDefault="00527644">
      <w:pPr>
        <w:pStyle w:val="ad"/>
        <w:ind w:firstLine="360"/>
      </w:pPr>
      <w:r>
        <w:rPr>
          <w:rStyle w:val="af4"/>
        </w:rPr>
        <w:footnoteRef/>
      </w:r>
      <w:r>
        <w:rPr>
          <w:rFonts w:hint="eastAsia"/>
          <w:sz w:val="15"/>
          <w:szCs w:val="15"/>
        </w:rPr>
        <w:t>组织制度主义的三大合法性支柱理论解释了组织为何同型，其内在原因在于制度环境的合法性压力存在三类，分别是模仿同构、规范同构与认知同构。</w:t>
      </w:r>
    </w:p>
  </w:footnote>
  <w:footnote w:id="3">
    <w:p w14:paraId="57393A89" w14:textId="77777777" w:rsidR="00527644" w:rsidRDefault="00527644">
      <w:pPr>
        <w:pStyle w:val="ad"/>
        <w:ind w:firstLine="360"/>
      </w:pPr>
      <w:r>
        <w:rPr>
          <w:rStyle w:val="af4"/>
        </w:rPr>
        <w:footnoteRef/>
      </w:r>
      <w:r>
        <w:t xml:space="preserve"> </w:t>
      </w:r>
      <w:r>
        <w:rPr>
          <w:sz w:val="15"/>
          <w:szCs w:val="15"/>
        </w:rPr>
        <w:t>和讯网企业社会责任评级</w:t>
      </w:r>
      <w:r>
        <w:rPr>
          <w:rFonts w:hint="eastAsia"/>
          <w:sz w:val="15"/>
          <w:szCs w:val="15"/>
        </w:rPr>
        <w:t>从股东责任、员工责任、供应商、客户和消费者权益责任、环境责任和社会责任五项考察，各项分别设立二级和三级指标对社会责任进行全面的评价。其中涉及二级指标</w:t>
      </w:r>
      <w:r>
        <w:rPr>
          <w:rFonts w:hint="eastAsia"/>
          <w:sz w:val="15"/>
          <w:szCs w:val="15"/>
        </w:rPr>
        <w:t>13</w:t>
      </w:r>
      <w:r>
        <w:rPr>
          <w:rFonts w:hint="eastAsia"/>
          <w:sz w:val="15"/>
          <w:szCs w:val="15"/>
        </w:rPr>
        <w:t>个，三级指标</w:t>
      </w:r>
      <w:r>
        <w:rPr>
          <w:rFonts w:hint="eastAsia"/>
          <w:sz w:val="15"/>
          <w:szCs w:val="15"/>
        </w:rPr>
        <w:t>37</w:t>
      </w:r>
      <w:r>
        <w:rPr>
          <w:rFonts w:hint="eastAsia"/>
          <w:sz w:val="15"/>
          <w:szCs w:val="15"/>
        </w:rPr>
        <w:t>个。进而从企业运营管理过程中面对的多元利益相关方的视角全面的反映企业对股东以及股东之外的经济性与社会性利益相关方的综合责任。</w:t>
      </w:r>
    </w:p>
  </w:footnote>
  <w:footnote w:id="4">
    <w:p w14:paraId="498781FF" w14:textId="77777777" w:rsidR="00527644" w:rsidRDefault="00527644">
      <w:pPr>
        <w:pStyle w:val="ad"/>
        <w:ind w:firstLine="360"/>
      </w:pPr>
      <w:r>
        <w:rPr>
          <w:rStyle w:val="af4"/>
        </w:rPr>
        <w:footnoteRef/>
      </w:r>
      <w:r>
        <w:t xml:space="preserve"> </w:t>
      </w:r>
      <w:r>
        <w:rPr>
          <w:rFonts w:hint="eastAsia"/>
          <w:sz w:val="15"/>
          <w:szCs w:val="15"/>
        </w:rPr>
        <w:t>考虑到篇幅限制，本文对相关性结果检验表的相关数据供感兴趣的读者备索。</w:t>
      </w:r>
    </w:p>
  </w:footnote>
  <w:footnote w:id="5">
    <w:p w14:paraId="6E92E083" w14:textId="77777777" w:rsidR="006E62E6" w:rsidRPr="006E62E6" w:rsidRDefault="006E62E6" w:rsidP="006E62E6">
      <w:pPr>
        <w:pStyle w:val="ad"/>
        <w:ind w:firstLine="360"/>
      </w:pPr>
      <w:r>
        <w:rPr>
          <w:rStyle w:val="af4"/>
        </w:rPr>
        <w:footnoteRef/>
      </w:r>
      <w:r>
        <w:t xml:space="preserve"> </w:t>
      </w:r>
      <w:r>
        <w:rPr>
          <w:rFonts w:hint="eastAsia"/>
        </w:rPr>
        <w:t>考虑到篇幅所限，基于</w:t>
      </w:r>
      <w:r w:rsidR="00F81A6B" w:rsidRPr="00F81A6B">
        <w:rPr>
          <w:rFonts w:hint="eastAsia"/>
        </w:rPr>
        <w:t>Bootstrap</w:t>
      </w:r>
      <w:r w:rsidR="00F81A6B" w:rsidRPr="00F81A6B">
        <w:rPr>
          <w:rFonts w:hint="eastAsia"/>
        </w:rPr>
        <w:t>法</w:t>
      </w:r>
      <w:r w:rsidR="00F81A6B">
        <w:rPr>
          <w:rFonts w:hint="eastAsia"/>
        </w:rPr>
        <w:t>的</w:t>
      </w:r>
      <w:r>
        <w:rPr>
          <w:rFonts w:hint="eastAsia"/>
        </w:rPr>
        <w:t>中介效应检验结果供读者备索。</w:t>
      </w:r>
    </w:p>
  </w:footnote>
  <w:footnote w:id="6">
    <w:p w14:paraId="13BBE95E" w14:textId="77777777" w:rsidR="00527644" w:rsidRDefault="00527644">
      <w:pPr>
        <w:pStyle w:val="ad"/>
        <w:ind w:firstLine="360"/>
      </w:pPr>
      <w:r>
        <w:rPr>
          <w:rStyle w:val="af4"/>
        </w:rPr>
        <w:footnoteRef/>
      </w:r>
      <w:r>
        <w:t xml:space="preserve"> </w:t>
      </w:r>
      <w:r>
        <w:rPr>
          <w:rFonts w:hint="eastAsia"/>
          <w:sz w:val="15"/>
          <w:szCs w:val="15"/>
        </w:rPr>
        <w:t>考虑到篇幅所限，中介机制与调节机制的稳健性检验结果供读者备索。</w:t>
      </w:r>
    </w:p>
  </w:footnote>
  <w:footnote w:id="7">
    <w:p w14:paraId="2AF484A8" w14:textId="77777777" w:rsidR="00527644" w:rsidRDefault="00527644">
      <w:pPr>
        <w:pStyle w:val="ad"/>
        <w:ind w:firstLine="360"/>
      </w:pPr>
      <w:r>
        <w:rPr>
          <w:rStyle w:val="af4"/>
        </w:rPr>
        <w:footnoteRef/>
      </w:r>
      <w:r>
        <w:rPr>
          <w:rFonts w:hint="eastAsia"/>
          <w:sz w:val="15"/>
          <w:szCs w:val="15"/>
        </w:rPr>
        <w:t>中国证监会是资本市场中上市公司运营管理最重要的法律监督机构。中国证监会处罚上市基于机会主义倾向衍生的企业社会责任缺失行为，诸如财务造假、欺诈、操纵股价、非法担保等行为，确保上市公司能够对企业利益相关方如股东、投资者以及社会真正负责任，促进资本市场的健康可持续发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F3CC" w14:textId="77777777" w:rsidR="00527644" w:rsidRDefault="0052764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3C41" w14:textId="77777777" w:rsidR="00527644" w:rsidRDefault="00527644">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BBF" w14:textId="77777777" w:rsidR="00527644" w:rsidRDefault="0052764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47DC"/>
    <w:multiLevelType w:val="multilevel"/>
    <w:tmpl w:val="108147DC"/>
    <w:lvl w:ilvl="0">
      <w:start w:val="1"/>
      <w:numFmt w:val="decimal"/>
      <w:pStyle w:val="TableCHeading"/>
      <w:lvlText w:val="表 %1"/>
      <w:lvlJc w:val="left"/>
      <w:pPr>
        <w:tabs>
          <w:tab w:val="left" w:pos="840"/>
        </w:tabs>
        <w:ind w:left="840" w:hanging="42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B364F4A"/>
    <w:multiLevelType w:val="multilevel"/>
    <w:tmpl w:val="6B364F4A"/>
    <w:lvl w:ilvl="0">
      <w:start w:val="1"/>
      <w:numFmt w:val="decimal"/>
      <w:pStyle w:val="TableEHeading"/>
      <w:lvlText w:val="Tab.%1"/>
      <w:lvlJc w:val="left"/>
      <w:pPr>
        <w:tabs>
          <w:tab w:val="left" w:pos="720"/>
        </w:tabs>
        <w:ind w:left="0" w:firstLine="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90785424">
    <w:abstractNumId w:val="1"/>
  </w:num>
  <w:num w:numId="2" w16cid:durableId="171731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A3"/>
    <w:rsid w:val="0000439C"/>
    <w:rsid w:val="0000723E"/>
    <w:rsid w:val="0001364C"/>
    <w:rsid w:val="00015589"/>
    <w:rsid w:val="0001597C"/>
    <w:rsid w:val="00016E3E"/>
    <w:rsid w:val="00017D4E"/>
    <w:rsid w:val="000231A3"/>
    <w:rsid w:val="00023AFE"/>
    <w:rsid w:val="00025065"/>
    <w:rsid w:val="00025643"/>
    <w:rsid w:val="0003019E"/>
    <w:rsid w:val="000346A2"/>
    <w:rsid w:val="00035CBC"/>
    <w:rsid w:val="00043F12"/>
    <w:rsid w:val="000468DE"/>
    <w:rsid w:val="000520D2"/>
    <w:rsid w:val="000528DA"/>
    <w:rsid w:val="0005584A"/>
    <w:rsid w:val="00055E1B"/>
    <w:rsid w:val="0007600F"/>
    <w:rsid w:val="00077398"/>
    <w:rsid w:val="00083333"/>
    <w:rsid w:val="0008643F"/>
    <w:rsid w:val="00091CC4"/>
    <w:rsid w:val="00092763"/>
    <w:rsid w:val="00092D4B"/>
    <w:rsid w:val="000937D3"/>
    <w:rsid w:val="000945CD"/>
    <w:rsid w:val="00096F2B"/>
    <w:rsid w:val="000B357A"/>
    <w:rsid w:val="000B4CBF"/>
    <w:rsid w:val="000C08A0"/>
    <w:rsid w:val="000C2686"/>
    <w:rsid w:val="000D0A85"/>
    <w:rsid w:val="000E2446"/>
    <w:rsid w:val="000E49CE"/>
    <w:rsid w:val="000F2336"/>
    <w:rsid w:val="000F264C"/>
    <w:rsid w:val="000F48FE"/>
    <w:rsid w:val="000F582E"/>
    <w:rsid w:val="000F638B"/>
    <w:rsid w:val="000F6574"/>
    <w:rsid w:val="000F7F81"/>
    <w:rsid w:val="00104482"/>
    <w:rsid w:val="00105F04"/>
    <w:rsid w:val="00114081"/>
    <w:rsid w:val="001202F1"/>
    <w:rsid w:val="001220E8"/>
    <w:rsid w:val="00124E31"/>
    <w:rsid w:val="00126C61"/>
    <w:rsid w:val="0013318E"/>
    <w:rsid w:val="00146D01"/>
    <w:rsid w:val="001526F9"/>
    <w:rsid w:val="00155A04"/>
    <w:rsid w:val="0015602D"/>
    <w:rsid w:val="0016150D"/>
    <w:rsid w:val="00162D21"/>
    <w:rsid w:val="00163351"/>
    <w:rsid w:val="00174568"/>
    <w:rsid w:val="00183274"/>
    <w:rsid w:val="00190D49"/>
    <w:rsid w:val="001929F7"/>
    <w:rsid w:val="00195195"/>
    <w:rsid w:val="001A1E83"/>
    <w:rsid w:val="001A4973"/>
    <w:rsid w:val="001B14B8"/>
    <w:rsid w:val="001B1ABC"/>
    <w:rsid w:val="001C4465"/>
    <w:rsid w:val="001C4F41"/>
    <w:rsid w:val="001D7615"/>
    <w:rsid w:val="001E3F9B"/>
    <w:rsid w:val="001E486F"/>
    <w:rsid w:val="001F0DBF"/>
    <w:rsid w:val="001F2CA0"/>
    <w:rsid w:val="001F5254"/>
    <w:rsid w:val="001F79D3"/>
    <w:rsid w:val="002040F5"/>
    <w:rsid w:val="00205D83"/>
    <w:rsid w:val="002070C7"/>
    <w:rsid w:val="00210C86"/>
    <w:rsid w:val="002117C3"/>
    <w:rsid w:val="00212863"/>
    <w:rsid w:val="002137BA"/>
    <w:rsid w:val="00215A24"/>
    <w:rsid w:val="00222A70"/>
    <w:rsid w:val="0023436B"/>
    <w:rsid w:val="0024064E"/>
    <w:rsid w:val="00242D76"/>
    <w:rsid w:val="0024543F"/>
    <w:rsid w:val="0024686B"/>
    <w:rsid w:val="002602D2"/>
    <w:rsid w:val="00260E61"/>
    <w:rsid w:val="00260EB2"/>
    <w:rsid w:val="00263B61"/>
    <w:rsid w:val="00273E98"/>
    <w:rsid w:val="002762D8"/>
    <w:rsid w:val="00291E5D"/>
    <w:rsid w:val="002959A1"/>
    <w:rsid w:val="00295A2D"/>
    <w:rsid w:val="002A6C77"/>
    <w:rsid w:val="002B0749"/>
    <w:rsid w:val="002B1626"/>
    <w:rsid w:val="002B3337"/>
    <w:rsid w:val="002B4595"/>
    <w:rsid w:val="002B775C"/>
    <w:rsid w:val="002C65A2"/>
    <w:rsid w:val="002D6C90"/>
    <w:rsid w:val="002D702D"/>
    <w:rsid w:val="002E19EE"/>
    <w:rsid w:val="002E41C1"/>
    <w:rsid w:val="002E6B75"/>
    <w:rsid w:val="002F1027"/>
    <w:rsid w:val="002F273C"/>
    <w:rsid w:val="002F3ABA"/>
    <w:rsid w:val="002F4897"/>
    <w:rsid w:val="002F5D3F"/>
    <w:rsid w:val="00300D9A"/>
    <w:rsid w:val="003024CA"/>
    <w:rsid w:val="00311491"/>
    <w:rsid w:val="00311EE4"/>
    <w:rsid w:val="0031678F"/>
    <w:rsid w:val="00327154"/>
    <w:rsid w:val="00333737"/>
    <w:rsid w:val="00336C7C"/>
    <w:rsid w:val="003427F6"/>
    <w:rsid w:val="003438CC"/>
    <w:rsid w:val="00347FA6"/>
    <w:rsid w:val="0035096A"/>
    <w:rsid w:val="00354ED5"/>
    <w:rsid w:val="003556ED"/>
    <w:rsid w:val="00361F0F"/>
    <w:rsid w:val="00363CEC"/>
    <w:rsid w:val="00364D74"/>
    <w:rsid w:val="00371BAF"/>
    <w:rsid w:val="003730F6"/>
    <w:rsid w:val="00373DD0"/>
    <w:rsid w:val="003756F9"/>
    <w:rsid w:val="00377CB2"/>
    <w:rsid w:val="0038609F"/>
    <w:rsid w:val="00386CDD"/>
    <w:rsid w:val="0039006D"/>
    <w:rsid w:val="003916BF"/>
    <w:rsid w:val="00394524"/>
    <w:rsid w:val="00396DE0"/>
    <w:rsid w:val="003A08A0"/>
    <w:rsid w:val="003A1C0A"/>
    <w:rsid w:val="003A1D0F"/>
    <w:rsid w:val="003A546A"/>
    <w:rsid w:val="003A6A45"/>
    <w:rsid w:val="003A6B0A"/>
    <w:rsid w:val="003A717B"/>
    <w:rsid w:val="003B2ED4"/>
    <w:rsid w:val="003B361F"/>
    <w:rsid w:val="003B42D2"/>
    <w:rsid w:val="003B64DA"/>
    <w:rsid w:val="003B7837"/>
    <w:rsid w:val="003D5083"/>
    <w:rsid w:val="003E2B64"/>
    <w:rsid w:val="003F0210"/>
    <w:rsid w:val="003F3D1F"/>
    <w:rsid w:val="003F5CA0"/>
    <w:rsid w:val="003F63CE"/>
    <w:rsid w:val="003F667D"/>
    <w:rsid w:val="003F7337"/>
    <w:rsid w:val="004030CD"/>
    <w:rsid w:val="00403C17"/>
    <w:rsid w:val="00404616"/>
    <w:rsid w:val="0042015B"/>
    <w:rsid w:val="0042440B"/>
    <w:rsid w:val="00427A87"/>
    <w:rsid w:val="004308FF"/>
    <w:rsid w:val="00441ED4"/>
    <w:rsid w:val="00441ED9"/>
    <w:rsid w:val="00443453"/>
    <w:rsid w:val="0045435A"/>
    <w:rsid w:val="004559F6"/>
    <w:rsid w:val="004707E6"/>
    <w:rsid w:val="00490BE2"/>
    <w:rsid w:val="00490C77"/>
    <w:rsid w:val="0049210F"/>
    <w:rsid w:val="004939AA"/>
    <w:rsid w:val="00497C78"/>
    <w:rsid w:val="004A1BAD"/>
    <w:rsid w:val="004A1EF3"/>
    <w:rsid w:val="004A2BC4"/>
    <w:rsid w:val="004A3774"/>
    <w:rsid w:val="004A387A"/>
    <w:rsid w:val="004A3E24"/>
    <w:rsid w:val="004B142E"/>
    <w:rsid w:val="004B194F"/>
    <w:rsid w:val="004C0C90"/>
    <w:rsid w:val="004C0F11"/>
    <w:rsid w:val="004C1F5D"/>
    <w:rsid w:val="004C2B7F"/>
    <w:rsid w:val="004C7A32"/>
    <w:rsid w:val="004D0DA8"/>
    <w:rsid w:val="004D42F5"/>
    <w:rsid w:val="004D5BAF"/>
    <w:rsid w:val="004E324E"/>
    <w:rsid w:val="004E5EEF"/>
    <w:rsid w:val="004E7BC4"/>
    <w:rsid w:val="004F2FB4"/>
    <w:rsid w:val="004F3476"/>
    <w:rsid w:val="004F6504"/>
    <w:rsid w:val="004F72E1"/>
    <w:rsid w:val="00501E83"/>
    <w:rsid w:val="00504FF2"/>
    <w:rsid w:val="00505AEA"/>
    <w:rsid w:val="00507BA0"/>
    <w:rsid w:val="00513087"/>
    <w:rsid w:val="00523551"/>
    <w:rsid w:val="00527644"/>
    <w:rsid w:val="00531395"/>
    <w:rsid w:val="00532945"/>
    <w:rsid w:val="0054357A"/>
    <w:rsid w:val="0054593B"/>
    <w:rsid w:val="005545FB"/>
    <w:rsid w:val="005620F7"/>
    <w:rsid w:val="0056378A"/>
    <w:rsid w:val="00567F8A"/>
    <w:rsid w:val="005735CF"/>
    <w:rsid w:val="005768FA"/>
    <w:rsid w:val="00577310"/>
    <w:rsid w:val="005915E1"/>
    <w:rsid w:val="00592347"/>
    <w:rsid w:val="005A4FB4"/>
    <w:rsid w:val="005A79BA"/>
    <w:rsid w:val="005B14C9"/>
    <w:rsid w:val="005D026F"/>
    <w:rsid w:val="005D6340"/>
    <w:rsid w:val="005D6B60"/>
    <w:rsid w:val="005E3042"/>
    <w:rsid w:val="005E55BF"/>
    <w:rsid w:val="005F04E1"/>
    <w:rsid w:val="005F543D"/>
    <w:rsid w:val="00600259"/>
    <w:rsid w:val="00616893"/>
    <w:rsid w:val="00622C9F"/>
    <w:rsid w:val="00626C59"/>
    <w:rsid w:val="00626FA3"/>
    <w:rsid w:val="00627C8E"/>
    <w:rsid w:val="006313CF"/>
    <w:rsid w:val="00632955"/>
    <w:rsid w:val="006509ED"/>
    <w:rsid w:val="006539BE"/>
    <w:rsid w:val="0066072B"/>
    <w:rsid w:val="006662DC"/>
    <w:rsid w:val="00667D09"/>
    <w:rsid w:val="00671F7A"/>
    <w:rsid w:val="00681441"/>
    <w:rsid w:val="0069253B"/>
    <w:rsid w:val="00696792"/>
    <w:rsid w:val="006A7C72"/>
    <w:rsid w:val="006B3BB3"/>
    <w:rsid w:val="006B6491"/>
    <w:rsid w:val="006B7BA3"/>
    <w:rsid w:val="006C0418"/>
    <w:rsid w:val="006C24B3"/>
    <w:rsid w:val="006C2869"/>
    <w:rsid w:val="006C5E22"/>
    <w:rsid w:val="006C5FC7"/>
    <w:rsid w:val="006C6873"/>
    <w:rsid w:val="006D0B14"/>
    <w:rsid w:val="006D4482"/>
    <w:rsid w:val="006D726B"/>
    <w:rsid w:val="006D7A9C"/>
    <w:rsid w:val="006E12D2"/>
    <w:rsid w:val="006E213D"/>
    <w:rsid w:val="006E62E6"/>
    <w:rsid w:val="006E7542"/>
    <w:rsid w:val="006E76B1"/>
    <w:rsid w:val="006F472C"/>
    <w:rsid w:val="006F5037"/>
    <w:rsid w:val="006F6E40"/>
    <w:rsid w:val="006F7A9F"/>
    <w:rsid w:val="00700294"/>
    <w:rsid w:val="0070062D"/>
    <w:rsid w:val="0071327D"/>
    <w:rsid w:val="00721827"/>
    <w:rsid w:val="00731A71"/>
    <w:rsid w:val="007332F6"/>
    <w:rsid w:val="00734B5E"/>
    <w:rsid w:val="00735166"/>
    <w:rsid w:val="00737EB2"/>
    <w:rsid w:val="00741623"/>
    <w:rsid w:val="00742BB8"/>
    <w:rsid w:val="007456F5"/>
    <w:rsid w:val="00753320"/>
    <w:rsid w:val="007559CD"/>
    <w:rsid w:val="00764651"/>
    <w:rsid w:val="00775935"/>
    <w:rsid w:val="00780552"/>
    <w:rsid w:val="007831E3"/>
    <w:rsid w:val="007854A8"/>
    <w:rsid w:val="00790046"/>
    <w:rsid w:val="007905CE"/>
    <w:rsid w:val="00793B17"/>
    <w:rsid w:val="00796DDC"/>
    <w:rsid w:val="007A18A3"/>
    <w:rsid w:val="007A50BD"/>
    <w:rsid w:val="007B07BC"/>
    <w:rsid w:val="007B420E"/>
    <w:rsid w:val="007B50D3"/>
    <w:rsid w:val="007C1AC8"/>
    <w:rsid w:val="007C21D7"/>
    <w:rsid w:val="007C7321"/>
    <w:rsid w:val="007D1046"/>
    <w:rsid w:val="007D7321"/>
    <w:rsid w:val="007E70E1"/>
    <w:rsid w:val="007F7EE4"/>
    <w:rsid w:val="00801BCB"/>
    <w:rsid w:val="00802ABF"/>
    <w:rsid w:val="00805B92"/>
    <w:rsid w:val="008103BD"/>
    <w:rsid w:val="00813F6C"/>
    <w:rsid w:val="00817360"/>
    <w:rsid w:val="00825545"/>
    <w:rsid w:val="00831241"/>
    <w:rsid w:val="00834704"/>
    <w:rsid w:val="00834883"/>
    <w:rsid w:val="00840AF7"/>
    <w:rsid w:val="00843F00"/>
    <w:rsid w:val="00864531"/>
    <w:rsid w:val="00865F5D"/>
    <w:rsid w:val="00866CA3"/>
    <w:rsid w:val="00870761"/>
    <w:rsid w:val="00870D75"/>
    <w:rsid w:val="008839F3"/>
    <w:rsid w:val="00890753"/>
    <w:rsid w:val="00891C7D"/>
    <w:rsid w:val="00896BD9"/>
    <w:rsid w:val="0089786D"/>
    <w:rsid w:val="008A0B99"/>
    <w:rsid w:val="008A4DBC"/>
    <w:rsid w:val="008A7B89"/>
    <w:rsid w:val="008B44D6"/>
    <w:rsid w:val="008B5C7C"/>
    <w:rsid w:val="008C011A"/>
    <w:rsid w:val="008C555E"/>
    <w:rsid w:val="008C5A8C"/>
    <w:rsid w:val="008C785D"/>
    <w:rsid w:val="008D49F1"/>
    <w:rsid w:val="008E20EB"/>
    <w:rsid w:val="008E2A27"/>
    <w:rsid w:val="008E3542"/>
    <w:rsid w:val="008E4F11"/>
    <w:rsid w:val="008E66D5"/>
    <w:rsid w:val="008E7905"/>
    <w:rsid w:val="008F2D29"/>
    <w:rsid w:val="00906BF8"/>
    <w:rsid w:val="00923E19"/>
    <w:rsid w:val="00926E76"/>
    <w:rsid w:val="00931453"/>
    <w:rsid w:val="0093349A"/>
    <w:rsid w:val="00935919"/>
    <w:rsid w:val="0093600D"/>
    <w:rsid w:val="00945096"/>
    <w:rsid w:val="009450ED"/>
    <w:rsid w:val="00956E2D"/>
    <w:rsid w:val="009601BE"/>
    <w:rsid w:val="00962A3E"/>
    <w:rsid w:val="00963490"/>
    <w:rsid w:val="00966777"/>
    <w:rsid w:val="00973925"/>
    <w:rsid w:val="00973D71"/>
    <w:rsid w:val="009861CA"/>
    <w:rsid w:val="009917B2"/>
    <w:rsid w:val="0099774A"/>
    <w:rsid w:val="009A0104"/>
    <w:rsid w:val="009A028A"/>
    <w:rsid w:val="009A3020"/>
    <w:rsid w:val="009A5B3D"/>
    <w:rsid w:val="009B09F3"/>
    <w:rsid w:val="009C022C"/>
    <w:rsid w:val="009C3CA0"/>
    <w:rsid w:val="009D2989"/>
    <w:rsid w:val="009F3B81"/>
    <w:rsid w:val="00A009FE"/>
    <w:rsid w:val="00A04B92"/>
    <w:rsid w:val="00A106A3"/>
    <w:rsid w:val="00A21BAC"/>
    <w:rsid w:val="00A234BE"/>
    <w:rsid w:val="00A2584D"/>
    <w:rsid w:val="00A44D28"/>
    <w:rsid w:val="00A506F9"/>
    <w:rsid w:val="00A52308"/>
    <w:rsid w:val="00A535B4"/>
    <w:rsid w:val="00A5495F"/>
    <w:rsid w:val="00A62193"/>
    <w:rsid w:val="00A64F38"/>
    <w:rsid w:val="00A654CC"/>
    <w:rsid w:val="00A749FC"/>
    <w:rsid w:val="00A77404"/>
    <w:rsid w:val="00A775BE"/>
    <w:rsid w:val="00A826D8"/>
    <w:rsid w:val="00A8483E"/>
    <w:rsid w:val="00A91CBD"/>
    <w:rsid w:val="00A92202"/>
    <w:rsid w:val="00A924B8"/>
    <w:rsid w:val="00AA0395"/>
    <w:rsid w:val="00AA3C25"/>
    <w:rsid w:val="00AA6BA8"/>
    <w:rsid w:val="00AB20D4"/>
    <w:rsid w:val="00AB2512"/>
    <w:rsid w:val="00AB49CF"/>
    <w:rsid w:val="00AC301A"/>
    <w:rsid w:val="00AC3F08"/>
    <w:rsid w:val="00AC4207"/>
    <w:rsid w:val="00AC537A"/>
    <w:rsid w:val="00AC7F41"/>
    <w:rsid w:val="00AD0BDC"/>
    <w:rsid w:val="00AD481C"/>
    <w:rsid w:val="00AD6689"/>
    <w:rsid w:val="00AE1848"/>
    <w:rsid w:val="00AE4F79"/>
    <w:rsid w:val="00AE68CE"/>
    <w:rsid w:val="00AF1F06"/>
    <w:rsid w:val="00AF3406"/>
    <w:rsid w:val="00AF3C72"/>
    <w:rsid w:val="00AF7EB7"/>
    <w:rsid w:val="00B033E1"/>
    <w:rsid w:val="00B110AA"/>
    <w:rsid w:val="00B1111A"/>
    <w:rsid w:val="00B1196F"/>
    <w:rsid w:val="00B12C79"/>
    <w:rsid w:val="00B22031"/>
    <w:rsid w:val="00B24859"/>
    <w:rsid w:val="00B24A7F"/>
    <w:rsid w:val="00B258B1"/>
    <w:rsid w:val="00B31397"/>
    <w:rsid w:val="00B64EC6"/>
    <w:rsid w:val="00B6701F"/>
    <w:rsid w:val="00B72EFE"/>
    <w:rsid w:val="00B73785"/>
    <w:rsid w:val="00B73DD2"/>
    <w:rsid w:val="00B8153B"/>
    <w:rsid w:val="00B8215A"/>
    <w:rsid w:val="00B83AF9"/>
    <w:rsid w:val="00B91741"/>
    <w:rsid w:val="00BB0D7D"/>
    <w:rsid w:val="00BB662B"/>
    <w:rsid w:val="00BC09DC"/>
    <w:rsid w:val="00BC27D9"/>
    <w:rsid w:val="00BC2B10"/>
    <w:rsid w:val="00BC30D8"/>
    <w:rsid w:val="00BD3543"/>
    <w:rsid w:val="00BD6B10"/>
    <w:rsid w:val="00BF21EB"/>
    <w:rsid w:val="00BF426B"/>
    <w:rsid w:val="00C000A7"/>
    <w:rsid w:val="00C0190C"/>
    <w:rsid w:val="00C01D7E"/>
    <w:rsid w:val="00C02B78"/>
    <w:rsid w:val="00C037BB"/>
    <w:rsid w:val="00C07753"/>
    <w:rsid w:val="00C13E82"/>
    <w:rsid w:val="00C142F8"/>
    <w:rsid w:val="00C248B2"/>
    <w:rsid w:val="00C269FD"/>
    <w:rsid w:val="00C26F83"/>
    <w:rsid w:val="00C360E5"/>
    <w:rsid w:val="00C36180"/>
    <w:rsid w:val="00C37E70"/>
    <w:rsid w:val="00C40E65"/>
    <w:rsid w:val="00C43C32"/>
    <w:rsid w:val="00C4439B"/>
    <w:rsid w:val="00C50EEC"/>
    <w:rsid w:val="00C546CC"/>
    <w:rsid w:val="00C54BCD"/>
    <w:rsid w:val="00C64DBD"/>
    <w:rsid w:val="00C70B72"/>
    <w:rsid w:val="00C719E3"/>
    <w:rsid w:val="00C75FDD"/>
    <w:rsid w:val="00C760C8"/>
    <w:rsid w:val="00C800AD"/>
    <w:rsid w:val="00C81DE1"/>
    <w:rsid w:val="00C841E8"/>
    <w:rsid w:val="00C8738A"/>
    <w:rsid w:val="00C9451E"/>
    <w:rsid w:val="00C97986"/>
    <w:rsid w:val="00CA2EC4"/>
    <w:rsid w:val="00CA36EF"/>
    <w:rsid w:val="00CA42F3"/>
    <w:rsid w:val="00CA51D3"/>
    <w:rsid w:val="00CB7B4D"/>
    <w:rsid w:val="00CC027B"/>
    <w:rsid w:val="00CC390E"/>
    <w:rsid w:val="00CC5A17"/>
    <w:rsid w:val="00CD583F"/>
    <w:rsid w:val="00CD5E3E"/>
    <w:rsid w:val="00CD7135"/>
    <w:rsid w:val="00CE116A"/>
    <w:rsid w:val="00CE5CC8"/>
    <w:rsid w:val="00CE7003"/>
    <w:rsid w:val="00CF01D7"/>
    <w:rsid w:val="00CF178B"/>
    <w:rsid w:val="00CF5D84"/>
    <w:rsid w:val="00CF6CA2"/>
    <w:rsid w:val="00CF7D7A"/>
    <w:rsid w:val="00D04A3D"/>
    <w:rsid w:val="00D10F4D"/>
    <w:rsid w:val="00D15E37"/>
    <w:rsid w:val="00D17820"/>
    <w:rsid w:val="00D17BDF"/>
    <w:rsid w:val="00D23659"/>
    <w:rsid w:val="00D277D5"/>
    <w:rsid w:val="00D32F18"/>
    <w:rsid w:val="00D33EC5"/>
    <w:rsid w:val="00D45465"/>
    <w:rsid w:val="00D45CD8"/>
    <w:rsid w:val="00D476B2"/>
    <w:rsid w:val="00D52050"/>
    <w:rsid w:val="00D54943"/>
    <w:rsid w:val="00D5582D"/>
    <w:rsid w:val="00D62F01"/>
    <w:rsid w:val="00D675D0"/>
    <w:rsid w:val="00D6795A"/>
    <w:rsid w:val="00D9145A"/>
    <w:rsid w:val="00D95118"/>
    <w:rsid w:val="00D95C48"/>
    <w:rsid w:val="00D97A12"/>
    <w:rsid w:val="00D97C35"/>
    <w:rsid w:val="00DA045F"/>
    <w:rsid w:val="00DA2835"/>
    <w:rsid w:val="00DA3F82"/>
    <w:rsid w:val="00DA7603"/>
    <w:rsid w:val="00DC174F"/>
    <w:rsid w:val="00DC2527"/>
    <w:rsid w:val="00DC6357"/>
    <w:rsid w:val="00DC65BD"/>
    <w:rsid w:val="00DD072A"/>
    <w:rsid w:val="00DD44C3"/>
    <w:rsid w:val="00DE0192"/>
    <w:rsid w:val="00DE107F"/>
    <w:rsid w:val="00DE4D06"/>
    <w:rsid w:val="00DF26D6"/>
    <w:rsid w:val="00E112D8"/>
    <w:rsid w:val="00E11959"/>
    <w:rsid w:val="00E14138"/>
    <w:rsid w:val="00E21A3E"/>
    <w:rsid w:val="00E2666F"/>
    <w:rsid w:val="00E270C7"/>
    <w:rsid w:val="00E30186"/>
    <w:rsid w:val="00E326AB"/>
    <w:rsid w:val="00E41057"/>
    <w:rsid w:val="00E451CF"/>
    <w:rsid w:val="00E4789D"/>
    <w:rsid w:val="00E55926"/>
    <w:rsid w:val="00E56FC2"/>
    <w:rsid w:val="00E5722E"/>
    <w:rsid w:val="00E60927"/>
    <w:rsid w:val="00E62764"/>
    <w:rsid w:val="00E67083"/>
    <w:rsid w:val="00E8159A"/>
    <w:rsid w:val="00E85FFF"/>
    <w:rsid w:val="00E87E51"/>
    <w:rsid w:val="00E87EF8"/>
    <w:rsid w:val="00E93497"/>
    <w:rsid w:val="00E95836"/>
    <w:rsid w:val="00EA4678"/>
    <w:rsid w:val="00EA5ACD"/>
    <w:rsid w:val="00EB2EEC"/>
    <w:rsid w:val="00EC1F83"/>
    <w:rsid w:val="00EC2B45"/>
    <w:rsid w:val="00EC33E7"/>
    <w:rsid w:val="00EC4647"/>
    <w:rsid w:val="00ED1B04"/>
    <w:rsid w:val="00ED4386"/>
    <w:rsid w:val="00ED50D8"/>
    <w:rsid w:val="00ED550B"/>
    <w:rsid w:val="00ED6D84"/>
    <w:rsid w:val="00EE03F3"/>
    <w:rsid w:val="00EE2830"/>
    <w:rsid w:val="00EE5B9B"/>
    <w:rsid w:val="00EF257D"/>
    <w:rsid w:val="00EF5131"/>
    <w:rsid w:val="00F00DDB"/>
    <w:rsid w:val="00F016F5"/>
    <w:rsid w:val="00F0403F"/>
    <w:rsid w:val="00F160B2"/>
    <w:rsid w:val="00F1693E"/>
    <w:rsid w:val="00F20AB0"/>
    <w:rsid w:val="00F30F68"/>
    <w:rsid w:val="00F31779"/>
    <w:rsid w:val="00F3307D"/>
    <w:rsid w:val="00F33857"/>
    <w:rsid w:val="00F357C8"/>
    <w:rsid w:val="00F35FC5"/>
    <w:rsid w:val="00F411D6"/>
    <w:rsid w:val="00F557D3"/>
    <w:rsid w:val="00F5691B"/>
    <w:rsid w:val="00F6513A"/>
    <w:rsid w:val="00F70D48"/>
    <w:rsid w:val="00F76B14"/>
    <w:rsid w:val="00F81A6B"/>
    <w:rsid w:val="00FA6857"/>
    <w:rsid w:val="00FB5BC1"/>
    <w:rsid w:val="00FC2623"/>
    <w:rsid w:val="00FC3145"/>
    <w:rsid w:val="00FC7BA0"/>
    <w:rsid w:val="00FD4CC0"/>
    <w:rsid w:val="00FD5691"/>
    <w:rsid w:val="00FD6836"/>
    <w:rsid w:val="00FD755C"/>
    <w:rsid w:val="00FE58B4"/>
    <w:rsid w:val="00FE63FD"/>
    <w:rsid w:val="00FF02D5"/>
    <w:rsid w:val="00FF1794"/>
    <w:rsid w:val="63C832CA"/>
    <w:rsid w:val="754611D6"/>
    <w:rsid w:val="76F8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CC8E"/>
  <w15:docId w15:val="{B33F41DA-6701-4E61-9E5B-94996F62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pPr>
      <w:keepNext/>
      <w:keepLines/>
      <w:ind w:firstLineChars="0" w:firstLine="0"/>
      <w:jc w:val="left"/>
      <w:outlineLvl w:val="0"/>
    </w:pPr>
    <w:rPr>
      <w:rFonts w:ascii="宋体" w:hAnsi="宋体"/>
      <w:bCs/>
      <w:kern w:val="44"/>
      <w:sz w:val="28"/>
      <w:szCs w:val="44"/>
    </w:rPr>
  </w:style>
  <w:style w:type="paragraph" w:styleId="2">
    <w:name w:val="heading 2"/>
    <w:basedOn w:val="a"/>
    <w:next w:val="a"/>
    <w:link w:val="20"/>
    <w:uiPriority w:val="9"/>
    <w:unhideWhenUsed/>
    <w:qFormat/>
    <w:pPr>
      <w:keepNext/>
      <w:keepLines/>
      <w:ind w:firstLineChars="0" w:firstLine="0"/>
      <w:jc w:val="left"/>
      <w:outlineLvl w:val="1"/>
    </w:pPr>
    <w:rPr>
      <w:rFonts w:ascii="宋体" w:hAnsi="宋体" w:cstheme="majorBidi"/>
      <w:b/>
      <w:bCs/>
      <w:szCs w:val="32"/>
    </w:rPr>
  </w:style>
  <w:style w:type="paragraph" w:styleId="3">
    <w:name w:val="heading 3"/>
    <w:basedOn w:val="a"/>
    <w:next w:val="a"/>
    <w:link w:val="30"/>
    <w:uiPriority w:val="9"/>
    <w:unhideWhenUsed/>
    <w:qFormat/>
    <w:pPr>
      <w:keepNext/>
      <w:keepLines/>
      <w:ind w:firstLineChars="0" w:firstLine="0"/>
      <w:jc w:val="left"/>
      <w:outlineLvl w:val="2"/>
    </w:pPr>
    <w:rPr>
      <w:rFonts w:ascii="宋体" w:hAnsi="宋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pPr>
      <w:snapToGrid w:val="0"/>
      <w:jc w:val="left"/>
    </w:pPr>
    <w:rPr>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paragraph" w:styleId="af5">
    <w:name w:val="List Paragraph"/>
    <w:basedOn w:val="a"/>
    <w:uiPriority w:val="34"/>
    <w:qFormat/>
    <w:pPr>
      <w:ind w:firstLine="420"/>
    </w:pPr>
  </w:style>
  <w:style w:type="character" w:customStyle="1" w:styleId="10">
    <w:name w:val="标题 1 字符"/>
    <w:basedOn w:val="a0"/>
    <w:link w:val="1"/>
    <w:uiPriority w:val="9"/>
    <w:qFormat/>
    <w:rPr>
      <w:rFonts w:ascii="宋体" w:eastAsia="宋体" w:hAnsi="宋体"/>
      <w:bCs/>
      <w:kern w:val="44"/>
      <w:sz w:val="28"/>
      <w:szCs w:val="44"/>
    </w:rPr>
  </w:style>
  <w:style w:type="character" w:customStyle="1" w:styleId="20">
    <w:name w:val="标题 2 字符"/>
    <w:basedOn w:val="a0"/>
    <w:link w:val="2"/>
    <w:uiPriority w:val="9"/>
    <w:qFormat/>
    <w:rPr>
      <w:rFonts w:ascii="宋体" w:eastAsia="宋体" w:hAnsi="宋体" w:cstheme="majorBidi"/>
      <w:b/>
      <w:bCs/>
      <w:szCs w:val="32"/>
    </w:rPr>
  </w:style>
  <w:style w:type="paragraph" w:customStyle="1" w:styleId="af6">
    <w:name w:val="表"/>
    <w:basedOn w:val="a"/>
    <w:link w:val="af7"/>
    <w:qFormat/>
    <w:pPr>
      <w:ind w:firstLineChars="0" w:firstLine="0"/>
      <w:jc w:val="center"/>
    </w:pPr>
    <w:rPr>
      <w:rFonts w:ascii="黑体" w:eastAsia="黑体" w:hAnsi="黑体"/>
      <w:szCs w:val="21"/>
    </w:rPr>
  </w:style>
  <w:style w:type="paragraph" w:customStyle="1" w:styleId="af8">
    <w:name w:val="表格"/>
    <w:basedOn w:val="a"/>
    <w:link w:val="af9"/>
    <w:qFormat/>
    <w:pPr>
      <w:ind w:firstLineChars="0" w:firstLine="0"/>
      <w:jc w:val="center"/>
    </w:pPr>
    <w:rPr>
      <w:szCs w:val="21"/>
    </w:rPr>
  </w:style>
  <w:style w:type="character" w:customStyle="1" w:styleId="af7">
    <w:name w:val="表 字符"/>
    <w:basedOn w:val="a0"/>
    <w:link w:val="af6"/>
    <w:qFormat/>
    <w:rPr>
      <w:rFonts w:ascii="黑体" w:eastAsia="黑体" w:hAnsi="黑体"/>
      <w:szCs w:val="21"/>
    </w:rPr>
  </w:style>
  <w:style w:type="character" w:styleId="afa">
    <w:name w:val="Placeholder Text"/>
    <w:basedOn w:val="a0"/>
    <w:uiPriority w:val="99"/>
    <w:semiHidden/>
    <w:qFormat/>
    <w:rPr>
      <w:color w:val="808080"/>
    </w:rPr>
  </w:style>
  <w:style w:type="character" w:customStyle="1" w:styleId="af9">
    <w:name w:val="表格 字符"/>
    <w:basedOn w:val="a0"/>
    <w:link w:val="af8"/>
    <w:qFormat/>
    <w:rPr>
      <w:rFonts w:ascii="Times New Roman" w:eastAsia="宋体" w:hAnsi="Times New Roman"/>
      <w:szCs w:val="21"/>
    </w:rPr>
  </w:style>
  <w:style w:type="character" w:customStyle="1" w:styleId="ac">
    <w:name w:val="页眉 字符"/>
    <w:basedOn w:val="a0"/>
    <w:link w:val="ab"/>
    <w:uiPriority w:val="99"/>
    <w:qFormat/>
    <w:rPr>
      <w:rFonts w:ascii="Times New Roman" w:eastAsia="宋体" w:hAnsi="Times New Roman"/>
      <w:sz w:val="18"/>
      <w:szCs w:val="18"/>
    </w:rPr>
  </w:style>
  <w:style w:type="character" w:customStyle="1" w:styleId="aa">
    <w:name w:val="页脚 字符"/>
    <w:basedOn w:val="a0"/>
    <w:link w:val="a9"/>
    <w:uiPriority w:val="99"/>
    <w:qFormat/>
    <w:rPr>
      <w:rFonts w:ascii="Times New Roman" w:eastAsia="宋体" w:hAnsi="Times New Roman"/>
      <w:sz w:val="18"/>
      <w:szCs w:val="18"/>
    </w:rPr>
  </w:style>
  <w:style w:type="character" w:customStyle="1" w:styleId="fontstyle01">
    <w:name w:val="fontstyle01"/>
    <w:basedOn w:val="a0"/>
    <w:qFormat/>
    <w:rPr>
      <w:rFonts w:ascii="楷体" w:eastAsia="楷体" w:hAnsi="楷体" w:hint="eastAsia"/>
      <w:color w:val="000000"/>
      <w:sz w:val="16"/>
      <w:szCs w:val="16"/>
    </w:rPr>
  </w:style>
  <w:style w:type="character" w:customStyle="1" w:styleId="fontstyle21">
    <w:name w:val="fontstyle21"/>
    <w:basedOn w:val="a0"/>
    <w:qFormat/>
    <w:rPr>
      <w:rFonts w:ascii="DY3+ZMUDMa-9" w:hAnsi="DY3+ZMUDMa-9" w:hint="default"/>
      <w:color w:val="000000"/>
      <w:sz w:val="10"/>
      <w:szCs w:val="10"/>
    </w:rPr>
  </w:style>
  <w:style w:type="character" w:customStyle="1" w:styleId="fontstyle31">
    <w:name w:val="fontstyle31"/>
    <w:basedOn w:val="a0"/>
    <w:qFormat/>
    <w:rPr>
      <w:rFonts w:ascii="HTJ0+ZMUDMY-1" w:hAnsi="HTJ0+ZMUDMY-1" w:hint="default"/>
      <w:color w:val="000000"/>
      <w:sz w:val="16"/>
      <w:szCs w:val="16"/>
    </w:rPr>
  </w:style>
  <w:style w:type="character" w:customStyle="1" w:styleId="fontstyle41">
    <w:name w:val="fontstyle41"/>
    <w:basedOn w:val="a0"/>
    <w:qFormat/>
    <w:rPr>
      <w:rFonts w:ascii="E-BZ+ZMUDMY-3" w:hAnsi="E-BZ+ZMUDMY-3" w:hint="default"/>
      <w:color w:val="000000"/>
      <w:sz w:val="10"/>
      <w:szCs w:val="10"/>
    </w:rPr>
  </w:style>
  <w:style w:type="paragraph" w:customStyle="1" w:styleId="afb">
    <w:name w:val="表注"/>
    <w:basedOn w:val="a"/>
    <w:link w:val="afc"/>
    <w:qFormat/>
    <w:pPr>
      <w:ind w:firstLine="360"/>
    </w:pPr>
    <w:rPr>
      <w:rFonts w:eastAsia="楷体"/>
      <w:sz w:val="18"/>
      <w:szCs w:val="18"/>
    </w:rPr>
  </w:style>
  <w:style w:type="character" w:customStyle="1" w:styleId="afc">
    <w:name w:val="表注 字符"/>
    <w:basedOn w:val="a0"/>
    <w:link w:val="afb"/>
    <w:qFormat/>
    <w:rPr>
      <w:rFonts w:ascii="Times New Roman" w:eastAsia="楷体" w:hAnsi="Times New Roman"/>
      <w:sz w:val="18"/>
      <w:szCs w:val="18"/>
    </w:rPr>
  </w:style>
  <w:style w:type="character" w:customStyle="1" w:styleId="ae">
    <w:name w:val="脚注文本 字符"/>
    <w:basedOn w:val="a0"/>
    <w:link w:val="ad"/>
    <w:uiPriority w:val="99"/>
    <w:qFormat/>
    <w:rPr>
      <w:rFonts w:ascii="Times New Roman" w:eastAsia="宋体" w:hAnsi="Times New Roman"/>
      <w:sz w:val="18"/>
      <w:szCs w:val="18"/>
    </w:rPr>
  </w:style>
  <w:style w:type="character" w:customStyle="1" w:styleId="a4">
    <w:name w:val="批注文字 字符"/>
    <w:basedOn w:val="a0"/>
    <w:link w:val="a3"/>
    <w:uiPriority w:val="99"/>
    <w:semiHidden/>
    <w:qFormat/>
    <w:rPr>
      <w:rFonts w:ascii="Times New Roman" w:eastAsia="宋体" w:hAnsi="Times New Roman"/>
      <w:sz w:val="24"/>
    </w:rPr>
  </w:style>
  <w:style w:type="character" w:customStyle="1" w:styleId="af0">
    <w:name w:val="批注主题 字符"/>
    <w:basedOn w:val="a4"/>
    <w:link w:val="af"/>
    <w:uiPriority w:val="99"/>
    <w:semiHidden/>
    <w:qFormat/>
    <w:rPr>
      <w:rFonts w:ascii="Times New Roman" w:eastAsia="宋体" w:hAnsi="Times New Roman"/>
      <w:b/>
      <w:bCs/>
      <w:sz w:val="24"/>
    </w:rPr>
  </w:style>
  <w:style w:type="character" w:customStyle="1" w:styleId="a8">
    <w:name w:val="批注框文本 字符"/>
    <w:basedOn w:val="a0"/>
    <w:link w:val="a7"/>
    <w:uiPriority w:val="99"/>
    <w:semiHidden/>
    <w:qFormat/>
    <w:rPr>
      <w:rFonts w:ascii="Times New Roman" w:eastAsia="宋体" w:hAnsi="Times New Roman"/>
      <w:sz w:val="18"/>
      <w:szCs w:val="18"/>
    </w:rPr>
  </w:style>
  <w:style w:type="paragraph" w:customStyle="1" w:styleId="11">
    <w:name w:val="修订1"/>
    <w:hidden/>
    <w:uiPriority w:val="99"/>
    <w:semiHidden/>
    <w:qFormat/>
    <w:rPr>
      <w:rFonts w:ascii="Times New Roman" w:eastAsia="宋体" w:hAnsi="Times New Roman"/>
      <w:kern w:val="2"/>
      <w:sz w:val="24"/>
      <w:szCs w:val="22"/>
    </w:rPr>
  </w:style>
  <w:style w:type="paragraph" w:customStyle="1" w:styleId="ChineseTitle">
    <w:name w:val="Chinese Title"/>
    <w:basedOn w:val="a"/>
    <w:next w:val="a"/>
    <w:qFormat/>
    <w:pPr>
      <w:spacing w:beforeLines="300" w:before="936" w:afterLines="150" w:after="468"/>
      <w:ind w:firstLineChars="0" w:firstLine="0"/>
      <w:jc w:val="center"/>
    </w:pPr>
    <w:rPr>
      <w:rFonts w:ascii="黑体" w:eastAsia="黑体" w:cs="Times New Roman"/>
      <w:b/>
      <w:bCs/>
      <w:sz w:val="36"/>
      <w:szCs w:val="24"/>
    </w:rPr>
  </w:style>
  <w:style w:type="paragraph" w:customStyle="1" w:styleId="CAffiliation">
    <w:name w:val="CAffiliation"/>
    <w:basedOn w:val="a"/>
    <w:next w:val="a"/>
    <w:qFormat/>
    <w:pPr>
      <w:spacing w:beforeLines="50" w:before="156" w:afterLines="50" w:after="156"/>
      <w:ind w:firstLineChars="0" w:firstLine="0"/>
      <w:jc w:val="center"/>
    </w:pPr>
    <w:rPr>
      <w:rFonts w:ascii="宋体" w:hAnsi="宋体" w:cs="Times New Roman"/>
      <w:sz w:val="15"/>
      <w:szCs w:val="24"/>
    </w:rPr>
  </w:style>
  <w:style w:type="paragraph" w:customStyle="1" w:styleId="CKeyWords">
    <w:name w:val="CKeyWords"/>
    <w:basedOn w:val="a"/>
    <w:next w:val="a"/>
    <w:qFormat/>
    <w:pPr>
      <w:spacing w:beforeLines="50" w:before="156" w:afterLines="50" w:after="156"/>
      <w:ind w:rightChars="180" w:right="378" w:firstLineChars="0" w:firstLine="0"/>
    </w:pPr>
    <w:rPr>
      <w:rFonts w:cs="Times New Roman"/>
      <w:sz w:val="18"/>
      <w:szCs w:val="24"/>
    </w:rPr>
  </w:style>
  <w:style w:type="character" w:customStyle="1" w:styleId="30">
    <w:name w:val="标题 3 字符"/>
    <w:basedOn w:val="a0"/>
    <w:link w:val="3"/>
    <w:uiPriority w:val="9"/>
    <w:qFormat/>
    <w:rPr>
      <w:rFonts w:ascii="宋体" w:eastAsia="宋体" w:hAnsi="宋体"/>
      <w:bCs/>
      <w:szCs w:val="32"/>
    </w:rPr>
  </w:style>
  <w:style w:type="character" w:customStyle="1" w:styleId="a6">
    <w:name w:val="日期 字符"/>
    <w:basedOn w:val="a0"/>
    <w:link w:val="a5"/>
    <w:uiPriority w:val="99"/>
    <w:semiHidden/>
    <w:qFormat/>
    <w:rPr>
      <w:rFonts w:ascii="Times New Roman" w:eastAsia="宋体" w:hAnsi="Times New Roman"/>
    </w:rPr>
  </w:style>
  <w:style w:type="paragraph" w:customStyle="1" w:styleId="TableEHeading">
    <w:name w:val="TableEHeading"/>
    <w:basedOn w:val="a"/>
    <w:next w:val="a"/>
    <w:qFormat/>
    <w:pPr>
      <w:numPr>
        <w:numId w:val="1"/>
      </w:numPr>
      <w:tabs>
        <w:tab w:val="clear" w:pos="720"/>
      </w:tabs>
      <w:spacing w:afterLines="50" w:after="156"/>
      <w:ind w:firstLineChars="0"/>
      <w:jc w:val="center"/>
    </w:pPr>
    <w:rPr>
      <w:rFonts w:eastAsia="黑体" w:cs="Times New Roman"/>
      <w:b/>
      <w:bCs/>
      <w:sz w:val="18"/>
      <w:szCs w:val="20"/>
    </w:rPr>
  </w:style>
  <w:style w:type="paragraph" w:customStyle="1" w:styleId="TableCHeading">
    <w:name w:val="TableCHeading"/>
    <w:basedOn w:val="a"/>
    <w:next w:val="TableEHeading"/>
    <w:qFormat/>
    <w:pPr>
      <w:numPr>
        <w:numId w:val="2"/>
      </w:numPr>
      <w:tabs>
        <w:tab w:val="clear" w:pos="840"/>
      </w:tabs>
      <w:spacing w:beforeLines="100" w:before="312"/>
      <w:ind w:left="0" w:firstLineChars="0" w:firstLine="0"/>
      <w:jc w:val="center"/>
    </w:pPr>
    <w:rPr>
      <w:rFonts w:eastAsia="黑体" w:cs="Times New Roman"/>
      <w:b/>
      <w:bCs/>
      <w:sz w:val="18"/>
      <w:szCs w:val="20"/>
    </w:rPr>
  </w:style>
  <w:style w:type="paragraph" w:customStyle="1" w:styleId="Abstract">
    <w:name w:val="Abstract"/>
    <w:basedOn w:val="a"/>
    <w:next w:val="a"/>
    <w:qFormat/>
    <w:pPr>
      <w:spacing w:beforeLines="50" w:before="156" w:afterLines="50" w:after="156"/>
      <w:ind w:firstLineChars="0" w:firstLine="0"/>
    </w:pPr>
    <w:rPr>
      <w:rFonts w:cs="Arial"/>
      <w:sz w:val="18"/>
      <w:szCs w:val="24"/>
    </w:rPr>
  </w:style>
  <w:style w:type="paragraph" w:customStyle="1" w:styleId="Affiliation">
    <w:name w:val="Affiliation"/>
    <w:basedOn w:val="a"/>
    <w:next w:val="Abstract"/>
    <w:qFormat/>
    <w:pPr>
      <w:spacing w:beforeLines="100" w:before="312" w:afterLines="100" w:after="312"/>
      <w:ind w:firstLineChars="0" w:firstLine="0"/>
      <w:jc w:val="center"/>
    </w:pPr>
    <w:rPr>
      <w:rFonts w:cs="Times New Roman"/>
      <w:sz w:val="15"/>
      <w:szCs w:val="24"/>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D9F2E-E3CC-41C6-8A28-7353B4A2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4751</Words>
  <Characters>27082</Characters>
  <Application>Microsoft Office Word</Application>
  <DocSecurity>0</DocSecurity>
  <Lines>225</Lines>
  <Paragraphs>63</Paragraphs>
  <ScaleCrop>false</ScaleCrop>
  <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Hongcheng</dc:creator>
  <cp:lastModifiedBy>He Wei</cp:lastModifiedBy>
  <cp:revision>11</cp:revision>
  <dcterms:created xsi:type="dcterms:W3CDTF">2022-05-13T12:47:00Z</dcterms:created>
  <dcterms:modified xsi:type="dcterms:W3CDTF">2022-09-13T02:22:00Z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