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F532" w14:textId="50C56F68" w:rsidR="00F52902" w:rsidRDefault="00187E0C" w:rsidP="00063634">
      <w:pPr>
        <w:pStyle w:val="af5"/>
        <w:rPr>
          <w:b w:val="0"/>
        </w:rPr>
        <w:sectPr w:rsidR="00F52902" w:rsidSect="00F52902">
          <w:footnotePr>
            <w:numFmt w:val="chicago"/>
            <w:numRestart w:val="eachPage"/>
          </w:footnotePr>
          <w:endnotePr>
            <w:numFmt w:val="decimalEnclosedCircleChinese"/>
            <w:numRestart w:val="eachSect"/>
          </w:endnotePr>
          <w:type w:val="continuous"/>
          <w:pgSz w:w="11906" w:h="16838"/>
          <w:pgMar w:top="1440" w:right="1800" w:bottom="1440" w:left="1800" w:header="851" w:footer="992" w:gutter="0"/>
          <w:cols w:space="425"/>
          <w:docGrid w:type="lines" w:linePitch="312"/>
        </w:sectPr>
      </w:pPr>
      <w:r w:rsidRPr="00F51C9C">
        <w:rPr>
          <w:rFonts w:hint="eastAsia"/>
          <w:b w:val="0"/>
        </w:rPr>
        <w:t>中国宏观融资结构</w:t>
      </w:r>
      <w:r w:rsidR="0047387A" w:rsidRPr="00F51C9C">
        <w:rPr>
          <w:rFonts w:hint="eastAsia"/>
          <w:b w:val="0"/>
        </w:rPr>
        <w:t>的</w:t>
      </w:r>
      <w:r w:rsidR="00C234A2" w:rsidRPr="00F51C9C">
        <w:rPr>
          <w:rFonts w:hint="eastAsia"/>
          <w:b w:val="0"/>
        </w:rPr>
        <w:t>转型特征</w:t>
      </w:r>
      <w:r w:rsidR="00F52902">
        <w:rPr>
          <w:rStyle w:val="aa"/>
          <w:b w:val="0"/>
        </w:rPr>
        <w:footnoteReference w:id="1"/>
      </w:r>
    </w:p>
    <w:p w14:paraId="48F9B0C4" w14:textId="505D91FD" w:rsidR="00A66DFB" w:rsidRDefault="00A66DFB" w:rsidP="000937DE">
      <w:pPr>
        <w:rPr>
          <w:rFonts w:ascii="宋体" w:hAnsi="宋体"/>
        </w:rPr>
      </w:pPr>
    </w:p>
    <w:p w14:paraId="30B68894" w14:textId="677911BE" w:rsidR="00F52902" w:rsidRDefault="00F52902" w:rsidP="00F52902">
      <w:pPr>
        <w:jc w:val="center"/>
        <w:rPr>
          <w:rFonts w:ascii="宋体" w:hAnsi="宋体"/>
        </w:rPr>
      </w:pPr>
      <w:r>
        <w:rPr>
          <w:rFonts w:ascii="宋体" w:hAnsi="宋体" w:hint="eastAsia"/>
        </w:rPr>
        <w:t>何德旭 冯明</w:t>
      </w:r>
    </w:p>
    <w:p w14:paraId="21085CDB" w14:textId="77777777" w:rsidR="00F52902" w:rsidRPr="00DC3A0D" w:rsidRDefault="00F52902" w:rsidP="000937DE">
      <w:pPr>
        <w:rPr>
          <w:rFonts w:ascii="宋体" w:hAnsi="宋体"/>
        </w:rPr>
      </w:pPr>
    </w:p>
    <w:p w14:paraId="11D5BD97" w14:textId="0EE77674" w:rsidR="00F32E17" w:rsidRPr="00DC3A0D" w:rsidRDefault="00F32E17" w:rsidP="00BE5CE1">
      <w:pPr>
        <w:ind w:firstLineChars="200" w:firstLine="420"/>
        <w:rPr>
          <w:rFonts w:ascii="楷体" w:eastAsia="楷体" w:hAnsi="楷体"/>
        </w:rPr>
      </w:pPr>
      <w:r w:rsidRPr="00F51C9C">
        <w:rPr>
          <w:rFonts w:ascii="黑体" w:eastAsia="黑体" w:hAnsi="黑体" w:hint="eastAsia"/>
          <w:bCs/>
        </w:rPr>
        <w:t>摘要：</w:t>
      </w:r>
      <w:r w:rsidRPr="00DC3A0D">
        <w:rPr>
          <w:rFonts w:ascii="楷体" w:eastAsia="楷体" w:hAnsi="楷体" w:hint="eastAsia"/>
        </w:rPr>
        <w:t>现阶段我国金融</w:t>
      </w:r>
      <w:r w:rsidR="00656035" w:rsidRPr="00DC3A0D">
        <w:rPr>
          <w:rFonts w:ascii="楷体" w:eastAsia="楷体" w:hAnsi="楷体" w:hint="eastAsia"/>
        </w:rPr>
        <w:t>体系</w:t>
      </w:r>
      <w:r w:rsidR="00D34287">
        <w:rPr>
          <w:rFonts w:ascii="楷体" w:eastAsia="楷体" w:hAnsi="楷体" w:hint="eastAsia"/>
        </w:rPr>
        <w:t>面临的</w:t>
      </w:r>
      <w:r w:rsidR="008758D6" w:rsidRPr="00DC3A0D">
        <w:rPr>
          <w:rFonts w:ascii="楷体" w:eastAsia="楷体" w:hAnsi="楷体" w:hint="eastAsia"/>
        </w:rPr>
        <w:t>资金</w:t>
      </w:r>
      <w:r w:rsidR="00B344FB" w:rsidRPr="00DC3A0D">
        <w:rPr>
          <w:rFonts w:ascii="楷体" w:eastAsia="楷体" w:hAnsi="楷体" w:hint="eastAsia"/>
        </w:rPr>
        <w:t>总体</w:t>
      </w:r>
      <w:r w:rsidR="008758D6" w:rsidRPr="00DC3A0D">
        <w:rPr>
          <w:rFonts w:ascii="楷体" w:eastAsia="楷体" w:hAnsi="楷体" w:hint="eastAsia"/>
        </w:rPr>
        <w:t>回报率</w:t>
      </w:r>
      <w:r w:rsidRPr="00DC3A0D">
        <w:rPr>
          <w:rFonts w:ascii="楷体" w:eastAsia="楷体" w:hAnsi="楷体" w:hint="eastAsia"/>
        </w:rPr>
        <w:t>下降和杠杆率攀升等问题，主要不是总量问题，而是结构问题。</w:t>
      </w:r>
      <w:r w:rsidR="00410CF1" w:rsidRPr="00DC3A0D">
        <w:rPr>
          <w:rFonts w:ascii="楷体" w:eastAsia="楷体" w:hAnsi="楷体" w:hint="eastAsia"/>
        </w:rPr>
        <w:t>本文</w:t>
      </w:r>
      <w:r w:rsidR="000B580B" w:rsidRPr="000B580B">
        <w:rPr>
          <w:rFonts w:ascii="楷体" w:eastAsia="楷体" w:hAnsi="楷体" w:hint="eastAsia"/>
        </w:rPr>
        <w:t>在“融资主体结构-融资用途结构-融资渠道结构”三位一体框架下</w:t>
      </w:r>
      <w:r w:rsidR="004804E0">
        <w:rPr>
          <w:rFonts w:ascii="楷体" w:eastAsia="楷体" w:hAnsi="楷体" w:hint="eastAsia"/>
        </w:rPr>
        <w:t>，系统性地</w:t>
      </w:r>
      <w:r w:rsidR="00410CF1" w:rsidRPr="00DC3A0D">
        <w:rPr>
          <w:rFonts w:ascii="楷体" w:eastAsia="楷体" w:hAnsi="楷体" w:hint="eastAsia"/>
        </w:rPr>
        <w:t>梳理分析</w:t>
      </w:r>
      <w:r w:rsidR="008E3BBC">
        <w:rPr>
          <w:rFonts w:ascii="楷体" w:eastAsia="楷体" w:hAnsi="楷体" w:hint="eastAsia"/>
        </w:rPr>
        <w:t>2</w:t>
      </w:r>
      <w:r w:rsidR="008E3BBC">
        <w:rPr>
          <w:rFonts w:ascii="楷体" w:eastAsia="楷体" w:hAnsi="楷体"/>
        </w:rPr>
        <w:t>008</w:t>
      </w:r>
      <w:r w:rsidR="008E3BBC">
        <w:rPr>
          <w:rFonts w:ascii="楷体" w:eastAsia="楷体" w:hAnsi="楷体" w:hint="eastAsia"/>
        </w:rPr>
        <w:t>年</w:t>
      </w:r>
      <w:r w:rsidR="00247AAD" w:rsidRPr="00DC3A0D">
        <w:rPr>
          <w:rFonts w:ascii="楷体" w:eastAsia="楷体" w:hAnsi="楷体" w:hint="eastAsia"/>
        </w:rPr>
        <w:t>全球金融危机以来</w:t>
      </w:r>
      <w:r w:rsidRPr="00DC3A0D">
        <w:rPr>
          <w:rFonts w:ascii="楷体" w:eastAsia="楷体" w:hAnsi="楷体" w:hint="eastAsia"/>
        </w:rPr>
        <w:t>我国宏观融资结构</w:t>
      </w:r>
      <w:r w:rsidR="00247AAD" w:rsidRPr="00DC3A0D">
        <w:rPr>
          <w:rFonts w:ascii="楷体" w:eastAsia="楷体" w:hAnsi="楷体" w:hint="eastAsia"/>
        </w:rPr>
        <w:t>的</w:t>
      </w:r>
      <w:r w:rsidR="004804E0">
        <w:rPr>
          <w:rFonts w:ascii="楷体" w:eastAsia="楷体" w:hAnsi="楷体" w:hint="eastAsia"/>
        </w:rPr>
        <w:t>转型</w:t>
      </w:r>
      <w:r w:rsidRPr="00DC3A0D">
        <w:rPr>
          <w:rFonts w:ascii="楷体" w:eastAsia="楷体" w:hAnsi="楷体" w:hint="eastAsia"/>
        </w:rPr>
        <w:t>特征</w:t>
      </w:r>
      <w:r w:rsidR="00476622" w:rsidRPr="00DC3A0D">
        <w:rPr>
          <w:rFonts w:ascii="楷体" w:eastAsia="楷体" w:hAnsi="楷体" w:hint="eastAsia"/>
        </w:rPr>
        <w:t>。</w:t>
      </w:r>
      <w:r w:rsidR="009579C7">
        <w:rPr>
          <w:rFonts w:ascii="楷体" w:eastAsia="楷体" w:hAnsi="楷体" w:hint="eastAsia"/>
        </w:rPr>
        <w:t>研究发现</w:t>
      </w:r>
      <w:r w:rsidR="0082555A">
        <w:rPr>
          <w:rFonts w:ascii="楷体" w:eastAsia="楷体" w:hAnsi="楷体" w:hint="eastAsia"/>
        </w:rPr>
        <w:t>，</w:t>
      </w:r>
      <w:r w:rsidR="00C65CFB">
        <w:rPr>
          <w:rFonts w:ascii="楷体" w:eastAsia="楷体" w:hAnsi="楷体" w:hint="eastAsia"/>
        </w:rPr>
        <w:t>我国</w:t>
      </w:r>
      <w:r w:rsidR="004070DB">
        <w:rPr>
          <w:rFonts w:ascii="楷体" w:eastAsia="楷体" w:hAnsi="楷体" w:hint="eastAsia"/>
        </w:rPr>
        <w:t>宏观融资结构在</w:t>
      </w:r>
      <w:r w:rsidR="0077648B">
        <w:rPr>
          <w:rFonts w:ascii="楷体" w:eastAsia="楷体" w:hAnsi="楷体" w:hint="eastAsia"/>
        </w:rPr>
        <w:t>过去十余年时间里</w:t>
      </w:r>
      <w:r w:rsidR="004070DB">
        <w:rPr>
          <w:rFonts w:ascii="楷体" w:eastAsia="楷体" w:hAnsi="楷体" w:hint="eastAsia"/>
        </w:rPr>
        <w:t>发生了三方面明显变化</w:t>
      </w:r>
      <w:r w:rsidR="00273E02">
        <w:rPr>
          <w:rFonts w:ascii="楷体" w:eastAsia="楷体" w:hAnsi="楷体" w:hint="eastAsia"/>
        </w:rPr>
        <w:t>：</w:t>
      </w:r>
      <w:r w:rsidR="00B8474E" w:rsidRPr="00DC3A0D">
        <w:rPr>
          <w:rFonts w:ascii="楷体" w:eastAsia="楷体" w:hAnsi="楷体" w:hint="eastAsia"/>
        </w:rPr>
        <w:t>第一，</w:t>
      </w:r>
      <w:r w:rsidR="00A92C10" w:rsidRPr="00DC3A0D">
        <w:rPr>
          <w:rFonts w:ascii="楷体" w:eastAsia="楷体" w:hAnsi="楷体" w:hint="eastAsia"/>
        </w:rPr>
        <w:t>在融资主体结构</w:t>
      </w:r>
      <w:r w:rsidR="00220047" w:rsidRPr="00DC3A0D">
        <w:rPr>
          <w:rFonts w:ascii="楷体" w:eastAsia="楷体" w:hAnsi="楷体" w:hint="eastAsia"/>
        </w:rPr>
        <w:t>方面，</w:t>
      </w:r>
      <w:r w:rsidRPr="00DC3A0D">
        <w:rPr>
          <w:rFonts w:ascii="楷体" w:eastAsia="楷体" w:hAnsi="楷体" w:hint="eastAsia"/>
          <w:szCs w:val="21"/>
        </w:rPr>
        <w:t>住户部门净融出</w:t>
      </w:r>
      <w:r w:rsidR="00A76957" w:rsidRPr="00DC3A0D">
        <w:rPr>
          <w:rFonts w:ascii="楷体" w:eastAsia="楷体" w:hAnsi="楷体" w:hint="eastAsia"/>
          <w:szCs w:val="21"/>
        </w:rPr>
        <w:t>和非金融企业部门净融入</w:t>
      </w:r>
      <w:r w:rsidRPr="00DC3A0D">
        <w:rPr>
          <w:rFonts w:ascii="楷体" w:eastAsia="楷体" w:hAnsi="楷体" w:hint="eastAsia"/>
          <w:szCs w:val="21"/>
        </w:rPr>
        <w:t>相对收缩，广义政府部门成为更重要</w:t>
      </w:r>
      <w:r w:rsidR="008E3BBC">
        <w:rPr>
          <w:rFonts w:ascii="楷体" w:eastAsia="楷体" w:hAnsi="楷体" w:hint="eastAsia"/>
          <w:szCs w:val="21"/>
        </w:rPr>
        <w:t>的</w:t>
      </w:r>
      <w:r w:rsidRPr="00DC3A0D">
        <w:rPr>
          <w:rFonts w:ascii="楷体" w:eastAsia="楷体" w:hAnsi="楷体" w:hint="eastAsia"/>
          <w:szCs w:val="21"/>
        </w:rPr>
        <w:t>融资主体</w:t>
      </w:r>
      <w:r w:rsidR="008E3BBC">
        <w:rPr>
          <w:rFonts w:ascii="楷体" w:eastAsia="楷体" w:hAnsi="楷体" w:hint="eastAsia"/>
          <w:szCs w:val="21"/>
        </w:rPr>
        <w:t>；</w:t>
      </w:r>
      <w:r w:rsidR="00B8474E" w:rsidRPr="00DC3A0D">
        <w:rPr>
          <w:rFonts w:ascii="楷体" w:eastAsia="楷体" w:hAnsi="楷体" w:hint="eastAsia"/>
          <w:szCs w:val="21"/>
        </w:rPr>
        <w:t>第二，</w:t>
      </w:r>
      <w:r w:rsidR="00F06F66" w:rsidRPr="00DC3A0D">
        <w:rPr>
          <w:rFonts w:ascii="楷体" w:eastAsia="楷体" w:hAnsi="楷体" w:hint="eastAsia"/>
          <w:szCs w:val="21"/>
        </w:rPr>
        <w:t>在</w:t>
      </w:r>
      <w:r w:rsidR="00663DC3" w:rsidRPr="00DC3A0D">
        <w:rPr>
          <w:rFonts w:ascii="楷体" w:eastAsia="楷体" w:hAnsi="楷体" w:hint="eastAsia"/>
          <w:szCs w:val="21"/>
        </w:rPr>
        <w:t>融资</w:t>
      </w:r>
      <w:r w:rsidR="00F06F66" w:rsidRPr="00DC3A0D">
        <w:rPr>
          <w:rFonts w:ascii="楷体" w:eastAsia="楷体" w:hAnsi="楷体" w:hint="eastAsia"/>
          <w:szCs w:val="21"/>
        </w:rPr>
        <w:t>用途结构方面，</w:t>
      </w:r>
      <w:r w:rsidRPr="00DC3A0D">
        <w:rPr>
          <w:rFonts w:ascii="楷体" w:eastAsia="楷体" w:hAnsi="楷体" w:hint="eastAsia"/>
          <w:szCs w:val="21"/>
        </w:rPr>
        <w:t>社会总融资中非生产性</w:t>
      </w:r>
      <w:r w:rsidR="00FF200C" w:rsidRPr="00DC3A0D">
        <w:rPr>
          <w:rFonts w:ascii="楷体" w:eastAsia="楷体" w:hAnsi="楷体" w:hint="eastAsia"/>
          <w:szCs w:val="21"/>
        </w:rPr>
        <w:t>和间接生产性</w:t>
      </w:r>
      <w:r w:rsidRPr="00DC3A0D">
        <w:rPr>
          <w:rFonts w:ascii="楷体" w:eastAsia="楷体" w:hAnsi="楷体" w:hint="eastAsia"/>
          <w:szCs w:val="21"/>
        </w:rPr>
        <w:t>融资占比上升，产业融资尤其是制造业融资占比大幅下降</w:t>
      </w:r>
      <w:r w:rsidR="00727950" w:rsidRPr="00DC3A0D">
        <w:rPr>
          <w:rFonts w:ascii="楷体" w:eastAsia="楷体" w:hAnsi="楷体" w:hint="eastAsia"/>
          <w:szCs w:val="21"/>
        </w:rPr>
        <w:t>，</w:t>
      </w:r>
      <w:r w:rsidR="0062010F">
        <w:rPr>
          <w:rFonts w:ascii="楷体" w:eastAsia="楷体" w:hAnsi="楷体" w:hint="eastAsia"/>
          <w:szCs w:val="21"/>
        </w:rPr>
        <w:t>与此</w:t>
      </w:r>
      <w:r w:rsidR="00891E59">
        <w:rPr>
          <w:rFonts w:ascii="楷体" w:eastAsia="楷体" w:hAnsi="楷体" w:hint="eastAsia"/>
          <w:szCs w:val="21"/>
        </w:rPr>
        <w:t>同时</w:t>
      </w:r>
      <w:r w:rsidR="00727950" w:rsidRPr="00DC3A0D">
        <w:rPr>
          <w:rFonts w:ascii="楷体" w:eastAsia="楷体" w:hAnsi="楷体" w:hint="eastAsia"/>
          <w:szCs w:val="21"/>
        </w:rPr>
        <w:t>存量债务利息支出</w:t>
      </w:r>
      <w:r w:rsidR="0098469C" w:rsidRPr="00DC3A0D">
        <w:rPr>
          <w:rFonts w:ascii="楷体" w:eastAsia="楷体" w:hAnsi="楷体" w:hint="eastAsia"/>
          <w:szCs w:val="21"/>
        </w:rPr>
        <w:t>负担</w:t>
      </w:r>
      <w:r w:rsidR="008C68EE" w:rsidRPr="00DC3A0D">
        <w:rPr>
          <w:rFonts w:ascii="楷体" w:eastAsia="楷体" w:hAnsi="楷体" w:hint="eastAsia"/>
          <w:szCs w:val="21"/>
        </w:rPr>
        <w:t>明显</w:t>
      </w:r>
      <w:r w:rsidR="0098469C" w:rsidRPr="00DC3A0D">
        <w:rPr>
          <w:rFonts w:ascii="楷体" w:eastAsia="楷体" w:hAnsi="楷体" w:hint="eastAsia"/>
          <w:szCs w:val="21"/>
        </w:rPr>
        <w:t>加重</w:t>
      </w:r>
      <w:r w:rsidR="008E3BBC">
        <w:rPr>
          <w:rFonts w:ascii="楷体" w:eastAsia="楷体" w:hAnsi="楷体" w:hint="eastAsia"/>
          <w:szCs w:val="21"/>
        </w:rPr>
        <w:t>；</w:t>
      </w:r>
      <w:r w:rsidR="00B8474E" w:rsidRPr="00DC3A0D">
        <w:rPr>
          <w:rFonts w:ascii="楷体" w:eastAsia="楷体" w:hAnsi="楷体" w:hint="eastAsia"/>
          <w:szCs w:val="21"/>
        </w:rPr>
        <w:t>第三，</w:t>
      </w:r>
      <w:r w:rsidR="00612F11" w:rsidRPr="00DC3A0D">
        <w:rPr>
          <w:rFonts w:ascii="楷体" w:eastAsia="楷体" w:hAnsi="楷体" w:hint="eastAsia"/>
          <w:szCs w:val="21"/>
        </w:rPr>
        <w:t>在融资渠道结构方面，</w:t>
      </w:r>
      <w:r w:rsidR="00D23439" w:rsidRPr="00D23439">
        <w:rPr>
          <w:rFonts w:ascii="楷体" w:eastAsia="楷体" w:hAnsi="楷体" w:hint="eastAsia"/>
          <w:szCs w:val="21"/>
        </w:rPr>
        <w:t>间接融资和债务融资为主的</w:t>
      </w:r>
      <w:r w:rsidR="00A15C6D" w:rsidRPr="00DC3A0D">
        <w:rPr>
          <w:rFonts w:ascii="楷体" w:eastAsia="楷体" w:hAnsi="楷体" w:hint="eastAsia"/>
          <w:szCs w:val="21"/>
        </w:rPr>
        <w:t>格局</w:t>
      </w:r>
      <w:r w:rsidRPr="00DC3A0D">
        <w:rPr>
          <w:rFonts w:ascii="楷体" w:eastAsia="楷体" w:hAnsi="楷体" w:hint="eastAsia"/>
          <w:szCs w:val="21"/>
        </w:rPr>
        <w:t>仍然突出的同时，间接融资与直接融资之间</w:t>
      </w:r>
      <w:r w:rsidR="00144282">
        <w:rPr>
          <w:rFonts w:ascii="楷体" w:eastAsia="楷体" w:hAnsi="楷体" w:hint="eastAsia"/>
          <w:szCs w:val="21"/>
        </w:rPr>
        <w:t>、股权融资与债务融资之间</w:t>
      </w:r>
      <w:r w:rsidRPr="00DC3A0D">
        <w:rPr>
          <w:rFonts w:ascii="楷体" w:eastAsia="楷体" w:hAnsi="楷体" w:hint="eastAsia"/>
          <w:szCs w:val="21"/>
        </w:rPr>
        <w:t>的传统</w:t>
      </w:r>
      <w:r w:rsidR="00F75CAE" w:rsidRPr="00DC3A0D">
        <w:rPr>
          <w:rFonts w:ascii="楷体" w:eastAsia="楷体" w:hAnsi="楷体" w:hint="eastAsia"/>
          <w:szCs w:val="21"/>
        </w:rPr>
        <w:t>边界</w:t>
      </w:r>
      <w:r w:rsidRPr="00DC3A0D">
        <w:rPr>
          <w:rFonts w:ascii="楷体" w:eastAsia="楷体" w:hAnsi="楷体" w:hint="eastAsia"/>
          <w:szCs w:val="21"/>
        </w:rPr>
        <w:t>被突破，“混合融资模式”发展较快</w:t>
      </w:r>
      <w:r w:rsidR="002E49C7" w:rsidRPr="00DC3A0D">
        <w:rPr>
          <w:rFonts w:ascii="楷体" w:eastAsia="楷体" w:hAnsi="楷体" w:hint="eastAsia"/>
          <w:szCs w:val="21"/>
        </w:rPr>
        <w:t>，</w:t>
      </w:r>
      <w:r w:rsidR="006D6AD1" w:rsidRPr="00DC3A0D">
        <w:rPr>
          <w:rFonts w:ascii="楷体" w:eastAsia="楷体" w:hAnsi="楷体" w:hint="eastAsia"/>
          <w:szCs w:val="21"/>
        </w:rPr>
        <w:t>金融业态发展导致</w:t>
      </w:r>
      <w:r w:rsidR="008441E6">
        <w:rPr>
          <w:rFonts w:ascii="楷体" w:eastAsia="楷体" w:hAnsi="楷体" w:hint="eastAsia"/>
          <w:szCs w:val="21"/>
        </w:rPr>
        <w:t>了</w:t>
      </w:r>
      <w:r w:rsidR="002E49C7" w:rsidRPr="00DC3A0D">
        <w:rPr>
          <w:rFonts w:ascii="楷体" w:eastAsia="楷体" w:hAnsi="楷体" w:hint="eastAsia"/>
          <w:szCs w:val="21"/>
        </w:rPr>
        <w:t>融资链条拉长</w:t>
      </w:r>
      <w:r w:rsidR="001C54E3" w:rsidRPr="00DC3A0D">
        <w:rPr>
          <w:rFonts w:ascii="楷体" w:eastAsia="楷体" w:hAnsi="楷体" w:hint="eastAsia"/>
          <w:szCs w:val="21"/>
        </w:rPr>
        <w:t>。</w:t>
      </w:r>
      <w:r w:rsidRPr="00DC3A0D">
        <w:rPr>
          <w:rFonts w:ascii="楷体" w:eastAsia="楷体" w:hAnsi="楷体" w:hint="eastAsia"/>
          <w:szCs w:val="21"/>
        </w:rPr>
        <w:t>宏观融资结构</w:t>
      </w:r>
      <w:r w:rsidR="00F23617">
        <w:rPr>
          <w:rFonts w:ascii="楷体" w:eastAsia="楷体" w:hAnsi="楷体" w:hint="eastAsia"/>
          <w:szCs w:val="21"/>
        </w:rPr>
        <w:t>转型</w:t>
      </w:r>
      <w:r w:rsidRPr="00DC3A0D">
        <w:rPr>
          <w:rFonts w:ascii="楷体" w:eastAsia="楷体" w:hAnsi="楷体" w:hint="eastAsia"/>
          <w:szCs w:val="21"/>
        </w:rPr>
        <w:t>根</w:t>
      </w:r>
      <w:r w:rsidR="008441E6" w:rsidRPr="00DC3A0D">
        <w:rPr>
          <w:rFonts w:ascii="楷体" w:eastAsia="楷体" w:hAnsi="楷体" w:hint="eastAsia"/>
          <w:szCs w:val="21"/>
        </w:rPr>
        <w:t>植</w:t>
      </w:r>
      <w:r w:rsidRPr="00DC3A0D">
        <w:rPr>
          <w:rFonts w:ascii="楷体" w:eastAsia="楷体" w:hAnsi="楷体" w:hint="eastAsia"/>
          <w:szCs w:val="21"/>
        </w:rPr>
        <w:t>于</w:t>
      </w:r>
      <w:r w:rsidR="00C75E01" w:rsidRPr="00DC3A0D">
        <w:rPr>
          <w:rFonts w:ascii="楷体" w:eastAsia="楷体" w:hAnsi="楷体" w:hint="eastAsia"/>
          <w:szCs w:val="21"/>
        </w:rPr>
        <w:t>我国</w:t>
      </w:r>
      <w:r w:rsidRPr="00DC3A0D">
        <w:rPr>
          <w:rFonts w:ascii="楷体" w:eastAsia="楷体" w:hAnsi="楷体" w:hint="eastAsia"/>
          <w:szCs w:val="21"/>
        </w:rPr>
        <w:t>国民经济储蓄投资格局调整的大背景</w:t>
      </w:r>
      <w:r w:rsidR="00FC49B2">
        <w:rPr>
          <w:rFonts w:ascii="楷体" w:eastAsia="楷体" w:hAnsi="楷体" w:hint="eastAsia"/>
          <w:szCs w:val="21"/>
        </w:rPr>
        <w:t>，</w:t>
      </w:r>
      <w:r w:rsidR="00D60799">
        <w:rPr>
          <w:rFonts w:ascii="楷体" w:eastAsia="楷体" w:hAnsi="楷体" w:hint="eastAsia"/>
          <w:szCs w:val="21"/>
        </w:rPr>
        <w:t>它一方面</w:t>
      </w:r>
      <w:r w:rsidR="00471E31">
        <w:rPr>
          <w:rFonts w:ascii="楷体" w:eastAsia="楷体" w:hAnsi="楷体" w:hint="eastAsia"/>
          <w:szCs w:val="21"/>
        </w:rPr>
        <w:t>是</w:t>
      </w:r>
      <w:r w:rsidRPr="00DC3A0D">
        <w:rPr>
          <w:rFonts w:ascii="楷体" w:eastAsia="楷体" w:hAnsi="楷体" w:hint="eastAsia"/>
        </w:rPr>
        <w:t>经济发展阶段</w:t>
      </w:r>
      <w:r w:rsidR="009E1D6B" w:rsidRPr="00DC3A0D">
        <w:rPr>
          <w:rFonts w:ascii="楷体" w:eastAsia="楷体" w:hAnsi="楷体" w:hint="eastAsia"/>
        </w:rPr>
        <w:t>变化</w:t>
      </w:r>
      <w:r w:rsidRPr="00DC3A0D">
        <w:rPr>
          <w:rFonts w:ascii="楷体" w:eastAsia="楷体" w:hAnsi="楷体" w:hint="eastAsia"/>
        </w:rPr>
        <w:t>、经济结构转型、宏观经济周期及政策调整等多种因素综合导致的结果，</w:t>
      </w:r>
      <w:r w:rsidR="00D60799">
        <w:rPr>
          <w:rFonts w:ascii="楷体" w:eastAsia="楷体" w:hAnsi="楷体" w:hint="eastAsia"/>
        </w:rPr>
        <w:t>另一方面</w:t>
      </w:r>
      <w:r w:rsidRPr="00DC3A0D">
        <w:rPr>
          <w:rFonts w:ascii="楷体" w:eastAsia="楷体" w:hAnsi="楷体" w:hint="eastAsia"/>
        </w:rPr>
        <w:t>也造成了</w:t>
      </w:r>
      <w:r w:rsidR="004F4182" w:rsidRPr="00DC3A0D">
        <w:rPr>
          <w:rFonts w:ascii="楷体" w:eastAsia="楷体" w:hAnsi="楷体" w:hint="eastAsia"/>
        </w:rPr>
        <w:t>诸如</w:t>
      </w:r>
      <w:r w:rsidRPr="00DC3A0D">
        <w:rPr>
          <w:rFonts w:ascii="楷体" w:eastAsia="楷体" w:hAnsi="楷体" w:hint="eastAsia"/>
        </w:rPr>
        <w:t>部门</w:t>
      </w:r>
      <w:r w:rsidR="000701AF" w:rsidRPr="00DC3A0D">
        <w:rPr>
          <w:rFonts w:ascii="楷体" w:eastAsia="楷体" w:hAnsi="楷体" w:hint="eastAsia"/>
        </w:rPr>
        <w:t>杠杆率</w:t>
      </w:r>
      <w:r w:rsidRPr="00DC3A0D">
        <w:rPr>
          <w:rFonts w:ascii="楷体" w:eastAsia="楷体" w:hAnsi="楷体" w:hint="eastAsia"/>
        </w:rPr>
        <w:t>结构变化</w:t>
      </w:r>
      <w:r w:rsidR="00BB7AFE" w:rsidRPr="00DC3A0D">
        <w:rPr>
          <w:rFonts w:ascii="楷体" w:eastAsia="楷体" w:hAnsi="楷体" w:hint="eastAsia"/>
        </w:rPr>
        <w:t>和</w:t>
      </w:r>
      <w:r w:rsidRPr="00DC3A0D">
        <w:rPr>
          <w:rFonts w:ascii="楷体" w:eastAsia="楷体" w:hAnsi="楷体" w:hint="eastAsia"/>
        </w:rPr>
        <w:t>社会</w:t>
      </w:r>
      <w:r w:rsidR="000C3CFD" w:rsidRPr="00DC3A0D">
        <w:rPr>
          <w:rFonts w:ascii="楷体" w:eastAsia="楷体" w:hAnsi="楷体" w:hint="eastAsia"/>
        </w:rPr>
        <w:t>融资</w:t>
      </w:r>
      <w:r w:rsidRPr="00DC3A0D">
        <w:rPr>
          <w:rFonts w:ascii="楷体" w:eastAsia="楷体" w:hAnsi="楷体" w:hint="eastAsia"/>
        </w:rPr>
        <w:t>总体回报率下降等后果。</w:t>
      </w:r>
      <w:r w:rsidR="0017559B" w:rsidRPr="00DC3A0D">
        <w:rPr>
          <w:rFonts w:ascii="楷体" w:eastAsia="楷体" w:hAnsi="楷体" w:hint="eastAsia"/>
        </w:rPr>
        <w:t>展望未来，</w:t>
      </w:r>
      <w:r w:rsidRPr="00DC3A0D">
        <w:rPr>
          <w:rFonts w:ascii="楷体" w:eastAsia="楷体" w:hAnsi="楷体" w:hint="eastAsia"/>
        </w:rPr>
        <w:t>提升金融资源配置效率和防范化解重大金融风险的根本在于优化融资结构</w:t>
      </w:r>
      <w:r w:rsidR="008441E6">
        <w:rPr>
          <w:rFonts w:ascii="楷体" w:eastAsia="楷体" w:hAnsi="楷体" w:hint="eastAsia"/>
        </w:rPr>
        <w:t>。</w:t>
      </w:r>
      <w:r w:rsidRPr="00DC3A0D">
        <w:rPr>
          <w:rFonts w:ascii="楷体" w:eastAsia="楷体" w:hAnsi="楷体" w:hint="eastAsia"/>
        </w:rPr>
        <w:t>本文最后</w:t>
      </w:r>
      <w:r w:rsidR="002D3B73" w:rsidRPr="00DC3A0D">
        <w:rPr>
          <w:rFonts w:ascii="楷体" w:eastAsia="楷体" w:hAnsi="楷体" w:hint="eastAsia"/>
        </w:rPr>
        <w:t>就此</w:t>
      </w:r>
      <w:r w:rsidRPr="00DC3A0D">
        <w:rPr>
          <w:rFonts w:ascii="楷体" w:eastAsia="楷体" w:hAnsi="楷体" w:hint="eastAsia"/>
        </w:rPr>
        <w:t>提出了</w:t>
      </w:r>
      <w:r w:rsidR="00125B2D" w:rsidRPr="00DC3A0D">
        <w:rPr>
          <w:rFonts w:ascii="楷体" w:eastAsia="楷体" w:hAnsi="楷体" w:hint="eastAsia"/>
        </w:rPr>
        <w:t>若干</w:t>
      </w:r>
      <w:r w:rsidRPr="00DC3A0D">
        <w:rPr>
          <w:rFonts w:ascii="楷体" w:eastAsia="楷体" w:hAnsi="楷体" w:hint="eastAsia"/>
        </w:rPr>
        <w:t>针对性政策建议。</w:t>
      </w:r>
    </w:p>
    <w:p w14:paraId="4FD6F52A" w14:textId="20C84390" w:rsidR="00F32E17" w:rsidRPr="00DC3A0D" w:rsidRDefault="00F32E17" w:rsidP="00BE5CE1">
      <w:pPr>
        <w:ind w:firstLineChars="200" w:firstLine="420"/>
        <w:rPr>
          <w:rFonts w:ascii="楷体" w:eastAsia="楷体" w:hAnsi="楷体"/>
        </w:rPr>
      </w:pPr>
      <w:r w:rsidRPr="00F51C9C">
        <w:rPr>
          <w:rFonts w:ascii="黑体" w:eastAsia="黑体" w:hAnsi="黑体" w:hint="eastAsia"/>
          <w:bCs/>
        </w:rPr>
        <w:t>关键词：</w:t>
      </w:r>
      <w:r w:rsidRPr="00DC3A0D">
        <w:rPr>
          <w:rFonts w:ascii="楷体" w:eastAsia="楷体" w:hAnsi="楷体" w:hint="eastAsia"/>
        </w:rPr>
        <w:t>宏观融资结构</w:t>
      </w:r>
      <w:r w:rsidR="008441E6">
        <w:rPr>
          <w:rFonts w:ascii="楷体" w:eastAsia="楷体" w:hAnsi="楷体" w:hint="eastAsia"/>
        </w:rPr>
        <w:t xml:space="preserve"> </w:t>
      </w:r>
      <w:r w:rsidR="008441E6">
        <w:rPr>
          <w:rFonts w:ascii="楷体" w:eastAsia="楷体" w:hAnsi="楷体"/>
        </w:rPr>
        <w:t xml:space="preserve"> </w:t>
      </w:r>
      <w:r w:rsidRPr="00DC3A0D">
        <w:rPr>
          <w:rFonts w:ascii="楷体" w:eastAsia="楷体" w:hAnsi="楷体" w:hint="eastAsia"/>
        </w:rPr>
        <w:t xml:space="preserve">金融效率 </w:t>
      </w:r>
      <w:r w:rsidR="008441E6">
        <w:rPr>
          <w:rFonts w:ascii="楷体" w:eastAsia="楷体" w:hAnsi="楷体"/>
        </w:rPr>
        <w:t xml:space="preserve"> </w:t>
      </w:r>
      <w:r w:rsidRPr="00DC3A0D">
        <w:rPr>
          <w:rFonts w:ascii="楷体" w:eastAsia="楷体" w:hAnsi="楷体" w:hint="eastAsia"/>
        </w:rPr>
        <w:t>杠杆率</w:t>
      </w:r>
    </w:p>
    <w:p w14:paraId="6358BA11" w14:textId="34DEB735" w:rsidR="00E1123B" w:rsidRDefault="00787455" w:rsidP="004A145E">
      <w:pPr>
        <w:rPr>
          <w:rFonts w:ascii="楷体" w:eastAsia="楷体" w:hAnsi="楷体" w:cs="Times New Roman"/>
        </w:rPr>
      </w:pPr>
      <w:r>
        <w:rPr>
          <w:rFonts w:ascii="楷体" w:eastAsia="楷体" w:hAnsi="楷体" w:cs="Times New Roman" w:hint="eastAsia"/>
        </w:rPr>
        <w:t>中图分类号：</w:t>
      </w:r>
      <w:r w:rsidR="009067FB">
        <w:rPr>
          <w:rFonts w:ascii="楷体" w:eastAsia="楷体" w:hAnsi="楷体" w:cs="Times New Roman" w:hint="eastAsia"/>
        </w:rPr>
        <w:t>F</w:t>
      </w:r>
      <w:r w:rsidR="009067FB">
        <w:rPr>
          <w:rFonts w:ascii="楷体" w:eastAsia="楷体" w:hAnsi="楷体" w:cs="Times New Roman"/>
        </w:rPr>
        <w:t>832.4</w:t>
      </w:r>
      <w:r>
        <w:rPr>
          <w:rFonts w:ascii="楷体" w:eastAsia="楷体" w:hAnsi="楷体" w:cs="Times New Roman" w:hint="eastAsia"/>
        </w:rPr>
        <w:t xml:space="preserve"> </w:t>
      </w:r>
      <w:r>
        <w:rPr>
          <w:rFonts w:ascii="楷体" w:eastAsia="楷体" w:hAnsi="楷体" w:cs="Times New Roman"/>
        </w:rPr>
        <w:t xml:space="preserve">               </w:t>
      </w:r>
      <w:r>
        <w:rPr>
          <w:rFonts w:ascii="楷体" w:eastAsia="楷体" w:hAnsi="楷体" w:cs="Times New Roman" w:hint="eastAsia"/>
        </w:rPr>
        <w:t>JEL：</w:t>
      </w:r>
      <w:r w:rsidR="002456CE">
        <w:rPr>
          <w:rFonts w:ascii="楷体" w:eastAsia="楷体" w:hAnsi="楷体" w:cs="Times New Roman" w:hint="eastAsia"/>
        </w:rPr>
        <w:t>E</w:t>
      </w:r>
      <w:r w:rsidR="002456CE">
        <w:rPr>
          <w:rFonts w:ascii="楷体" w:eastAsia="楷体" w:hAnsi="楷体" w:cs="Times New Roman"/>
        </w:rPr>
        <w:t>51</w:t>
      </w:r>
    </w:p>
    <w:p w14:paraId="23EA7223" w14:textId="77777777" w:rsidR="00787455" w:rsidRDefault="00787455" w:rsidP="004A145E">
      <w:pPr>
        <w:rPr>
          <w:rFonts w:ascii="宋体" w:hAnsi="宋体"/>
        </w:rPr>
      </w:pPr>
    </w:p>
    <w:p w14:paraId="788D562D" w14:textId="3982C5EF" w:rsidR="00787455" w:rsidRDefault="008401AA" w:rsidP="00787455">
      <w:pPr>
        <w:jc w:val="center"/>
        <w:rPr>
          <w:rFonts w:cs="Times New Roman"/>
          <w:b/>
          <w:bCs/>
        </w:rPr>
      </w:pPr>
      <w:r>
        <w:rPr>
          <w:rFonts w:cs="Times New Roman"/>
          <w:b/>
          <w:bCs/>
        </w:rPr>
        <w:t>T</w:t>
      </w:r>
      <w:r w:rsidR="00787455" w:rsidRPr="00DC3A0D">
        <w:rPr>
          <w:rFonts w:cs="Times New Roman"/>
          <w:b/>
          <w:bCs/>
        </w:rPr>
        <w:t>he Transformational Characteristics of China's Macro Financing Structure</w:t>
      </w:r>
    </w:p>
    <w:p w14:paraId="123D1FBC" w14:textId="4DF72911" w:rsidR="00127A23" w:rsidRDefault="00127A23" w:rsidP="00787455">
      <w:pPr>
        <w:jc w:val="center"/>
        <w:rPr>
          <w:rFonts w:cs="Times New Roman"/>
          <w:b/>
          <w:bCs/>
        </w:rPr>
      </w:pPr>
    </w:p>
    <w:p w14:paraId="1DEF4CBE" w14:textId="34301553" w:rsidR="00127A23" w:rsidRDefault="00127A23" w:rsidP="00787455">
      <w:pPr>
        <w:jc w:val="center"/>
        <w:rPr>
          <w:rFonts w:cs="Times New Roman"/>
        </w:rPr>
      </w:pPr>
      <w:r w:rsidRPr="00127A23">
        <w:rPr>
          <w:rFonts w:cs="Times New Roman" w:hint="eastAsia"/>
        </w:rPr>
        <w:t>H</w:t>
      </w:r>
      <w:r w:rsidRPr="00127A23">
        <w:rPr>
          <w:rFonts w:cs="Times New Roman"/>
        </w:rPr>
        <w:t xml:space="preserve">E </w:t>
      </w:r>
      <w:proofErr w:type="spellStart"/>
      <w:r w:rsidRPr="00127A23">
        <w:rPr>
          <w:rFonts w:cs="Times New Roman"/>
        </w:rPr>
        <w:t>D</w:t>
      </w:r>
      <w:r w:rsidRPr="00127A23">
        <w:rPr>
          <w:rFonts w:cs="Times New Roman" w:hint="eastAsia"/>
        </w:rPr>
        <w:t>exu</w:t>
      </w:r>
      <w:proofErr w:type="spellEnd"/>
      <w:r w:rsidRPr="00127A23">
        <w:rPr>
          <w:rFonts w:cs="Times New Roman"/>
        </w:rPr>
        <w:t xml:space="preserve">  FENG Ming</w:t>
      </w:r>
    </w:p>
    <w:p w14:paraId="33AEE7EC" w14:textId="585D4365" w:rsidR="00127A23" w:rsidRDefault="00127A23" w:rsidP="00787455">
      <w:pPr>
        <w:jc w:val="center"/>
        <w:rPr>
          <w:rFonts w:cs="Times New Roman"/>
        </w:rPr>
      </w:pPr>
      <w:r>
        <w:rPr>
          <w:rFonts w:cs="Times New Roman" w:hint="eastAsia"/>
        </w:rPr>
        <w:t>（</w:t>
      </w:r>
      <w:r w:rsidRPr="00127A23">
        <w:rPr>
          <w:rFonts w:cs="Times New Roman"/>
        </w:rPr>
        <w:t>National Academy of Economic Strategy</w:t>
      </w:r>
      <w:r>
        <w:rPr>
          <w:rFonts w:cs="Times New Roman" w:hint="eastAsia"/>
        </w:rPr>
        <w:t>,</w:t>
      </w:r>
      <w:r w:rsidRPr="00127A23">
        <w:rPr>
          <w:rFonts w:cs="Times New Roman"/>
        </w:rPr>
        <w:t xml:space="preserve"> Chinese Academy of Social Sciences</w:t>
      </w:r>
      <w:r>
        <w:rPr>
          <w:rFonts w:cs="Times New Roman"/>
        </w:rPr>
        <w:t>, Beijing, China</w:t>
      </w:r>
      <w:r>
        <w:rPr>
          <w:rFonts w:cs="Times New Roman" w:hint="eastAsia"/>
        </w:rPr>
        <w:t>）</w:t>
      </w:r>
    </w:p>
    <w:p w14:paraId="0CEF53E9" w14:textId="77777777" w:rsidR="009A118F" w:rsidRPr="00127A23" w:rsidRDefault="009A118F" w:rsidP="00787455">
      <w:pPr>
        <w:jc w:val="center"/>
        <w:rPr>
          <w:rFonts w:cs="Times New Roman"/>
        </w:rPr>
      </w:pPr>
    </w:p>
    <w:p w14:paraId="612FF2CF" w14:textId="53BAF5F9" w:rsidR="00787455" w:rsidRPr="00DC3A0D" w:rsidRDefault="00787455" w:rsidP="00D23439">
      <w:pPr>
        <w:ind w:firstLineChars="200" w:firstLine="422"/>
        <w:rPr>
          <w:rFonts w:cs="Times New Roman"/>
        </w:rPr>
      </w:pPr>
      <w:r w:rsidRPr="00DC3A0D">
        <w:rPr>
          <w:rFonts w:cs="Times New Roman"/>
          <w:b/>
          <w:bCs/>
        </w:rPr>
        <w:t xml:space="preserve">Abstract: </w:t>
      </w:r>
      <w:r w:rsidRPr="00DC3A0D">
        <w:rPr>
          <w:rFonts w:cs="Times New Roman"/>
        </w:rPr>
        <w:t xml:space="preserve">The declining financial efficiency and the rising leverage ratio </w:t>
      </w:r>
      <w:r w:rsidRPr="00DC3A0D">
        <w:rPr>
          <w:rFonts w:cs="Times New Roman" w:hint="eastAsia"/>
        </w:rPr>
        <w:t>in</w:t>
      </w:r>
      <w:r w:rsidRPr="00DC3A0D">
        <w:rPr>
          <w:rFonts w:cs="Times New Roman"/>
        </w:rPr>
        <w:t xml:space="preserve"> recent years in China are mainly structural</w:t>
      </w:r>
      <w:r w:rsidR="00D044E8">
        <w:rPr>
          <w:rFonts w:cs="Times New Roman"/>
        </w:rPr>
        <w:t xml:space="preserve"> </w:t>
      </w:r>
      <w:r w:rsidR="00D044E8">
        <w:rPr>
          <w:rFonts w:cs="Times New Roman" w:hint="eastAsia"/>
        </w:rPr>
        <w:t>issue</w:t>
      </w:r>
      <w:r w:rsidR="00D044E8">
        <w:rPr>
          <w:rFonts w:cs="Times New Roman"/>
        </w:rPr>
        <w:t>s</w:t>
      </w:r>
      <w:r w:rsidRPr="00DC3A0D">
        <w:rPr>
          <w:rFonts w:cs="Times New Roman"/>
        </w:rPr>
        <w:t>, rather than aggregate issue</w:t>
      </w:r>
      <w:r w:rsidR="00D044E8">
        <w:rPr>
          <w:rFonts w:cs="Times New Roman"/>
        </w:rPr>
        <w:t>s</w:t>
      </w:r>
      <w:r w:rsidRPr="00DC3A0D">
        <w:rPr>
          <w:rFonts w:cs="Times New Roman"/>
        </w:rPr>
        <w:t xml:space="preserve">. China's Macro Financing Structure (MFS) has undergone a profound transformation during the more than decade since the 2008 global financial crisis. In this article, we analyze China’s MFS from the </w:t>
      </w:r>
      <w:r w:rsidRPr="00DC3A0D">
        <w:rPr>
          <w:rFonts w:cs="Times New Roman" w:hint="eastAsia"/>
        </w:rPr>
        <w:t>three</w:t>
      </w:r>
      <w:r w:rsidRPr="00DC3A0D">
        <w:rPr>
          <w:rFonts w:cs="Times New Roman"/>
        </w:rPr>
        <w:t xml:space="preserve"> perspectives of </w:t>
      </w:r>
      <w:r w:rsidR="00253DFB">
        <w:rPr>
          <w:rFonts w:cs="Times New Roman"/>
        </w:rPr>
        <w:t xml:space="preserve">the </w:t>
      </w:r>
      <w:r w:rsidRPr="00DC3A0D">
        <w:rPr>
          <w:rFonts w:cs="Times New Roman"/>
        </w:rPr>
        <w:t xml:space="preserve">financing subjects, </w:t>
      </w:r>
      <w:r w:rsidR="00253DFB">
        <w:rPr>
          <w:rFonts w:cs="Times New Roman"/>
        </w:rPr>
        <w:t xml:space="preserve">the </w:t>
      </w:r>
      <w:r w:rsidRPr="00DC3A0D">
        <w:rPr>
          <w:rFonts w:cs="Times New Roman"/>
        </w:rPr>
        <w:t xml:space="preserve">use of funds, and </w:t>
      </w:r>
      <w:r w:rsidR="00253DFB">
        <w:rPr>
          <w:rFonts w:cs="Times New Roman"/>
        </w:rPr>
        <w:t xml:space="preserve">the </w:t>
      </w:r>
      <w:r w:rsidRPr="00DC3A0D">
        <w:rPr>
          <w:rFonts w:cs="Times New Roman"/>
        </w:rPr>
        <w:t>financing channels respectively</w:t>
      </w:r>
      <w:r w:rsidR="00253DFB">
        <w:rPr>
          <w:rFonts w:cs="Times New Roman"/>
        </w:rPr>
        <w:t>. We find that</w:t>
      </w:r>
      <w:r w:rsidRPr="00DC3A0D">
        <w:rPr>
          <w:rFonts w:cs="Times New Roman"/>
        </w:rPr>
        <w:t xml:space="preserve"> </w:t>
      </w:r>
      <w:r w:rsidR="00253DFB">
        <w:rPr>
          <w:rFonts w:cs="Times New Roman"/>
        </w:rPr>
        <w:t>China’s MFS</w:t>
      </w:r>
      <w:r w:rsidRPr="00DC3A0D">
        <w:rPr>
          <w:rFonts w:cs="Times New Roman"/>
        </w:rPr>
        <w:t xml:space="preserve"> presents </w:t>
      </w:r>
      <w:r w:rsidR="00253DFB">
        <w:rPr>
          <w:rFonts w:cs="Times New Roman"/>
        </w:rPr>
        <w:t>the following</w:t>
      </w:r>
      <w:r w:rsidRPr="00DC3A0D">
        <w:rPr>
          <w:rFonts w:cs="Times New Roman"/>
        </w:rPr>
        <w:t xml:space="preserve"> typical transformation</w:t>
      </w:r>
      <w:r w:rsidRPr="00DC3A0D">
        <w:rPr>
          <w:rFonts w:cs="Times New Roman" w:hint="eastAsia"/>
        </w:rPr>
        <w:t>al</w:t>
      </w:r>
      <w:r w:rsidRPr="00DC3A0D">
        <w:rPr>
          <w:rFonts w:cs="Times New Roman"/>
        </w:rPr>
        <w:t xml:space="preserve"> characteristics: First, the household sector’s net supply of funds and the non-financial corporate sector’s net demand of funds have relatively shrunk, while the general government sector has become a more important financing entity. Second, the proportion of non-production use in total social financing has increased, the burden of interest payments on existing debt has increased significantly, while the proportion of industrial financing, especially </w:t>
      </w:r>
      <w:r w:rsidR="00144282">
        <w:rPr>
          <w:rFonts w:cs="Times New Roman"/>
        </w:rPr>
        <w:t xml:space="preserve">the </w:t>
      </w:r>
      <w:r w:rsidRPr="00DC3A0D">
        <w:rPr>
          <w:rFonts w:cs="Times New Roman"/>
        </w:rPr>
        <w:t xml:space="preserve">financing </w:t>
      </w:r>
      <w:r w:rsidR="00144282">
        <w:rPr>
          <w:rFonts w:cs="Times New Roman"/>
        </w:rPr>
        <w:t>by</w:t>
      </w:r>
      <w:r w:rsidRPr="00DC3A0D">
        <w:rPr>
          <w:rFonts w:cs="Times New Roman"/>
        </w:rPr>
        <w:t xml:space="preserve"> the manufacture industry, has fallen sharply. Third, </w:t>
      </w:r>
      <w:r w:rsidR="00144282">
        <w:rPr>
          <w:rFonts w:cs="Times New Roman"/>
        </w:rPr>
        <w:t xml:space="preserve">while </w:t>
      </w:r>
      <w:r w:rsidRPr="00DC3A0D">
        <w:rPr>
          <w:rFonts w:cs="Times New Roman"/>
        </w:rPr>
        <w:t xml:space="preserve">the </w:t>
      </w:r>
      <w:r w:rsidR="00A028BA" w:rsidRPr="00A028BA">
        <w:rPr>
          <w:rFonts w:cs="Times New Roman"/>
        </w:rPr>
        <w:t>dominant position</w:t>
      </w:r>
      <w:r w:rsidR="00A028BA">
        <w:rPr>
          <w:rFonts w:cs="Times New Roman"/>
        </w:rPr>
        <w:t xml:space="preserve"> </w:t>
      </w:r>
      <w:r w:rsidR="00D23439" w:rsidRPr="00D23439">
        <w:rPr>
          <w:rFonts w:cs="Times New Roman"/>
        </w:rPr>
        <w:t>of indirect financing and debt financing is still prominent</w:t>
      </w:r>
      <w:r w:rsidRPr="00DC3A0D">
        <w:rPr>
          <w:rFonts w:cs="Times New Roman"/>
        </w:rPr>
        <w:t>, the traditional boundary between indirect finance and direct finance</w:t>
      </w:r>
      <w:r w:rsidR="00676712">
        <w:rPr>
          <w:rFonts w:cs="Times New Roman"/>
        </w:rPr>
        <w:t xml:space="preserve"> as well as the </w:t>
      </w:r>
      <w:r w:rsidR="00676712" w:rsidRPr="00DC3A0D">
        <w:rPr>
          <w:rFonts w:cs="Times New Roman"/>
        </w:rPr>
        <w:t>boundary</w:t>
      </w:r>
      <w:r w:rsidR="00676712">
        <w:rPr>
          <w:rFonts w:cs="Times New Roman"/>
        </w:rPr>
        <w:t xml:space="preserve"> between </w:t>
      </w:r>
      <w:r w:rsidR="00617AAC">
        <w:rPr>
          <w:rFonts w:cs="Times New Roman"/>
        </w:rPr>
        <w:t>e</w:t>
      </w:r>
      <w:r w:rsidR="00617AAC" w:rsidRPr="00617AAC">
        <w:rPr>
          <w:rFonts w:cs="Times New Roman"/>
        </w:rPr>
        <w:t>quity financing and debt financing</w:t>
      </w:r>
      <w:r w:rsidRPr="00DC3A0D">
        <w:rPr>
          <w:rFonts w:cs="Times New Roman"/>
        </w:rPr>
        <w:t xml:space="preserve"> ha</w:t>
      </w:r>
      <w:r w:rsidR="00E67087">
        <w:rPr>
          <w:rFonts w:cs="Times New Roman"/>
        </w:rPr>
        <w:t>ve</w:t>
      </w:r>
      <w:r w:rsidRPr="00DC3A0D">
        <w:rPr>
          <w:rFonts w:cs="Times New Roman"/>
        </w:rPr>
        <w:t xml:space="preserve"> been being broken, with the "hybrid financing model" developing rapidly and the funding chain lengthened. The transformation of MFS is rooted in the background of the adjustment </w:t>
      </w:r>
      <w:r w:rsidRPr="00DC3A0D">
        <w:rPr>
          <w:rFonts w:cs="Times New Roman"/>
        </w:rPr>
        <w:lastRenderedPageBreak/>
        <w:t xml:space="preserve">of national saving and national investment in China. On one hand, it is the result of a combination of factors such as the evolving economic development stage, economic structure transformation, macroeconomic cycles and policies. On the other hand, it leads to the consequences such as the changing in the structure of liability between sectors and the declining in the overall rate of return of social funds. </w:t>
      </w:r>
      <w:r w:rsidR="00C62C0C" w:rsidRPr="00C62C0C">
        <w:rPr>
          <w:rFonts w:cs="Times New Roman"/>
        </w:rPr>
        <w:t>The fundamental measure to</w:t>
      </w:r>
      <w:r w:rsidR="00C62C0C">
        <w:rPr>
          <w:rFonts w:cs="Times New Roman"/>
        </w:rPr>
        <w:t xml:space="preserve"> </w:t>
      </w:r>
      <w:r w:rsidR="00C62C0C" w:rsidRPr="00DC3A0D">
        <w:rPr>
          <w:rFonts w:cs="Times New Roman"/>
        </w:rPr>
        <w:t>improv</w:t>
      </w:r>
      <w:r w:rsidR="00C62C0C">
        <w:rPr>
          <w:rFonts w:cs="Times New Roman"/>
        </w:rPr>
        <w:t>e</w:t>
      </w:r>
      <w:r w:rsidR="00C62C0C" w:rsidRPr="00DC3A0D">
        <w:rPr>
          <w:rFonts w:cs="Times New Roman"/>
        </w:rPr>
        <w:t xml:space="preserve"> financial efficiency </w:t>
      </w:r>
      <w:r w:rsidR="00C62C0C">
        <w:rPr>
          <w:rFonts w:cs="Times New Roman"/>
        </w:rPr>
        <w:t>and</w:t>
      </w:r>
      <w:r w:rsidR="00C62C0C" w:rsidRPr="00DC3A0D">
        <w:rPr>
          <w:rFonts w:cs="Times New Roman"/>
        </w:rPr>
        <w:t xml:space="preserve"> </w:t>
      </w:r>
      <w:r w:rsidR="00C62C0C">
        <w:rPr>
          <w:rFonts w:cs="Times New Roman"/>
        </w:rPr>
        <w:t xml:space="preserve">to </w:t>
      </w:r>
      <w:r w:rsidR="00C62C0C" w:rsidRPr="00DC3A0D">
        <w:rPr>
          <w:rFonts w:cs="Times New Roman"/>
        </w:rPr>
        <w:t>prevent and dissolv</w:t>
      </w:r>
      <w:r w:rsidR="00C62C0C">
        <w:rPr>
          <w:rFonts w:cs="Times New Roman"/>
        </w:rPr>
        <w:t>e</w:t>
      </w:r>
      <w:r w:rsidR="00C62C0C" w:rsidRPr="00DC3A0D">
        <w:rPr>
          <w:rFonts w:cs="Times New Roman"/>
        </w:rPr>
        <w:t xml:space="preserve"> major financial risks</w:t>
      </w:r>
      <w:r w:rsidR="00C62C0C">
        <w:rPr>
          <w:rFonts w:cs="Times New Roman"/>
        </w:rPr>
        <w:t xml:space="preserve"> is to </w:t>
      </w:r>
      <w:r w:rsidRPr="00DC3A0D">
        <w:rPr>
          <w:rFonts w:cs="Times New Roman"/>
        </w:rPr>
        <w:t>optimiz</w:t>
      </w:r>
      <w:r w:rsidR="00C62C0C">
        <w:rPr>
          <w:rFonts w:cs="Times New Roman"/>
        </w:rPr>
        <w:t>e</w:t>
      </w:r>
      <w:r w:rsidRPr="00DC3A0D">
        <w:rPr>
          <w:rFonts w:cs="Times New Roman"/>
        </w:rPr>
        <w:t xml:space="preserve"> the MFS. </w:t>
      </w:r>
      <w:r w:rsidR="00DD34EC">
        <w:rPr>
          <w:rFonts w:cs="Times New Roman"/>
        </w:rPr>
        <w:t xml:space="preserve">Certain </w:t>
      </w:r>
      <w:r w:rsidRPr="00DC3A0D">
        <w:rPr>
          <w:rFonts w:cs="Times New Roman"/>
        </w:rPr>
        <w:t>specific policy recommendations are put forward et the end of the article.</w:t>
      </w:r>
    </w:p>
    <w:p w14:paraId="0782E6B7" w14:textId="1F3E6E4C" w:rsidR="00787455" w:rsidRPr="00DC3A0D" w:rsidRDefault="00787455" w:rsidP="00787455">
      <w:pPr>
        <w:ind w:firstLineChars="200" w:firstLine="422"/>
        <w:rPr>
          <w:rFonts w:cs="Times New Roman"/>
        </w:rPr>
      </w:pPr>
      <w:r w:rsidRPr="00DC3A0D">
        <w:rPr>
          <w:rFonts w:cs="Times New Roman"/>
          <w:b/>
          <w:bCs/>
        </w:rPr>
        <w:t>Key words:</w:t>
      </w:r>
      <w:r w:rsidRPr="00DC3A0D">
        <w:rPr>
          <w:rFonts w:cs="Times New Roman"/>
        </w:rPr>
        <w:t xml:space="preserve"> Macro Financing Structure; Financial Efficiency; Leverage Ratio</w:t>
      </w:r>
    </w:p>
    <w:p w14:paraId="43D9A317" w14:textId="77777777" w:rsidR="00787455" w:rsidRPr="00DC3A0D" w:rsidRDefault="00787455" w:rsidP="00787455">
      <w:pPr>
        <w:rPr>
          <w:rFonts w:ascii="宋体" w:hAnsi="宋体"/>
        </w:rPr>
      </w:pPr>
    </w:p>
    <w:p w14:paraId="50FBC78C" w14:textId="36C1D05E" w:rsidR="00B055C1" w:rsidRPr="00EC1E40" w:rsidRDefault="00DD0185" w:rsidP="00EC1E40">
      <w:pPr>
        <w:jc w:val="center"/>
        <w:rPr>
          <w:rFonts w:ascii="黑体" w:eastAsia="黑体" w:hAnsi="黑体"/>
          <w:sz w:val="28"/>
          <w:szCs w:val="28"/>
        </w:rPr>
      </w:pPr>
      <w:r w:rsidRPr="00EC1E40">
        <w:rPr>
          <w:rFonts w:ascii="黑体" w:eastAsia="黑体" w:hAnsi="黑体" w:hint="eastAsia"/>
          <w:sz w:val="28"/>
          <w:szCs w:val="28"/>
        </w:rPr>
        <w:t>一、</w:t>
      </w:r>
      <w:r w:rsidR="00CA12F5" w:rsidRPr="00EC1E40">
        <w:rPr>
          <w:rFonts w:ascii="黑体" w:eastAsia="黑体" w:hAnsi="黑体" w:hint="eastAsia"/>
          <w:sz w:val="28"/>
          <w:szCs w:val="28"/>
        </w:rPr>
        <w:t>引言</w:t>
      </w:r>
    </w:p>
    <w:p w14:paraId="12FFA8FE" w14:textId="4570CECB" w:rsidR="00E42774" w:rsidRPr="00DC3A0D" w:rsidRDefault="00B4275A" w:rsidP="00713B93">
      <w:pPr>
        <w:ind w:firstLineChars="200" w:firstLine="420"/>
      </w:pPr>
      <w:r w:rsidRPr="00DC3A0D">
        <w:rPr>
          <w:rFonts w:hint="eastAsia"/>
        </w:rPr>
        <w:t>金融结构是金融学和宏观经济学研究的</w:t>
      </w:r>
      <w:r w:rsidR="00FD4AF4" w:rsidRPr="00DC3A0D">
        <w:rPr>
          <w:rFonts w:hint="eastAsia"/>
        </w:rPr>
        <w:t>一个</w:t>
      </w:r>
      <w:r w:rsidRPr="00DC3A0D">
        <w:rPr>
          <w:rFonts w:hint="eastAsia"/>
        </w:rPr>
        <w:t>重要</w:t>
      </w:r>
      <w:r w:rsidR="008441E6">
        <w:rPr>
          <w:rFonts w:hint="eastAsia"/>
        </w:rPr>
        <w:t>问题</w:t>
      </w:r>
      <w:r w:rsidR="00BC2A81" w:rsidRPr="00DC3A0D">
        <w:rPr>
          <w:rFonts w:hint="eastAsia"/>
        </w:rPr>
        <w:t>，</w:t>
      </w:r>
      <w:r w:rsidRPr="00DC3A0D">
        <w:rPr>
          <w:rFonts w:hint="eastAsia"/>
        </w:rPr>
        <w:t>融资结构是金融结构的重要方面。</w:t>
      </w:r>
      <w:r w:rsidR="009327FA" w:rsidRPr="00DC3A0D">
        <w:rPr>
          <w:rFonts w:hint="eastAsia"/>
        </w:rPr>
        <w:t>现阶段我国</w:t>
      </w:r>
      <w:r w:rsidR="00451309" w:rsidRPr="00DC3A0D">
        <w:rPr>
          <w:rFonts w:hint="eastAsia"/>
        </w:rPr>
        <w:t>金融体系中资金</w:t>
      </w:r>
      <w:r w:rsidR="00212AC2" w:rsidRPr="00DC3A0D">
        <w:rPr>
          <w:rFonts w:hint="eastAsia"/>
        </w:rPr>
        <w:t>总体</w:t>
      </w:r>
      <w:r w:rsidR="00451309" w:rsidRPr="00DC3A0D">
        <w:rPr>
          <w:rFonts w:hint="eastAsia"/>
        </w:rPr>
        <w:t>回报率下降</w:t>
      </w:r>
      <w:r w:rsidR="006E4D76" w:rsidRPr="00DC3A0D">
        <w:rPr>
          <w:rFonts w:hint="eastAsia"/>
        </w:rPr>
        <w:t>、</w:t>
      </w:r>
      <w:r w:rsidR="009327FA" w:rsidRPr="00DC3A0D">
        <w:rPr>
          <w:rFonts w:hint="eastAsia"/>
        </w:rPr>
        <w:t>杠杆率攀升等问题，主要不是总量问题，而是结构问题。</w:t>
      </w:r>
      <w:r w:rsidR="00030088" w:rsidRPr="00DC3A0D">
        <w:rPr>
          <w:rFonts w:hint="eastAsia"/>
        </w:rPr>
        <w:t>自</w:t>
      </w:r>
      <w:r w:rsidR="00AB605A">
        <w:rPr>
          <w:rFonts w:hint="eastAsia"/>
        </w:rPr>
        <w:t>2</w:t>
      </w:r>
      <w:r w:rsidR="00AB605A">
        <w:t>008</w:t>
      </w:r>
      <w:r w:rsidR="00AB605A">
        <w:rPr>
          <w:rFonts w:hint="eastAsia"/>
        </w:rPr>
        <w:t>年</w:t>
      </w:r>
      <w:r w:rsidR="002D24ED" w:rsidRPr="00DC3A0D">
        <w:rPr>
          <w:rFonts w:hint="eastAsia"/>
        </w:rPr>
        <w:t>全球金融危机爆发</w:t>
      </w:r>
      <w:r w:rsidR="00265B39" w:rsidRPr="00DC3A0D">
        <w:rPr>
          <w:rFonts w:hint="eastAsia"/>
        </w:rPr>
        <w:t>以来的十余年时间里，我国的</w:t>
      </w:r>
      <w:r w:rsidR="0030263F" w:rsidRPr="00DC3A0D">
        <w:rPr>
          <w:rFonts w:hint="eastAsia"/>
        </w:rPr>
        <w:t>宏观融资结构</w:t>
      </w:r>
      <w:r w:rsidR="0013732B" w:rsidRPr="00DC3A0D">
        <w:rPr>
          <w:rFonts w:hint="eastAsia"/>
        </w:rPr>
        <w:t>（</w:t>
      </w:r>
      <w:r w:rsidR="008441E6" w:rsidRPr="00DC3A0D">
        <w:rPr>
          <w:rFonts w:cs="Times New Roman"/>
        </w:rPr>
        <w:t>Macro Financing Structure</w:t>
      </w:r>
      <w:r w:rsidR="008441E6">
        <w:rPr>
          <w:rFonts w:hint="eastAsia"/>
        </w:rPr>
        <w:t>，</w:t>
      </w:r>
      <w:r w:rsidR="0013732B" w:rsidRPr="00DC3A0D">
        <w:rPr>
          <w:rFonts w:hint="eastAsia"/>
        </w:rPr>
        <w:t>M</w:t>
      </w:r>
      <w:r w:rsidR="0013732B" w:rsidRPr="00DC3A0D">
        <w:t>FS</w:t>
      </w:r>
      <w:r w:rsidR="0013732B" w:rsidRPr="00DC3A0D">
        <w:rPr>
          <w:rFonts w:hint="eastAsia"/>
        </w:rPr>
        <w:t>）</w:t>
      </w:r>
      <w:r w:rsidR="00A37E45" w:rsidRPr="00DC3A0D">
        <w:rPr>
          <w:rFonts w:hint="eastAsia"/>
        </w:rPr>
        <w:t>经历了深刻转型。</w:t>
      </w:r>
      <w:r w:rsidR="007B096B" w:rsidRPr="00DC3A0D">
        <w:rPr>
          <w:rFonts w:hint="eastAsia"/>
        </w:rPr>
        <w:t>宏观融资结构</w:t>
      </w:r>
      <w:r w:rsidR="009D66D0">
        <w:rPr>
          <w:rFonts w:hint="eastAsia"/>
        </w:rPr>
        <w:t>的</w:t>
      </w:r>
      <w:r w:rsidR="00BF6F27" w:rsidRPr="00DC3A0D">
        <w:rPr>
          <w:rFonts w:hint="eastAsia"/>
        </w:rPr>
        <w:t>转型</w:t>
      </w:r>
      <w:r w:rsidR="009D66D0">
        <w:rPr>
          <w:rFonts w:hint="eastAsia"/>
        </w:rPr>
        <w:t>，</w:t>
      </w:r>
      <w:r w:rsidR="00BB6D1B" w:rsidRPr="00DC3A0D">
        <w:rPr>
          <w:rFonts w:hint="eastAsia"/>
        </w:rPr>
        <w:t>一方面是</w:t>
      </w:r>
      <w:r w:rsidR="00F975C9" w:rsidRPr="00DC3A0D">
        <w:rPr>
          <w:rFonts w:hint="eastAsia"/>
        </w:rPr>
        <w:t>经济发展</w:t>
      </w:r>
      <w:r w:rsidR="00BD2BE9" w:rsidRPr="00DC3A0D">
        <w:rPr>
          <w:rFonts w:hint="eastAsia"/>
        </w:rPr>
        <w:t>阶段</w:t>
      </w:r>
      <w:r w:rsidR="00853448" w:rsidRPr="00DC3A0D">
        <w:rPr>
          <w:rFonts w:hint="eastAsia"/>
        </w:rPr>
        <w:t>变化</w:t>
      </w:r>
      <w:r w:rsidR="00BD2BE9" w:rsidRPr="00DC3A0D">
        <w:rPr>
          <w:rFonts w:hint="eastAsia"/>
        </w:rPr>
        <w:t>、</w:t>
      </w:r>
      <w:r w:rsidR="00655ABF">
        <w:rPr>
          <w:rFonts w:hint="eastAsia"/>
        </w:rPr>
        <w:t>产业</w:t>
      </w:r>
      <w:r w:rsidR="008944DF" w:rsidRPr="00DC3A0D">
        <w:rPr>
          <w:rFonts w:hint="eastAsia"/>
        </w:rPr>
        <w:t>结构转型</w:t>
      </w:r>
      <w:r w:rsidR="00BD1A94" w:rsidRPr="00DC3A0D">
        <w:rPr>
          <w:rFonts w:hint="eastAsia"/>
        </w:rPr>
        <w:t>、</w:t>
      </w:r>
      <w:r w:rsidR="00377E89" w:rsidRPr="00DC3A0D">
        <w:rPr>
          <w:rFonts w:hint="eastAsia"/>
        </w:rPr>
        <w:t>宏观</w:t>
      </w:r>
      <w:r w:rsidR="00BD1A94" w:rsidRPr="00DC3A0D">
        <w:rPr>
          <w:rFonts w:hint="eastAsia"/>
        </w:rPr>
        <w:t>经济周期和</w:t>
      </w:r>
      <w:r w:rsidR="008944DF" w:rsidRPr="00DC3A0D">
        <w:rPr>
          <w:rFonts w:hint="eastAsia"/>
        </w:rPr>
        <w:t>宏观政策</w:t>
      </w:r>
      <w:r w:rsidR="00BD1A94" w:rsidRPr="00DC3A0D">
        <w:rPr>
          <w:rFonts w:hint="eastAsia"/>
        </w:rPr>
        <w:t>调整</w:t>
      </w:r>
      <w:r w:rsidR="001D5FC8" w:rsidRPr="00DC3A0D">
        <w:rPr>
          <w:rFonts w:hint="eastAsia"/>
        </w:rPr>
        <w:t>等因素共同作用</w:t>
      </w:r>
      <w:r w:rsidR="008944DF" w:rsidRPr="00DC3A0D">
        <w:rPr>
          <w:rFonts w:hint="eastAsia"/>
        </w:rPr>
        <w:t>的结果</w:t>
      </w:r>
      <w:r w:rsidR="00F67878" w:rsidRPr="00DC3A0D">
        <w:rPr>
          <w:rFonts w:hint="eastAsia"/>
        </w:rPr>
        <w:t>；另一方面</w:t>
      </w:r>
      <w:r w:rsidR="007B7604" w:rsidRPr="00DC3A0D">
        <w:rPr>
          <w:rFonts w:hint="eastAsia"/>
        </w:rPr>
        <w:t>也</w:t>
      </w:r>
      <w:r w:rsidR="00EE3DD3">
        <w:rPr>
          <w:rFonts w:hint="eastAsia"/>
        </w:rPr>
        <w:t>从</w:t>
      </w:r>
      <w:r w:rsidR="000E30C5" w:rsidRPr="00DC3A0D">
        <w:rPr>
          <w:rFonts w:hint="eastAsia"/>
        </w:rPr>
        <w:t>根本上影响着</w:t>
      </w:r>
      <w:r w:rsidR="00755910">
        <w:rPr>
          <w:rFonts w:hint="eastAsia"/>
        </w:rPr>
        <w:t>我国</w:t>
      </w:r>
      <w:r w:rsidR="00884293" w:rsidRPr="00DC3A0D">
        <w:rPr>
          <w:rFonts w:hint="eastAsia"/>
        </w:rPr>
        <w:t>宏观经济中的</w:t>
      </w:r>
      <w:r w:rsidR="00596A42" w:rsidRPr="00DC3A0D">
        <w:rPr>
          <w:rFonts w:hint="eastAsia"/>
        </w:rPr>
        <w:t>杠杆</w:t>
      </w:r>
      <w:r w:rsidR="00BC13D3" w:rsidRPr="00DC3A0D">
        <w:rPr>
          <w:rFonts w:hint="eastAsia"/>
        </w:rPr>
        <w:t>结构</w:t>
      </w:r>
      <w:r w:rsidR="00F75D79" w:rsidRPr="00DC3A0D">
        <w:rPr>
          <w:rFonts w:hint="eastAsia"/>
        </w:rPr>
        <w:t>和</w:t>
      </w:r>
      <w:r w:rsidR="004D12E1" w:rsidRPr="00DC3A0D">
        <w:rPr>
          <w:rFonts w:hint="eastAsia"/>
        </w:rPr>
        <w:t>资金使用效率</w:t>
      </w:r>
      <w:r w:rsidR="0075407F" w:rsidRPr="00DC3A0D">
        <w:rPr>
          <w:rFonts w:hint="eastAsia"/>
        </w:rPr>
        <w:t>。</w:t>
      </w:r>
      <w:r w:rsidR="008F4261" w:rsidRPr="00DC3A0D">
        <w:rPr>
          <w:rFonts w:hint="eastAsia"/>
        </w:rPr>
        <w:t>本文</w:t>
      </w:r>
      <w:r w:rsidR="008603BF" w:rsidRPr="00DC3A0D">
        <w:rPr>
          <w:rFonts w:hint="eastAsia"/>
        </w:rPr>
        <w:t>研究</w:t>
      </w:r>
      <w:r w:rsidR="008F4261" w:rsidRPr="00DC3A0D">
        <w:rPr>
          <w:rFonts w:hint="eastAsia"/>
        </w:rPr>
        <w:t>的目的</w:t>
      </w:r>
      <w:r w:rsidR="00931CC3" w:rsidRPr="00DC3A0D">
        <w:rPr>
          <w:rFonts w:hint="eastAsia"/>
        </w:rPr>
        <w:t>在于尝试</w:t>
      </w:r>
      <w:r w:rsidR="004C1694" w:rsidRPr="00DC3A0D">
        <w:rPr>
          <w:rFonts w:hint="eastAsia"/>
        </w:rPr>
        <w:t>对</w:t>
      </w:r>
      <w:r w:rsidR="00E72C2A" w:rsidRPr="00DC3A0D">
        <w:rPr>
          <w:rFonts w:hint="eastAsia"/>
        </w:rPr>
        <w:t>过去十余年间我国宏观融资结构的</w:t>
      </w:r>
      <w:r w:rsidR="00755910">
        <w:rPr>
          <w:rFonts w:hint="eastAsia"/>
        </w:rPr>
        <w:t>变化情况</w:t>
      </w:r>
      <w:r w:rsidR="004C1694" w:rsidRPr="00DC3A0D">
        <w:rPr>
          <w:rFonts w:hint="eastAsia"/>
        </w:rPr>
        <w:t>进行系统性梳理</w:t>
      </w:r>
      <w:r w:rsidR="008603BF" w:rsidRPr="00DC3A0D">
        <w:rPr>
          <w:rFonts w:hint="eastAsia"/>
        </w:rPr>
        <w:t>总结</w:t>
      </w:r>
      <w:r w:rsidR="00E72C2A" w:rsidRPr="00DC3A0D">
        <w:rPr>
          <w:rFonts w:hint="eastAsia"/>
        </w:rPr>
        <w:t>，</w:t>
      </w:r>
      <w:r w:rsidR="00CF4DD0" w:rsidRPr="00DC3A0D">
        <w:rPr>
          <w:rFonts w:hint="eastAsia"/>
        </w:rPr>
        <w:t>分析</w:t>
      </w:r>
      <w:r w:rsidR="005134CC" w:rsidRPr="00DC3A0D">
        <w:rPr>
          <w:rFonts w:hint="eastAsia"/>
        </w:rPr>
        <w:t>其</w:t>
      </w:r>
      <w:r w:rsidR="008219B2" w:rsidRPr="00DC3A0D">
        <w:rPr>
          <w:rFonts w:hint="eastAsia"/>
        </w:rPr>
        <w:t>成因</w:t>
      </w:r>
      <w:r w:rsidR="00935066" w:rsidRPr="00DC3A0D">
        <w:rPr>
          <w:rFonts w:hint="eastAsia"/>
        </w:rPr>
        <w:t>与</w:t>
      </w:r>
      <w:r w:rsidR="005134CC" w:rsidRPr="00DC3A0D">
        <w:rPr>
          <w:rFonts w:hint="eastAsia"/>
        </w:rPr>
        <w:t>影响</w:t>
      </w:r>
      <w:r w:rsidR="001E071F" w:rsidRPr="00DC3A0D">
        <w:rPr>
          <w:rFonts w:hint="eastAsia"/>
        </w:rPr>
        <w:t>，</w:t>
      </w:r>
      <w:r w:rsidR="006C0BF4" w:rsidRPr="00DC3A0D">
        <w:rPr>
          <w:rFonts w:hint="eastAsia"/>
        </w:rPr>
        <w:t>进而</w:t>
      </w:r>
      <w:r w:rsidR="00A33CEA" w:rsidRPr="00DC3A0D">
        <w:rPr>
          <w:rFonts w:hint="eastAsia"/>
        </w:rPr>
        <w:t>在</w:t>
      </w:r>
      <w:r w:rsidR="001F182E" w:rsidRPr="00DC3A0D">
        <w:rPr>
          <w:rFonts w:hint="eastAsia"/>
        </w:rPr>
        <w:t>此</w:t>
      </w:r>
      <w:r w:rsidR="007522EA" w:rsidRPr="00DC3A0D">
        <w:rPr>
          <w:rFonts w:hint="eastAsia"/>
        </w:rPr>
        <w:t>基础上提出</w:t>
      </w:r>
      <w:r w:rsidR="00770949" w:rsidRPr="00DC3A0D">
        <w:rPr>
          <w:rFonts w:hint="eastAsia"/>
        </w:rPr>
        <w:t>具有针对性的</w:t>
      </w:r>
      <w:r w:rsidR="00EC7306" w:rsidRPr="00DC3A0D">
        <w:rPr>
          <w:rFonts w:hint="eastAsia"/>
        </w:rPr>
        <w:t>政策</w:t>
      </w:r>
      <w:r w:rsidR="007522EA" w:rsidRPr="00DC3A0D">
        <w:rPr>
          <w:rFonts w:hint="eastAsia"/>
        </w:rPr>
        <w:t>建议。</w:t>
      </w:r>
    </w:p>
    <w:p w14:paraId="720BF0A2" w14:textId="4A1EFE6A" w:rsidR="00F70C5C" w:rsidRDefault="00981000" w:rsidP="00F70C5C">
      <w:pPr>
        <w:ind w:firstLine="420"/>
      </w:pPr>
      <w:r w:rsidRPr="00DC3A0D">
        <w:rPr>
          <w:rFonts w:ascii="宋体" w:hAnsi="宋体" w:hint="eastAsia"/>
        </w:rPr>
        <w:t>本文从融资主体结构、</w:t>
      </w:r>
      <w:r w:rsidR="00957A06" w:rsidRPr="00DC3A0D">
        <w:rPr>
          <w:rFonts w:ascii="宋体" w:hAnsi="宋体" w:hint="eastAsia"/>
        </w:rPr>
        <w:t>融资</w:t>
      </w:r>
      <w:r w:rsidRPr="00DC3A0D">
        <w:rPr>
          <w:rFonts w:ascii="宋体" w:hAnsi="宋体" w:hint="eastAsia"/>
        </w:rPr>
        <w:t>用途结构、融资渠道结构三个维度对宏观融资结构变化</w:t>
      </w:r>
      <w:r w:rsidR="00565E80" w:rsidRPr="00DC3A0D">
        <w:rPr>
          <w:rFonts w:ascii="宋体" w:hAnsi="宋体" w:hint="eastAsia"/>
        </w:rPr>
        <w:t>展开</w:t>
      </w:r>
      <w:r w:rsidRPr="00DC3A0D">
        <w:rPr>
          <w:rFonts w:ascii="宋体" w:hAnsi="宋体" w:hint="eastAsia"/>
        </w:rPr>
        <w:t>分析，提炼典型转型特征</w:t>
      </w:r>
      <w:r w:rsidR="008A49D7" w:rsidRPr="00DC3A0D">
        <w:rPr>
          <w:rFonts w:ascii="宋体" w:hAnsi="宋体" w:hint="eastAsia"/>
        </w:rPr>
        <w:t>。</w:t>
      </w:r>
      <w:r w:rsidR="00F70C5C" w:rsidRPr="00DC3A0D">
        <w:rPr>
          <w:rFonts w:ascii="宋体" w:hAnsi="宋体" w:hint="eastAsia"/>
        </w:rPr>
        <w:t>首先，住户部门、非金融企业部门、政府部门作为国民经济中</w:t>
      </w:r>
      <w:r w:rsidR="000E1EAC" w:rsidRPr="00DC3A0D">
        <w:rPr>
          <w:rFonts w:ascii="宋体" w:hAnsi="宋体" w:hint="eastAsia"/>
        </w:rPr>
        <w:t>的</w:t>
      </w:r>
      <w:r w:rsidR="00F70C5C" w:rsidRPr="00DC3A0D">
        <w:rPr>
          <w:rFonts w:ascii="宋体" w:hAnsi="宋体" w:hint="eastAsia"/>
        </w:rPr>
        <w:t>三大主要部门，是资金融入</w:t>
      </w:r>
      <w:r w:rsidR="00EE3DD3">
        <w:rPr>
          <w:rFonts w:ascii="宋体" w:hAnsi="宋体" w:hint="eastAsia"/>
        </w:rPr>
        <w:t>和</w:t>
      </w:r>
      <w:r w:rsidR="00F70C5C" w:rsidRPr="00DC3A0D">
        <w:rPr>
          <w:rFonts w:ascii="宋体" w:hAnsi="宋体" w:hint="eastAsia"/>
        </w:rPr>
        <w:t>融出的主体。理论上，当一个部门的储蓄少于投资时，该部门须净融入资金；反之，当一个部门的储蓄多于投资时，该部门须净融出资金</w:t>
      </w:r>
      <w:r w:rsidR="00EE3DD3">
        <w:rPr>
          <w:rFonts w:ascii="宋体" w:hAnsi="宋体" w:hint="eastAsia"/>
        </w:rPr>
        <w:t>。</w:t>
      </w:r>
      <w:r w:rsidR="00F70C5C" w:rsidRPr="00DC3A0D">
        <w:rPr>
          <w:rFonts w:ascii="宋体" w:hAnsi="宋体" w:hint="eastAsia"/>
        </w:rPr>
        <w:t>因</w:t>
      </w:r>
      <w:r w:rsidR="00EE3DD3">
        <w:rPr>
          <w:rFonts w:ascii="宋体" w:hAnsi="宋体" w:hint="eastAsia"/>
        </w:rPr>
        <w:t>此，</w:t>
      </w:r>
      <w:r w:rsidR="00F70C5C" w:rsidRPr="00DC3A0D">
        <w:rPr>
          <w:rFonts w:ascii="宋体" w:hAnsi="宋体" w:hint="eastAsia"/>
        </w:rPr>
        <w:t>部门储蓄投资</w:t>
      </w:r>
      <w:r w:rsidR="000D4D46">
        <w:rPr>
          <w:rFonts w:ascii="宋体" w:hAnsi="宋体" w:hint="eastAsia"/>
        </w:rPr>
        <w:t>结构</w:t>
      </w:r>
      <w:r w:rsidR="00F70C5C" w:rsidRPr="00DC3A0D">
        <w:rPr>
          <w:rFonts w:ascii="宋体" w:hAnsi="宋体" w:hint="eastAsia"/>
        </w:rPr>
        <w:t>变化构成理解</w:t>
      </w:r>
      <w:r w:rsidR="000D4D46">
        <w:rPr>
          <w:rFonts w:ascii="宋体" w:hAnsi="宋体" w:hint="eastAsia"/>
        </w:rPr>
        <w:t>宏观</w:t>
      </w:r>
      <w:r w:rsidR="00F70C5C" w:rsidRPr="00DC3A0D">
        <w:rPr>
          <w:rFonts w:ascii="宋体" w:hAnsi="宋体" w:hint="eastAsia"/>
        </w:rPr>
        <w:t>融资主体结构转型的基本背景。</w:t>
      </w:r>
      <w:bookmarkStart w:id="0" w:name="_Hlk76744078"/>
      <w:r w:rsidR="009D56AB" w:rsidRPr="00DC3A0D">
        <w:rPr>
          <w:rFonts w:ascii="宋体" w:hAnsi="宋体" w:hint="eastAsia"/>
        </w:rPr>
        <w:t>此外</w:t>
      </w:r>
      <w:r w:rsidR="00F70C5C" w:rsidRPr="00DC3A0D">
        <w:rPr>
          <w:rFonts w:ascii="宋体" w:hAnsi="宋体" w:hint="eastAsia"/>
        </w:rPr>
        <w:t>，由于</w:t>
      </w:r>
      <w:r w:rsidR="00F17650" w:rsidRPr="00DC3A0D">
        <w:rPr>
          <w:rFonts w:ascii="宋体" w:hAnsi="宋体" w:hint="eastAsia"/>
        </w:rPr>
        <w:t>不同部门</w:t>
      </w:r>
      <w:r w:rsidR="00F70C5C" w:rsidRPr="00DC3A0D">
        <w:rPr>
          <w:rFonts w:ascii="宋体" w:hAnsi="宋体" w:hint="eastAsia"/>
        </w:rPr>
        <w:t>债务融资</w:t>
      </w:r>
      <w:r w:rsidR="00F17650" w:rsidRPr="00DC3A0D">
        <w:rPr>
          <w:rFonts w:ascii="宋体" w:hAnsi="宋体" w:hint="eastAsia"/>
        </w:rPr>
        <w:t>与股权融资的比例存在差异</w:t>
      </w:r>
      <w:r w:rsidR="00F70C5C" w:rsidRPr="00DC3A0D">
        <w:rPr>
          <w:rFonts w:ascii="宋体" w:hAnsi="宋体" w:hint="eastAsia"/>
        </w:rPr>
        <w:t>，融资主体结构</w:t>
      </w:r>
      <w:r w:rsidR="00F17650" w:rsidRPr="00DC3A0D">
        <w:rPr>
          <w:rFonts w:ascii="宋体" w:hAnsi="宋体" w:hint="eastAsia"/>
        </w:rPr>
        <w:t>变化</w:t>
      </w:r>
      <w:r w:rsidR="009D56AB" w:rsidRPr="00DC3A0D">
        <w:rPr>
          <w:rFonts w:ascii="宋体" w:hAnsi="宋体" w:hint="eastAsia"/>
        </w:rPr>
        <w:t>还</w:t>
      </w:r>
      <w:r w:rsidR="00F70C5C" w:rsidRPr="00DC3A0D">
        <w:rPr>
          <w:rFonts w:ascii="宋体" w:hAnsi="宋体" w:hint="eastAsia"/>
        </w:rPr>
        <w:t>会进一步影响部门负债结构和部门杠杆率。</w:t>
      </w:r>
      <w:bookmarkEnd w:id="0"/>
      <w:r w:rsidR="00F70C5C" w:rsidRPr="00DC3A0D">
        <w:rPr>
          <w:rFonts w:ascii="宋体" w:hAnsi="宋体" w:hint="eastAsia"/>
        </w:rPr>
        <w:t>其次，融得资金的用途大体上可分为两类：一</w:t>
      </w:r>
      <w:r w:rsidR="002A496B" w:rsidRPr="00DC3A0D">
        <w:rPr>
          <w:rFonts w:ascii="宋体" w:hAnsi="宋体" w:hint="eastAsia"/>
        </w:rPr>
        <w:t>类</w:t>
      </w:r>
      <w:r w:rsidR="00F70C5C" w:rsidRPr="00DC3A0D">
        <w:rPr>
          <w:rFonts w:ascii="宋体" w:hAnsi="宋体" w:hint="eastAsia"/>
        </w:rPr>
        <w:t>是生产性用途，如新增制造业投资；另一</w:t>
      </w:r>
      <w:r w:rsidR="002A496B" w:rsidRPr="00DC3A0D">
        <w:rPr>
          <w:rFonts w:ascii="宋体" w:hAnsi="宋体" w:hint="eastAsia"/>
        </w:rPr>
        <w:t>类</w:t>
      </w:r>
      <w:r w:rsidR="00F70C5C" w:rsidRPr="00DC3A0D">
        <w:rPr>
          <w:rFonts w:ascii="宋体" w:hAnsi="宋体" w:hint="eastAsia"/>
        </w:rPr>
        <w:t>是非生产性用途和</w:t>
      </w:r>
      <w:bookmarkStart w:id="1" w:name="_Hlk76744172"/>
      <w:r w:rsidR="00F17650" w:rsidRPr="00DC3A0D">
        <w:rPr>
          <w:rFonts w:ascii="宋体" w:hAnsi="宋体" w:hint="eastAsia"/>
        </w:rPr>
        <w:t>距离生产活动较为</w:t>
      </w:r>
      <w:r w:rsidR="00F70C5C" w:rsidRPr="00DC3A0D">
        <w:rPr>
          <w:rFonts w:ascii="宋体" w:hAnsi="宋体" w:hint="eastAsia"/>
        </w:rPr>
        <w:t>间接的用途</w:t>
      </w:r>
      <w:bookmarkEnd w:id="1"/>
      <w:r w:rsidR="00F70C5C" w:rsidRPr="00DC3A0D">
        <w:rPr>
          <w:rFonts w:ascii="宋体" w:hAnsi="宋体" w:hint="eastAsia"/>
        </w:rPr>
        <w:t>，前者如偿还存量债务的本金利息，后者如</w:t>
      </w:r>
      <w:r w:rsidR="00F17650" w:rsidRPr="00DC3A0D">
        <w:rPr>
          <w:rFonts w:ascii="宋体" w:hAnsi="宋体" w:hint="eastAsia"/>
        </w:rPr>
        <w:t>投资</w:t>
      </w:r>
      <w:r w:rsidR="0050769A">
        <w:rPr>
          <w:rFonts w:ascii="宋体" w:hAnsi="宋体" w:hint="eastAsia"/>
        </w:rPr>
        <w:t>于</w:t>
      </w:r>
      <w:r w:rsidR="00D60A07">
        <w:rPr>
          <w:rFonts w:ascii="宋体" w:hAnsi="宋体" w:hint="eastAsia"/>
        </w:rPr>
        <w:t>居民住</w:t>
      </w:r>
      <w:r w:rsidR="0070765E">
        <w:rPr>
          <w:rFonts w:ascii="宋体" w:hAnsi="宋体" w:hint="eastAsia"/>
        </w:rPr>
        <w:t>房</w:t>
      </w:r>
      <w:r w:rsidR="00D60A07">
        <w:rPr>
          <w:rFonts w:ascii="宋体" w:hAnsi="宋体" w:hint="eastAsia"/>
        </w:rPr>
        <w:t>建设或</w:t>
      </w:r>
      <w:r w:rsidR="00F70C5C" w:rsidRPr="00DC3A0D">
        <w:rPr>
          <w:rFonts w:ascii="宋体" w:hAnsi="宋体" w:hint="eastAsia"/>
        </w:rPr>
        <w:t>基础设施建设</w:t>
      </w:r>
      <w:r w:rsidR="0010431F" w:rsidRPr="00F51C9C">
        <w:rPr>
          <w:rStyle w:val="aa"/>
          <w:rFonts w:ascii="宋体" w:hAnsi="宋体"/>
          <w:highlight w:val="yellow"/>
        </w:rPr>
        <w:footnoteReference w:id="2"/>
      </w:r>
      <w:r w:rsidR="00F70C5C" w:rsidRPr="00DC3A0D">
        <w:rPr>
          <w:rFonts w:ascii="宋体" w:hAnsi="宋体" w:hint="eastAsia"/>
        </w:rPr>
        <w:t>。当社会总融资中流向生产性用途的比例下降、流向非生产性用途和间接生产性用途的比例上升时，就</w:t>
      </w:r>
      <w:r w:rsidR="00905351" w:rsidRPr="00DC3A0D">
        <w:rPr>
          <w:rFonts w:ascii="宋体" w:hAnsi="宋体" w:hint="eastAsia"/>
        </w:rPr>
        <w:t>可能</w:t>
      </w:r>
      <w:r w:rsidR="00F70C5C" w:rsidRPr="00DC3A0D">
        <w:rPr>
          <w:rFonts w:ascii="宋体" w:hAnsi="宋体" w:hint="eastAsia"/>
        </w:rPr>
        <w:t>引发社会融资总体回报率降低。再次，融资渠道是联接资金供给方和资金需求方的桥梁。间接融资为主和债务融资为主长期以来是我国融资渠道结构的突出特征</w:t>
      </w:r>
      <w:r w:rsidR="000D4D46">
        <w:rPr>
          <w:rFonts w:ascii="宋体" w:hAnsi="宋体" w:hint="eastAsia"/>
        </w:rPr>
        <w:t>，</w:t>
      </w:r>
      <w:r w:rsidR="00F70C5C" w:rsidRPr="00DC3A0D">
        <w:rPr>
          <w:rFonts w:ascii="宋体" w:hAnsi="宋体" w:hint="eastAsia"/>
        </w:rPr>
        <w:t>然而</w:t>
      </w:r>
      <w:r w:rsidR="0010431F" w:rsidRPr="00DC3A0D">
        <w:rPr>
          <w:rFonts w:ascii="宋体" w:hAnsi="宋体" w:hint="eastAsia"/>
        </w:rPr>
        <w:t>随着</w:t>
      </w:r>
      <w:r w:rsidR="00F70C5C" w:rsidRPr="00DC3A0D">
        <w:rPr>
          <w:rFonts w:ascii="宋体" w:hAnsi="宋体" w:hint="eastAsia"/>
        </w:rPr>
        <w:t>金融体系内部专业分工</w:t>
      </w:r>
      <w:r w:rsidR="003460DA" w:rsidRPr="00DC3A0D">
        <w:rPr>
          <w:rFonts w:ascii="宋体" w:hAnsi="宋体" w:hint="eastAsia"/>
        </w:rPr>
        <w:t>不断</w:t>
      </w:r>
      <w:r w:rsidR="00F70C5C" w:rsidRPr="00DC3A0D">
        <w:rPr>
          <w:rFonts w:ascii="宋体" w:hAnsi="宋体" w:hint="eastAsia"/>
        </w:rPr>
        <w:t>细化，近年来直接融资与间接融资</w:t>
      </w:r>
      <w:r w:rsidR="00022A6B" w:rsidRPr="00DC3A0D">
        <w:rPr>
          <w:rFonts w:ascii="宋体" w:hAnsi="宋体" w:hint="eastAsia"/>
        </w:rPr>
        <w:t>之间</w:t>
      </w:r>
      <w:r w:rsidR="00F70C5C" w:rsidRPr="00DC3A0D">
        <w:rPr>
          <w:rFonts w:ascii="宋体" w:hAnsi="宋体" w:hint="eastAsia"/>
        </w:rPr>
        <w:t>、股权融资与债务融资之间的传统界限正在变得模糊，多种“混合融资模式”兴起。</w:t>
      </w:r>
      <w:r w:rsidR="00341647">
        <w:rPr>
          <w:rFonts w:ascii="宋体" w:hAnsi="宋体" w:hint="eastAsia"/>
        </w:rPr>
        <w:t>本文</w:t>
      </w:r>
      <w:r w:rsidR="00384C4F">
        <w:rPr>
          <w:rFonts w:ascii="宋体" w:hAnsi="宋体" w:hint="eastAsia"/>
        </w:rPr>
        <w:t>的</w:t>
      </w:r>
      <w:r w:rsidR="00341647" w:rsidRPr="00DC3A0D">
        <w:rPr>
          <w:rFonts w:ascii="宋体" w:hAnsi="宋体" w:hint="eastAsia"/>
        </w:rPr>
        <w:t>研究框架</w:t>
      </w:r>
      <w:r w:rsidR="00341647" w:rsidRPr="00F51C9C">
        <w:rPr>
          <w:rFonts w:hint="eastAsia"/>
        </w:rPr>
        <w:t>如图</w:t>
      </w:r>
      <w:r w:rsidR="00EE3DD3">
        <w:rPr>
          <w:rFonts w:hint="eastAsia"/>
        </w:rPr>
        <w:t>1</w:t>
      </w:r>
      <w:r w:rsidR="00EE3DD3">
        <w:rPr>
          <w:rFonts w:hint="eastAsia"/>
        </w:rPr>
        <w:t>所示</w:t>
      </w:r>
      <w:r w:rsidR="00341647" w:rsidRPr="00F51C9C">
        <w:rPr>
          <w:rFonts w:hint="eastAsia"/>
        </w:rPr>
        <w:t>。</w:t>
      </w:r>
    </w:p>
    <w:p w14:paraId="5EB4FD7C" w14:textId="77777777" w:rsidR="00EE3DD3" w:rsidRPr="00DC3A0D" w:rsidRDefault="00EE3DD3" w:rsidP="00EE3DD3">
      <w:pPr>
        <w:jc w:val="center"/>
        <w:rPr>
          <w:rFonts w:ascii="宋体" w:hAnsi="宋体"/>
        </w:rPr>
      </w:pPr>
      <w:r w:rsidRPr="00B552F7">
        <w:rPr>
          <w:rFonts w:ascii="宋体" w:hAnsi="宋体"/>
          <w:noProof/>
        </w:rPr>
        <w:drawing>
          <wp:inline distT="0" distB="0" distL="0" distR="0" wp14:anchorId="5D89945E" wp14:editId="020DCDD8">
            <wp:extent cx="4030775" cy="17907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3882" cy="1800966"/>
                    </a:xfrm>
                    <a:prstGeom prst="rect">
                      <a:avLst/>
                    </a:prstGeom>
                    <a:noFill/>
                    <a:ln>
                      <a:noFill/>
                    </a:ln>
                  </pic:spPr>
                </pic:pic>
              </a:graphicData>
            </a:graphic>
          </wp:inline>
        </w:drawing>
      </w:r>
    </w:p>
    <w:p w14:paraId="606D5603" w14:textId="5403CECB" w:rsidR="00EE3DD3" w:rsidRPr="00DC3A0D" w:rsidRDefault="00EE3DD3" w:rsidP="009D33A1">
      <w:pPr>
        <w:spacing w:afterLines="50" w:after="156"/>
        <w:jc w:val="center"/>
        <w:rPr>
          <w:rFonts w:ascii="楷体" w:eastAsia="楷体" w:hAnsi="楷体"/>
        </w:rPr>
      </w:pPr>
      <w:r w:rsidRPr="00DC3A0D">
        <w:rPr>
          <w:rFonts w:ascii="楷体" w:eastAsia="楷体" w:hAnsi="楷体" w:hint="eastAsia"/>
        </w:rPr>
        <w:t xml:space="preserve">图1 </w:t>
      </w:r>
      <w:r>
        <w:rPr>
          <w:rFonts w:ascii="楷体" w:eastAsia="楷体" w:hAnsi="楷体"/>
        </w:rPr>
        <w:t xml:space="preserve"> </w:t>
      </w:r>
      <w:r w:rsidRPr="00DC3A0D">
        <w:rPr>
          <w:rFonts w:ascii="楷体" w:eastAsia="楷体" w:hAnsi="楷体" w:hint="eastAsia"/>
        </w:rPr>
        <w:t>本文研究框架示意图</w:t>
      </w:r>
    </w:p>
    <w:p w14:paraId="6037B5FD" w14:textId="79B7ABAA" w:rsidR="00981000" w:rsidRDefault="00981000" w:rsidP="00981000">
      <w:pPr>
        <w:ind w:firstLine="420"/>
        <w:rPr>
          <w:rFonts w:ascii="宋体" w:hAnsi="宋体"/>
        </w:rPr>
      </w:pPr>
      <w:r w:rsidRPr="00DC3A0D">
        <w:rPr>
          <w:rFonts w:ascii="宋体" w:hAnsi="宋体" w:hint="eastAsia"/>
        </w:rPr>
        <w:lastRenderedPageBreak/>
        <w:t>在现有文献基础上，本文的边际贡献体现在如下四点：第一，在“融资主体结构-</w:t>
      </w:r>
      <w:r w:rsidR="00957A06" w:rsidRPr="00DC3A0D">
        <w:rPr>
          <w:rFonts w:ascii="宋体" w:hAnsi="宋体" w:hint="eastAsia"/>
        </w:rPr>
        <w:t>融资</w:t>
      </w:r>
      <w:r w:rsidRPr="00DC3A0D">
        <w:rPr>
          <w:rFonts w:ascii="宋体" w:hAnsi="宋体" w:hint="eastAsia"/>
        </w:rPr>
        <w:t>用途结构-融资渠道结构”</w:t>
      </w:r>
      <w:r w:rsidR="00F70C5C" w:rsidRPr="00DC3A0D">
        <w:rPr>
          <w:rFonts w:ascii="宋体" w:hAnsi="宋体" w:hint="eastAsia"/>
        </w:rPr>
        <w:t>三位一体</w:t>
      </w:r>
      <w:r w:rsidRPr="00DC3A0D">
        <w:rPr>
          <w:rFonts w:ascii="宋体" w:hAnsi="宋体" w:hint="eastAsia"/>
        </w:rPr>
        <w:t>框架下对</w:t>
      </w:r>
      <w:r w:rsidRPr="00F51C9C">
        <w:t>2008</w:t>
      </w:r>
      <w:r w:rsidRPr="00DC3A0D">
        <w:rPr>
          <w:rFonts w:ascii="宋体" w:hAnsi="宋体" w:hint="eastAsia"/>
        </w:rPr>
        <w:t>年全球金融危机以来我国宏观融资结构的变化</w:t>
      </w:r>
      <w:r w:rsidR="00DC544F" w:rsidRPr="00DC3A0D">
        <w:rPr>
          <w:rFonts w:ascii="宋体" w:hAnsi="宋体" w:hint="eastAsia"/>
        </w:rPr>
        <w:t>情况</w:t>
      </w:r>
      <w:r w:rsidRPr="00DC3A0D">
        <w:rPr>
          <w:rFonts w:ascii="宋体" w:hAnsi="宋体" w:hint="eastAsia"/>
        </w:rPr>
        <w:t>进行了较为系统的梳理</w:t>
      </w:r>
      <w:r w:rsidR="00F70C5C" w:rsidRPr="00DC3A0D">
        <w:rPr>
          <w:rFonts w:ascii="宋体" w:hAnsi="宋体" w:hint="eastAsia"/>
        </w:rPr>
        <w:t>、分析、</w:t>
      </w:r>
      <w:r w:rsidRPr="00DC3A0D">
        <w:rPr>
          <w:rFonts w:ascii="宋体" w:hAnsi="宋体" w:hint="eastAsia"/>
        </w:rPr>
        <w:t>刻画，</w:t>
      </w:r>
      <w:r w:rsidR="00EE3DD3">
        <w:rPr>
          <w:rFonts w:ascii="宋体" w:hAnsi="宋体" w:hint="eastAsia"/>
        </w:rPr>
        <w:t>并</w:t>
      </w:r>
      <w:r w:rsidR="00DC544F" w:rsidRPr="00DC3A0D">
        <w:rPr>
          <w:rFonts w:ascii="宋体" w:hAnsi="宋体" w:hint="eastAsia"/>
        </w:rPr>
        <w:t>提炼转型特征，</w:t>
      </w:r>
      <w:r w:rsidR="00587B61" w:rsidRPr="00DC3A0D">
        <w:rPr>
          <w:rFonts w:ascii="宋体" w:hAnsi="宋体" w:hint="eastAsia"/>
        </w:rPr>
        <w:t>从而</w:t>
      </w:r>
      <w:r w:rsidRPr="00DC3A0D">
        <w:rPr>
          <w:rFonts w:ascii="宋体" w:hAnsi="宋体" w:hint="eastAsia"/>
        </w:rPr>
        <w:t>更加全面准确地认识我国宏观融资结构转型</w:t>
      </w:r>
      <w:r w:rsidR="00EE3DD3">
        <w:rPr>
          <w:rFonts w:ascii="宋体" w:hAnsi="宋体" w:hint="eastAsia"/>
        </w:rPr>
        <w:t>；</w:t>
      </w:r>
      <w:r w:rsidRPr="00DC3A0D">
        <w:rPr>
          <w:rFonts w:ascii="宋体" w:hAnsi="宋体" w:hint="eastAsia"/>
        </w:rPr>
        <w:t>第二，从国民经济三大部门储蓄投资格局的视角，运用资金流量表数据探究造成融资主体结构变化的原因</w:t>
      </w:r>
      <w:r w:rsidR="00EE3DD3">
        <w:rPr>
          <w:rFonts w:ascii="宋体" w:hAnsi="宋体" w:hint="eastAsia"/>
        </w:rPr>
        <w:t>；</w:t>
      </w:r>
      <w:r w:rsidRPr="00DC3A0D">
        <w:rPr>
          <w:rFonts w:ascii="宋体" w:hAnsi="宋体" w:hint="eastAsia"/>
        </w:rPr>
        <w:t>第三，在金融混业经营和影子银行业务发展的</w:t>
      </w:r>
      <w:r w:rsidR="005F328F" w:rsidRPr="00DC3A0D">
        <w:rPr>
          <w:rFonts w:ascii="宋体" w:hAnsi="宋体" w:hint="eastAsia"/>
        </w:rPr>
        <w:t>大背景</w:t>
      </w:r>
      <w:r w:rsidRPr="00DC3A0D">
        <w:rPr>
          <w:rFonts w:ascii="宋体" w:hAnsi="宋体" w:hint="eastAsia"/>
        </w:rPr>
        <w:t>下，针对间接融资与直接融资、股权融资与债务融资之间的传统界限被突破的现</w:t>
      </w:r>
      <w:r w:rsidR="00EE3DD3">
        <w:rPr>
          <w:rFonts w:ascii="宋体" w:hAnsi="宋体" w:hint="eastAsia"/>
        </w:rPr>
        <w:t>状</w:t>
      </w:r>
      <w:r w:rsidRPr="00DC3A0D">
        <w:rPr>
          <w:rFonts w:ascii="宋体" w:hAnsi="宋体" w:hint="eastAsia"/>
        </w:rPr>
        <w:t>，阐述“混合融资模式”的概念，梳理其典型表现并分析</w:t>
      </w:r>
      <w:r w:rsidR="00EE3DD3">
        <w:rPr>
          <w:rFonts w:ascii="宋体" w:hAnsi="宋体" w:hint="eastAsia"/>
        </w:rPr>
        <w:t>其</w:t>
      </w:r>
      <w:r w:rsidRPr="00DC3A0D">
        <w:rPr>
          <w:rFonts w:ascii="宋体" w:hAnsi="宋体" w:hint="eastAsia"/>
        </w:rPr>
        <w:t>成因</w:t>
      </w:r>
      <w:r w:rsidR="00EE3DD3">
        <w:rPr>
          <w:rFonts w:ascii="宋体" w:hAnsi="宋体" w:hint="eastAsia"/>
        </w:rPr>
        <w:t>；</w:t>
      </w:r>
      <w:r w:rsidRPr="00DC3A0D">
        <w:rPr>
          <w:rFonts w:ascii="宋体" w:hAnsi="宋体" w:hint="eastAsia"/>
        </w:rPr>
        <w:t>第四，对存量债务利息负担、广义政府部门杠杆率等现有文献中定量研究不足</w:t>
      </w:r>
      <w:r w:rsidR="00587B61" w:rsidRPr="00DC3A0D">
        <w:rPr>
          <w:rFonts w:ascii="宋体" w:hAnsi="宋体" w:hint="eastAsia"/>
        </w:rPr>
        <w:t>和</w:t>
      </w:r>
      <w:r w:rsidRPr="00DC3A0D">
        <w:rPr>
          <w:rFonts w:ascii="宋体" w:hAnsi="宋体" w:hint="eastAsia"/>
        </w:rPr>
        <w:t>尚存争议的问题，</w:t>
      </w:r>
      <w:r w:rsidR="00EE3DD3">
        <w:rPr>
          <w:rFonts w:ascii="宋体" w:hAnsi="宋体" w:hint="eastAsia"/>
        </w:rPr>
        <w:t>进行</w:t>
      </w:r>
      <w:r w:rsidRPr="00DC3A0D">
        <w:rPr>
          <w:rFonts w:ascii="宋体" w:hAnsi="宋体" w:hint="eastAsia"/>
        </w:rPr>
        <w:t>了一定的测算估算，可为</w:t>
      </w:r>
      <w:r w:rsidR="000B580B">
        <w:rPr>
          <w:rFonts w:ascii="宋体" w:hAnsi="宋体" w:hint="eastAsia"/>
        </w:rPr>
        <w:t>相关政策研判和</w:t>
      </w:r>
      <w:r w:rsidRPr="00DC3A0D">
        <w:rPr>
          <w:rFonts w:ascii="宋体" w:hAnsi="宋体" w:hint="eastAsia"/>
        </w:rPr>
        <w:t>日后</w:t>
      </w:r>
      <w:r w:rsidR="002C0F78">
        <w:rPr>
          <w:rFonts w:ascii="宋体" w:hAnsi="宋体" w:hint="eastAsia"/>
        </w:rPr>
        <w:t>文献拓展</w:t>
      </w:r>
      <w:r w:rsidRPr="00DC3A0D">
        <w:rPr>
          <w:rFonts w:ascii="宋体" w:hAnsi="宋体" w:hint="eastAsia"/>
        </w:rPr>
        <w:t>提供参考。</w:t>
      </w:r>
    </w:p>
    <w:p w14:paraId="2F5DE326" w14:textId="23A03E5E" w:rsidR="007C3E2D" w:rsidRPr="00DC3A0D" w:rsidRDefault="007C3E2D" w:rsidP="007C3E2D">
      <w:pPr>
        <w:ind w:firstLine="420"/>
        <w:rPr>
          <w:rFonts w:ascii="宋体" w:hAnsi="宋体"/>
        </w:rPr>
      </w:pPr>
      <w:r w:rsidRPr="00DC3A0D">
        <w:rPr>
          <w:rFonts w:ascii="宋体" w:hAnsi="宋体" w:hint="eastAsia"/>
        </w:rPr>
        <w:t>本文的</w:t>
      </w:r>
      <w:r w:rsidRPr="00DC3A0D">
        <w:rPr>
          <w:rFonts w:ascii="宋体" w:hAnsi="宋体"/>
        </w:rPr>
        <w:t>研究意义主要</w:t>
      </w:r>
      <w:r w:rsidR="00A327DC">
        <w:rPr>
          <w:rFonts w:ascii="宋体" w:hAnsi="宋体" w:hint="eastAsia"/>
        </w:rPr>
        <w:t>有</w:t>
      </w:r>
      <w:r w:rsidRPr="00DC3A0D">
        <w:rPr>
          <w:rFonts w:ascii="宋体" w:hAnsi="宋体"/>
        </w:rPr>
        <w:t>如下三方面：其一，</w:t>
      </w:r>
      <w:r w:rsidR="00EE3DD3">
        <w:rPr>
          <w:rFonts w:ascii="宋体" w:hAnsi="宋体" w:hint="eastAsia"/>
        </w:rPr>
        <w:t>金融</w:t>
      </w:r>
      <w:r w:rsidR="00EE3DD3" w:rsidRPr="00DC3A0D">
        <w:rPr>
          <w:rFonts w:ascii="宋体" w:hAnsi="宋体"/>
        </w:rPr>
        <w:t>效率很大程度上是由宏观融资结构决定的，</w:t>
      </w:r>
      <w:r w:rsidR="00EE3DD3">
        <w:rPr>
          <w:rFonts w:ascii="宋体" w:hAnsi="宋体" w:hint="eastAsia"/>
        </w:rPr>
        <w:t>关于</w:t>
      </w:r>
      <w:r w:rsidRPr="00DC3A0D">
        <w:rPr>
          <w:rFonts w:ascii="宋体" w:hAnsi="宋体"/>
        </w:rPr>
        <w:t>宏观融资结构</w:t>
      </w:r>
      <w:r w:rsidR="00EE3DD3">
        <w:rPr>
          <w:rFonts w:ascii="宋体" w:hAnsi="宋体" w:hint="eastAsia"/>
        </w:rPr>
        <w:t>的</w:t>
      </w:r>
      <w:r w:rsidRPr="00DC3A0D">
        <w:rPr>
          <w:rFonts w:ascii="宋体" w:hAnsi="宋体"/>
        </w:rPr>
        <w:t>研究有助于加深对当前我国金融资源配置效率下降问题的认识</w:t>
      </w:r>
      <w:r w:rsidR="00EE3DD3">
        <w:rPr>
          <w:rFonts w:ascii="宋体" w:hAnsi="宋体" w:hint="eastAsia"/>
        </w:rPr>
        <w:t>；</w:t>
      </w:r>
      <w:r w:rsidRPr="00DC3A0D">
        <w:rPr>
          <w:rFonts w:ascii="宋体" w:hAnsi="宋体"/>
        </w:rPr>
        <w:t>其二，</w:t>
      </w:r>
      <w:r w:rsidR="00EE3DD3" w:rsidRPr="00DC3A0D">
        <w:rPr>
          <w:rFonts w:ascii="宋体" w:hAnsi="宋体"/>
        </w:rPr>
        <w:t>风险</w:t>
      </w:r>
      <w:r w:rsidR="00EE3DD3">
        <w:rPr>
          <w:rFonts w:ascii="宋体" w:hAnsi="宋体" w:hint="eastAsia"/>
        </w:rPr>
        <w:t>问题</w:t>
      </w:r>
      <w:r w:rsidR="00EE3DD3" w:rsidRPr="00DC3A0D">
        <w:rPr>
          <w:rFonts w:ascii="宋体" w:hAnsi="宋体"/>
        </w:rPr>
        <w:t>与结构</w:t>
      </w:r>
      <w:r w:rsidR="00EE3DD3">
        <w:rPr>
          <w:rFonts w:ascii="宋体" w:hAnsi="宋体" w:hint="eastAsia"/>
        </w:rPr>
        <w:t>问题</w:t>
      </w:r>
      <w:r w:rsidR="00EE3DD3" w:rsidRPr="00DC3A0D">
        <w:rPr>
          <w:rFonts w:ascii="宋体" w:hAnsi="宋体"/>
        </w:rPr>
        <w:t>紧密相连</w:t>
      </w:r>
      <w:r w:rsidR="00EE3DD3">
        <w:rPr>
          <w:rFonts w:ascii="宋体" w:hAnsi="宋体" w:hint="eastAsia"/>
        </w:rPr>
        <w:t>，关于</w:t>
      </w:r>
      <w:r w:rsidRPr="00DC3A0D">
        <w:rPr>
          <w:rFonts w:ascii="宋体" w:hAnsi="宋体"/>
        </w:rPr>
        <w:t>宏观融资结构</w:t>
      </w:r>
      <w:r w:rsidR="00EE3DD3">
        <w:rPr>
          <w:rFonts w:ascii="宋体" w:hAnsi="宋体" w:hint="eastAsia"/>
        </w:rPr>
        <w:t>的</w:t>
      </w:r>
      <w:r w:rsidRPr="00DC3A0D">
        <w:rPr>
          <w:rFonts w:ascii="宋体" w:hAnsi="宋体"/>
        </w:rPr>
        <w:t>研究有助于加深对我国宏观杠杆率攀升及金融风险问题的认识</w:t>
      </w:r>
      <w:r w:rsidR="00EE3DD3">
        <w:rPr>
          <w:rFonts w:ascii="宋体" w:hAnsi="宋体" w:hint="eastAsia"/>
        </w:rPr>
        <w:t>；</w:t>
      </w:r>
      <w:r w:rsidRPr="00DC3A0D">
        <w:rPr>
          <w:rFonts w:ascii="宋体" w:hAnsi="宋体" w:hint="eastAsia"/>
        </w:rPr>
        <w:t>其三，对宏观融资结构变化成因及影响机制进行深入研究，是未来优化融资结构</w:t>
      </w:r>
      <w:r w:rsidR="00FD0C7F">
        <w:rPr>
          <w:rFonts w:ascii="宋体" w:hAnsi="宋体" w:hint="eastAsia"/>
        </w:rPr>
        <w:t>、</w:t>
      </w:r>
      <w:r w:rsidRPr="00DC3A0D">
        <w:rPr>
          <w:rFonts w:ascii="宋体" w:hAnsi="宋体" w:hint="eastAsia"/>
        </w:rPr>
        <w:t>进而提升金融资源配置效率和防范化解重大金融风险的前提。</w:t>
      </w:r>
    </w:p>
    <w:p w14:paraId="7842A26B" w14:textId="63852A79" w:rsidR="007C3E2D" w:rsidRPr="00DC3A0D" w:rsidRDefault="00EE3DD3" w:rsidP="007C3E2D">
      <w:pPr>
        <w:ind w:firstLine="420"/>
        <w:rPr>
          <w:rFonts w:ascii="宋体" w:hAnsi="宋体"/>
        </w:rPr>
      </w:pPr>
      <w:r>
        <w:rPr>
          <w:rFonts w:hint="eastAsia"/>
        </w:rPr>
        <w:t>下</w:t>
      </w:r>
      <w:r w:rsidR="007C3E2D" w:rsidRPr="00DC3A0D">
        <w:rPr>
          <w:rFonts w:hint="eastAsia"/>
        </w:rPr>
        <w:t>文的组织框架为：</w:t>
      </w:r>
      <w:r w:rsidR="003D14E6">
        <w:rPr>
          <w:rFonts w:hint="eastAsia"/>
        </w:rPr>
        <w:t>第二部分</w:t>
      </w:r>
      <w:r w:rsidR="003F36AF">
        <w:rPr>
          <w:rFonts w:hint="eastAsia"/>
        </w:rPr>
        <w:t>对</w:t>
      </w:r>
      <w:r w:rsidR="003D14E6">
        <w:rPr>
          <w:rFonts w:hint="eastAsia"/>
        </w:rPr>
        <w:t>相关文献</w:t>
      </w:r>
      <w:r w:rsidR="003F36AF">
        <w:rPr>
          <w:rFonts w:hint="eastAsia"/>
        </w:rPr>
        <w:t>进行简要述评</w:t>
      </w:r>
      <w:r>
        <w:rPr>
          <w:rFonts w:hint="eastAsia"/>
        </w:rPr>
        <w:t>；</w:t>
      </w:r>
      <w:r w:rsidR="007C3E2D" w:rsidRPr="00DC3A0D">
        <w:rPr>
          <w:rFonts w:hint="eastAsia"/>
        </w:rPr>
        <w:t>第三、</w:t>
      </w:r>
      <w:r w:rsidRPr="00DC3A0D">
        <w:rPr>
          <w:rFonts w:hint="eastAsia"/>
        </w:rPr>
        <w:t>第</w:t>
      </w:r>
      <w:r w:rsidR="007C3E2D" w:rsidRPr="00DC3A0D">
        <w:rPr>
          <w:rFonts w:hint="eastAsia"/>
        </w:rPr>
        <w:t>四、</w:t>
      </w:r>
      <w:r w:rsidRPr="00DC3A0D">
        <w:rPr>
          <w:rFonts w:hint="eastAsia"/>
        </w:rPr>
        <w:t>第</w:t>
      </w:r>
      <w:r w:rsidR="007C3E2D" w:rsidRPr="00DC3A0D">
        <w:rPr>
          <w:rFonts w:hint="eastAsia"/>
        </w:rPr>
        <w:t>五部分分别从融资主体结构视角、融资用途结构视角、融资渠道结构视角三个维度来归纳</w:t>
      </w:r>
      <w:r w:rsidR="00105B1C">
        <w:rPr>
          <w:rFonts w:hint="eastAsia"/>
        </w:rPr>
        <w:t>提炼</w:t>
      </w:r>
      <w:r w:rsidR="007C3E2D" w:rsidRPr="00DC3A0D">
        <w:rPr>
          <w:rFonts w:hint="eastAsia"/>
        </w:rPr>
        <w:t>近年来我国宏观融资结构的转型特征，并分析其成因及影响；第六部分是简要总结以及政策启示。</w:t>
      </w:r>
    </w:p>
    <w:p w14:paraId="7788E562" w14:textId="5857F7D1" w:rsidR="00E0494E" w:rsidRPr="00EC1E40" w:rsidRDefault="00E0494E" w:rsidP="00EC1E40">
      <w:pPr>
        <w:jc w:val="center"/>
        <w:rPr>
          <w:rFonts w:ascii="黑体" w:eastAsia="黑体" w:hAnsi="黑体"/>
          <w:sz w:val="28"/>
          <w:szCs w:val="28"/>
        </w:rPr>
      </w:pPr>
      <w:r w:rsidRPr="00EC1E40">
        <w:rPr>
          <w:rFonts w:ascii="黑体" w:eastAsia="黑体" w:hAnsi="黑体" w:hint="eastAsia"/>
          <w:sz w:val="28"/>
          <w:szCs w:val="28"/>
        </w:rPr>
        <w:t>二、文献综述</w:t>
      </w:r>
    </w:p>
    <w:p w14:paraId="390E26A5" w14:textId="57AEAA4E" w:rsidR="00490C51" w:rsidRPr="00DC3A0D" w:rsidRDefault="002E5F47" w:rsidP="004C5207">
      <w:pPr>
        <w:ind w:firstLineChars="200" w:firstLine="420"/>
      </w:pPr>
      <w:r w:rsidRPr="00DC3A0D">
        <w:rPr>
          <w:rFonts w:hint="eastAsia"/>
        </w:rPr>
        <w:t>融资结构</w:t>
      </w:r>
      <w:r w:rsidR="00D736A3" w:rsidRPr="00DC3A0D">
        <w:rPr>
          <w:rFonts w:hint="eastAsia"/>
        </w:rPr>
        <w:t>问题</w:t>
      </w:r>
      <w:r w:rsidR="003E72A4" w:rsidRPr="00DC3A0D">
        <w:rPr>
          <w:rFonts w:hint="eastAsia"/>
        </w:rPr>
        <w:t>是</w:t>
      </w:r>
      <w:r w:rsidR="000463C8" w:rsidRPr="00DC3A0D">
        <w:rPr>
          <w:rFonts w:hint="eastAsia"/>
        </w:rPr>
        <w:t>金融学</w:t>
      </w:r>
      <w:r w:rsidR="00FC37E3" w:rsidRPr="00DC3A0D">
        <w:rPr>
          <w:rFonts w:hint="eastAsia"/>
        </w:rPr>
        <w:t>研究</w:t>
      </w:r>
      <w:r w:rsidR="00A5177C" w:rsidRPr="00DC3A0D">
        <w:rPr>
          <w:rFonts w:hint="eastAsia"/>
        </w:rPr>
        <w:t>中的一个重要</w:t>
      </w:r>
      <w:r w:rsidR="00EE3DD3">
        <w:rPr>
          <w:rFonts w:hint="eastAsia"/>
        </w:rPr>
        <w:t>领域</w:t>
      </w:r>
      <w:r w:rsidR="00373D7A" w:rsidRPr="00DC3A0D">
        <w:rPr>
          <w:rFonts w:hint="eastAsia"/>
        </w:rPr>
        <w:t>，</w:t>
      </w:r>
      <w:r w:rsidR="00FC44BC" w:rsidRPr="00DC3A0D">
        <w:rPr>
          <w:rFonts w:hint="eastAsia"/>
        </w:rPr>
        <w:t>已有</w:t>
      </w:r>
      <w:r w:rsidR="004C5207" w:rsidRPr="00DC3A0D">
        <w:rPr>
          <w:rFonts w:hint="eastAsia"/>
        </w:rPr>
        <w:t>文献</w:t>
      </w:r>
      <w:r w:rsidR="00426E3E" w:rsidRPr="00DC3A0D">
        <w:rPr>
          <w:rFonts w:hint="eastAsia"/>
        </w:rPr>
        <w:t>关于</w:t>
      </w:r>
      <w:r w:rsidR="004C5207" w:rsidRPr="00DC3A0D">
        <w:rPr>
          <w:rFonts w:hint="eastAsia"/>
        </w:rPr>
        <w:t>融资结构的研究多是从微观层面展开</w:t>
      </w:r>
      <w:r w:rsidR="005B1D77" w:rsidRPr="00DC3A0D">
        <w:rPr>
          <w:rFonts w:hint="eastAsia"/>
        </w:rPr>
        <w:t>。</w:t>
      </w:r>
      <w:r w:rsidR="004C5207" w:rsidRPr="00DC3A0D">
        <w:t xml:space="preserve">Modigliani </w:t>
      </w:r>
      <w:r w:rsidR="004C5207" w:rsidRPr="00DC3A0D">
        <w:rPr>
          <w:rFonts w:hint="eastAsia"/>
        </w:rPr>
        <w:t>&amp;</w:t>
      </w:r>
      <w:r w:rsidR="004C5207" w:rsidRPr="00DC3A0D">
        <w:t xml:space="preserve"> Miller</w:t>
      </w:r>
      <w:r w:rsidR="004C5207" w:rsidRPr="00DC3A0D">
        <w:rPr>
          <w:rFonts w:hint="eastAsia"/>
        </w:rPr>
        <w:t>（</w:t>
      </w:r>
      <w:r w:rsidR="004C5207" w:rsidRPr="00DC3A0D">
        <w:rPr>
          <w:rFonts w:hint="eastAsia"/>
        </w:rPr>
        <w:t>1958</w:t>
      </w:r>
      <w:r w:rsidR="004C5207" w:rsidRPr="00DC3A0D">
        <w:rPr>
          <w:rFonts w:hint="eastAsia"/>
        </w:rPr>
        <w:t>）提出的“</w:t>
      </w:r>
      <w:r w:rsidR="004C5207" w:rsidRPr="00DC3A0D">
        <w:rPr>
          <w:rFonts w:hint="eastAsia"/>
        </w:rPr>
        <w:t>M</w:t>
      </w:r>
      <w:r w:rsidR="004C5207" w:rsidRPr="00DC3A0D">
        <w:t>M</w:t>
      </w:r>
      <w:r w:rsidR="004C5207" w:rsidRPr="00DC3A0D">
        <w:rPr>
          <w:rFonts w:hint="eastAsia"/>
        </w:rPr>
        <w:t>定理”奠定了微观融资结构研究的基石，后来在此基础上形成了大量理论和实证研究文献。此后又产生了</w:t>
      </w:r>
      <w:r w:rsidR="002764E1">
        <w:rPr>
          <w:rFonts w:hint="eastAsia"/>
        </w:rPr>
        <w:t>诸</w:t>
      </w:r>
      <w:r w:rsidR="004C5207" w:rsidRPr="00DC3A0D">
        <w:rPr>
          <w:rFonts w:hint="eastAsia"/>
        </w:rPr>
        <w:t>如信号理论、委托代理理论、控制权理论、啄序融资理论等其他解释微观公司融资结构的</w:t>
      </w:r>
      <w:r w:rsidR="002764E1">
        <w:rPr>
          <w:rFonts w:hint="eastAsia"/>
        </w:rPr>
        <w:t>众</w:t>
      </w:r>
      <w:r w:rsidR="004C5207" w:rsidRPr="00DC3A0D">
        <w:rPr>
          <w:rFonts w:hint="eastAsia"/>
        </w:rPr>
        <w:t>多理论。国内文献关于微观融资结构的研究</w:t>
      </w:r>
      <w:r w:rsidR="00E43C0A">
        <w:rPr>
          <w:rFonts w:hint="eastAsia"/>
        </w:rPr>
        <w:t>亦</w:t>
      </w:r>
      <w:r w:rsidR="00EE3DD3">
        <w:rPr>
          <w:rFonts w:hint="eastAsia"/>
        </w:rPr>
        <w:t>非常丰富</w:t>
      </w:r>
      <w:r w:rsidR="004C5207" w:rsidRPr="00DC3A0D">
        <w:rPr>
          <w:rFonts w:hint="eastAsia"/>
        </w:rPr>
        <w:t>，</w:t>
      </w:r>
      <w:r w:rsidR="00983A25">
        <w:rPr>
          <w:rFonts w:hint="eastAsia"/>
        </w:rPr>
        <w:t>有</w:t>
      </w:r>
      <w:r w:rsidR="004C5207" w:rsidRPr="00DC3A0D">
        <w:rPr>
          <w:rFonts w:hint="eastAsia"/>
        </w:rPr>
        <w:t>代表性的如钱颖一（</w:t>
      </w:r>
      <w:r w:rsidR="004C5207" w:rsidRPr="00DC3A0D">
        <w:rPr>
          <w:rFonts w:hint="eastAsia"/>
        </w:rPr>
        <w:t>1</w:t>
      </w:r>
      <w:r w:rsidR="004C5207" w:rsidRPr="00DC3A0D">
        <w:t>995</w:t>
      </w:r>
      <w:r w:rsidR="004C5207" w:rsidRPr="00DC3A0D">
        <w:rPr>
          <w:rFonts w:hint="eastAsia"/>
        </w:rPr>
        <w:t>）</w:t>
      </w:r>
      <w:r w:rsidR="00EE3DD3">
        <w:rPr>
          <w:rFonts w:hint="eastAsia"/>
        </w:rPr>
        <w:t>、</w:t>
      </w:r>
      <w:r w:rsidR="004C5207" w:rsidRPr="00DC3A0D">
        <w:rPr>
          <w:rFonts w:hint="eastAsia"/>
        </w:rPr>
        <w:t>张维迎</w:t>
      </w:r>
      <w:r w:rsidR="00EE3DD3">
        <w:rPr>
          <w:rFonts w:hint="eastAsia"/>
        </w:rPr>
        <w:t>和</w:t>
      </w:r>
      <w:r w:rsidR="004C5207" w:rsidRPr="00DC3A0D">
        <w:t>吴有昌</w:t>
      </w:r>
      <w:r w:rsidR="004C5207" w:rsidRPr="00DC3A0D">
        <w:rPr>
          <w:rFonts w:hint="eastAsia"/>
        </w:rPr>
        <w:t>（</w:t>
      </w:r>
      <w:r w:rsidR="004C5207" w:rsidRPr="00DC3A0D">
        <w:rPr>
          <w:rFonts w:hint="eastAsia"/>
        </w:rPr>
        <w:t>1</w:t>
      </w:r>
      <w:r w:rsidR="004C5207" w:rsidRPr="00DC3A0D">
        <w:t>995</w:t>
      </w:r>
      <w:r w:rsidR="004C5207" w:rsidRPr="00DC3A0D">
        <w:rPr>
          <w:rFonts w:hint="eastAsia"/>
        </w:rPr>
        <w:t>）</w:t>
      </w:r>
      <w:r w:rsidR="00EE3DD3">
        <w:rPr>
          <w:rFonts w:hint="eastAsia"/>
        </w:rPr>
        <w:t>、</w:t>
      </w:r>
      <w:r w:rsidR="004C5207" w:rsidRPr="00DC3A0D">
        <w:rPr>
          <w:rFonts w:hint="eastAsia"/>
        </w:rPr>
        <w:t>黄少安</w:t>
      </w:r>
      <w:r w:rsidR="00EE3DD3">
        <w:rPr>
          <w:rFonts w:hint="eastAsia"/>
        </w:rPr>
        <w:t>和</w:t>
      </w:r>
      <w:r w:rsidR="004C5207" w:rsidRPr="00DC3A0D">
        <w:t>张岗</w:t>
      </w:r>
      <w:r w:rsidR="004C5207" w:rsidRPr="00DC3A0D">
        <w:rPr>
          <w:rFonts w:hint="eastAsia"/>
        </w:rPr>
        <w:t>（</w:t>
      </w:r>
      <w:r w:rsidR="004C5207" w:rsidRPr="00DC3A0D">
        <w:rPr>
          <w:rFonts w:hint="eastAsia"/>
        </w:rPr>
        <w:t>2</w:t>
      </w:r>
      <w:r w:rsidR="004C5207" w:rsidRPr="00DC3A0D">
        <w:t>001</w:t>
      </w:r>
      <w:r w:rsidR="004C5207" w:rsidRPr="00DC3A0D">
        <w:rPr>
          <w:rFonts w:hint="eastAsia"/>
        </w:rPr>
        <w:t>）</w:t>
      </w:r>
      <w:r w:rsidR="00EE3DD3">
        <w:rPr>
          <w:rFonts w:hint="eastAsia"/>
        </w:rPr>
        <w:t>、</w:t>
      </w:r>
      <w:r w:rsidR="004C5207" w:rsidRPr="00DC3A0D">
        <w:t>李增泉</w:t>
      </w:r>
      <w:r w:rsidR="004C5207" w:rsidRPr="00DC3A0D">
        <w:rPr>
          <w:rFonts w:hint="eastAsia"/>
        </w:rPr>
        <w:t>等（</w:t>
      </w:r>
      <w:r w:rsidR="004C5207" w:rsidRPr="00DC3A0D">
        <w:rPr>
          <w:rFonts w:hint="eastAsia"/>
        </w:rPr>
        <w:t>2</w:t>
      </w:r>
      <w:r w:rsidR="004C5207" w:rsidRPr="00DC3A0D">
        <w:t>008</w:t>
      </w:r>
      <w:r w:rsidR="004C5207" w:rsidRPr="00DC3A0D">
        <w:rPr>
          <w:rFonts w:hint="eastAsia"/>
        </w:rPr>
        <w:t>）</w:t>
      </w:r>
      <w:r w:rsidR="00EE3DD3">
        <w:rPr>
          <w:rFonts w:hint="eastAsia"/>
        </w:rPr>
        <w:t>、</w:t>
      </w:r>
      <w:r w:rsidR="004C5207" w:rsidRPr="00DC3A0D">
        <w:t>王正位</w:t>
      </w:r>
      <w:r w:rsidR="004C5207" w:rsidRPr="00DC3A0D">
        <w:rPr>
          <w:rFonts w:hint="eastAsia"/>
        </w:rPr>
        <w:t>等（</w:t>
      </w:r>
      <w:r w:rsidR="004C5207" w:rsidRPr="00DC3A0D">
        <w:rPr>
          <w:rFonts w:hint="eastAsia"/>
        </w:rPr>
        <w:t>2</w:t>
      </w:r>
      <w:r w:rsidR="004C5207" w:rsidRPr="00DC3A0D">
        <w:t>011</w:t>
      </w:r>
      <w:r w:rsidR="004C5207" w:rsidRPr="00DC3A0D">
        <w:rPr>
          <w:rFonts w:hint="eastAsia"/>
        </w:rPr>
        <w:t>）等。</w:t>
      </w:r>
      <w:r w:rsidR="005B1D77" w:rsidRPr="00DC3A0D">
        <w:rPr>
          <w:rFonts w:hint="eastAsia"/>
        </w:rPr>
        <w:t>尽管这类文献与本文联系不直接，但却构成理解宏观层面融资结构问题</w:t>
      </w:r>
      <w:r w:rsidR="00EE3DD3">
        <w:rPr>
          <w:rFonts w:hint="eastAsia"/>
        </w:rPr>
        <w:t>的</w:t>
      </w:r>
      <w:r w:rsidR="005B1D77" w:rsidRPr="00DC3A0D">
        <w:rPr>
          <w:rFonts w:hint="eastAsia"/>
        </w:rPr>
        <w:t>必要微观基础之一。</w:t>
      </w:r>
    </w:p>
    <w:p w14:paraId="48DAA39A" w14:textId="63F4AFAE" w:rsidR="004C5207" w:rsidRPr="00DC3A0D" w:rsidRDefault="004C5207" w:rsidP="004C5207">
      <w:pPr>
        <w:ind w:firstLineChars="200" w:firstLine="420"/>
      </w:pPr>
      <w:r w:rsidRPr="00DC3A0D">
        <w:rPr>
          <w:rFonts w:hint="eastAsia"/>
        </w:rPr>
        <w:t>相对而言，从宏观层面研究融资结构的文献</w:t>
      </w:r>
      <w:r w:rsidR="00EE3DD3">
        <w:rPr>
          <w:rFonts w:hint="eastAsia"/>
        </w:rPr>
        <w:t>数量</w:t>
      </w:r>
      <w:r w:rsidR="006E1345" w:rsidRPr="00DC3A0D">
        <w:rPr>
          <w:rFonts w:hint="eastAsia"/>
        </w:rPr>
        <w:t>较为有限</w:t>
      </w:r>
      <w:r w:rsidRPr="00DC3A0D">
        <w:rPr>
          <w:rFonts w:hint="eastAsia"/>
        </w:rPr>
        <w:t>。在国际上，</w:t>
      </w:r>
      <w:r w:rsidR="00EE3DD3">
        <w:rPr>
          <w:rFonts w:hint="eastAsia"/>
        </w:rPr>
        <w:t>上世纪</w:t>
      </w:r>
      <w:r w:rsidR="00EE3DD3">
        <w:rPr>
          <w:rFonts w:hint="eastAsia"/>
        </w:rPr>
        <w:t>60</w:t>
      </w:r>
      <w:r w:rsidR="00EE3DD3">
        <w:rPr>
          <w:rFonts w:hint="eastAsia"/>
        </w:rPr>
        <w:t>年代</w:t>
      </w:r>
      <w:r w:rsidR="00FE5AA4">
        <w:rPr>
          <w:rFonts w:hint="eastAsia"/>
        </w:rPr>
        <w:t>开始</w:t>
      </w:r>
      <w:r w:rsidR="00F06485">
        <w:rPr>
          <w:rFonts w:hint="eastAsia"/>
        </w:rPr>
        <w:t>兴起</w:t>
      </w:r>
      <w:r w:rsidR="00FE5AA4">
        <w:rPr>
          <w:rFonts w:hint="eastAsia"/>
        </w:rPr>
        <w:t>了</w:t>
      </w:r>
      <w:r w:rsidRPr="00DC3A0D">
        <w:rPr>
          <w:rFonts w:hint="eastAsia"/>
        </w:rPr>
        <w:t>运用比较金融研究方法对包括宏观融资结构在内的宏观金融结构演进问题</w:t>
      </w:r>
      <w:r w:rsidR="00EE3DD3">
        <w:rPr>
          <w:rFonts w:hint="eastAsia"/>
        </w:rPr>
        <w:t>展开</w:t>
      </w:r>
      <w:r w:rsidRPr="00DC3A0D">
        <w:rPr>
          <w:rFonts w:hint="eastAsia"/>
        </w:rPr>
        <w:t>理论阐述和实证分析</w:t>
      </w:r>
      <w:r w:rsidR="00876063">
        <w:rPr>
          <w:rFonts w:hint="eastAsia"/>
        </w:rPr>
        <w:t>，</w:t>
      </w:r>
      <w:r w:rsidRPr="00DC3A0D">
        <w:rPr>
          <w:rFonts w:hint="eastAsia"/>
        </w:rPr>
        <w:t>此后</w:t>
      </w:r>
      <w:r w:rsidR="00792C72" w:rsidRPr="00DC3A0D">
        <w:rPr>
          <w:rFonts w:hint="eastAsia"/>
        </w:rPr>
        <w:t>该文献分支</w:t>
      </w:r>
      <w:r w:rsidRPr="00DC3A0D">
        <w:rPr>
          <w:rFonts w:hint="eastAsia"/>
        </w:rPr>
        <w:t>主要</w:t>
      </w:r>
      <w:r w:rsidR="00792C72" w:rsidRPr="00DC3A0D">
        <w:rPr>
          <w:rFonts w:hint="eastAsia"/>
        </w:rPr>
        <w:t>转向</w:t>
      </w:r>
      <w:r w:rsidRPr="00DC3A0D">
        <w:rPr>
          <w:rFonts w:hint="eastAsia"/>
        </w:rPr>
        <w:t>讨论</w:t>
      </w:r>
      <w:r w:rsidR="00EF75A1" w:rsidRPr="00DC3A0D">
        <w:rPr>
          <w:rFonts w:hint="eastAsia"/>
        </w:rPr>
        <w:t>宏观金融结构</w:t>
      </w:r>
      <w:r w:rsidRPr="00DC3A0D">
        <w:rPr>
          <w:rFonts w:hint="eastAsia"/>
        </w:rPr>
        <w:t>与经济增长之间的关系（</w:t>
      </w:r>
      <w:proofErr w:type="spellStart"/>
      <w:r w:rsidRPr="00DC3A0D">
        <w:t>Demirguc-Kunt</w:t>
      </w:r>
      <w:proofErr w:type="spellEnd"/>
      <w:r w:rsidRPr="00DC3A0D">
        <w:t xml:space="preserve"> &amp; Levine, 1996</w:t>
      </w:r>
      <w:r w:rsidR="00EE3DD3">
        <w:rPr>
          <w:rFonts w:hint="eastAsia"/>
        </w:rPr>
        <w:t>；</w:t>
      </w:r>
      <w:r w:rsidRPr="00DC3A0D">
        <w:t xml:space="preserve">Levine </w:t>
      </w:r>
      <w:r w:rsidRPr="00DC3A0D">
        <w:rPr>
          <w:rFonts w:hint="eastAsia"/>
        </w:rPr>
        <w:t>&amp;</w:t>
      </w:r>
      <w:r w:rsidRPr="00DC3A0D">
        <w:t xml:space="preserve"> </w:t>
      </w:r>
      <w:proofErr w:type="spellStart"/>
      <w:r w:rsidRPr="00DC3A0D">
        <w:t>Zevros</w:t>
      </w:r>
      <w:proofErr w:type="spellEnd"/>
      <w:r w:rsidR="00EE3DD3">
        <w:rPr>
          <w:rFonts w:hint="eastAsia"/>
        </w:rPr>
        <w:t>，</w:t>
      </w:r>
      <w:r w:rsidRPr="00DC3A0D">
        <w:rPr>
          <w:rFonts w:hint="eastAsia"/>
        </w:rPr>
        <w:t>1</w:t>
      </w:r>
      <w:r w:rsidRPr="00DC3A0D">
        <w:t>998</w:t>
      </w:r>
      <w:r w:rsidR="00EE3DD3">
        <w:rPr>
          <w:rFonts w:hint="eastAsia"/>
        </w:rPr>
        <w:t>；</w:t>
      </w:r>
      <w:proofErr w:type="spellStart"/>
      <w:r w:rsidRPr="00DC3A0D">
        <w:t>Arestis</w:t>
      </w:r>
      <w:proofErr w:type="spellEnd"/>
      <w:r w:rsidRPr="00DC3A0D">
        <w:t xml:space="preserve"> </w:t>
      </w:r>
      <w:r w:rsidR="00A31110" w:rsidRPr="00A31110">
        <w:t>et al</w:t>
      </w:r>
      <w:r w:rsidR="00EE3DD3">
        <w:rPr>
          <w:rFonts w:hint="eastAsia"/>
        </w:rPr>
        <w:t>，</w:t>
      </w:r>
      <w:r w:rsidRPr="00DC3A0D">
        <w:t>2001</w:t>
      </w:r>
      <w:r w:rsidRPr="00DC3A0D">
        <w:rPr>
          <w:rFonts w:hint="eastAsia"/>
        </w:rPr>
        <w:t>）以及法律制度对金融结构的影响（</w:t>
      </w:r>
      <w:r w:rsidRPr="00DC3A0D">
        <w:t xml:space="preserve">La Porta </w:t>
      </w:r>
      <w:r w:rsidR="00A31110" w:rsidRPr="00A31110">
        <w:rPr>
          <w:rFonts w:hint="eastAsia"/>
        </w:rPr>
        <w:t>et al</w:t>
      </w:r>
      <w:r w:rsidR="00EE3DD3">
        <w:rPr>
          <w:rFonts w:hint="eastAsia"/>
        </w:rPr>
        <w:t>，</w:t>
      </w:r>
      <w:r w:rsidRPr="00DC3A0D">
        <w:t>199</w:t>
      </w:r>
      <w:r w:rsidR="00202617">
        <w:t>7</w:t>
      </w:r>
      <w:r w:rsidRPr="00DC3A0D">
        <w:t xml:space="preserve"> &amp; </w:t>
      </w:r>
      <w:r w:rsidR="00202617">
        <w:t>1998</w:t>
      </w:r>
      <w:r w:rsidR="007B709B">
        <w:rPr>
          <w:rFonts w:hint="eastAsia"/>
        </w:rPr>
        <w:t>；</w:t>
      </w:r>
      <w:r w:rsidRPr="00DC3A0D">
        <w:t>Levine</w:t>
      </w:r>
      <w:r w:rsidR="007B709B">
        <w:rPr>
          <w:rFonts w:hint="eastAsia"/>
        </w:rPr>
        <w:t>，</w:t>
      </w:r>
      <w:r w:rsidRPr="00DC3A0D">
        <w:t>1999</w:t>
      </w:r>
      <w:r w:rsidRPr="00DC3A0D">
        <w:rPr>
          <w:rFonts w:hint="eastAsia"/>
        </w:rPr>
        <w:t>）等方面，单独探讨宏观金融结构演变规律的研究反而较少。</w:t>
      </w:r>
      <w:r w:rsidRPr="00DC3A0D">
        <w:t xml:space="preserve">Beck </w:t>
      </w:r>
      <w:r w:rsidR="00A31110" w:rsidRPr="00A31110">
        <w:t>et al</w:t>
      </w:r>
      <w:r w:rsidR="007B709B">
        <w:rPr>
          <w:rFonts w:hint="eastAsia"/>
        </w:rPr>
        <w:t>（</w:t>
      </w:r>
      <w:r w:rsidRPr="00DC3A0D">
        <w:t>2000</w:t>
      </w:r>
      <w:r w:rsidR="007B709B">
        <w:rPr>
          <w:rFonts w:hint="eastAsia"/>
        </w:rPr>
        <w:t>）</w:t>
      </w:r>
      <w:r w:rsidRPr="00DC3A0D">
        <w:rPr>
          <w:rFonts w:hint="eastAsia"/>
        </w:rPr>
        <w:t>整理构建了一个跨国金融结构数据库，为金融结构实证研究提供了较为完善的基础资料，该数据库目前仍在不断进行时序更新和变量拓展（</w:t>
      </w:r>
      <w:proofErr w:type="spellStart"/>
      <w:r w:rsidRPr="00DC3A0D">
        <w:t>Cihak</w:t>
      </w:r>
      <w:proofErr w:type="spellEnd"/>
      <w:r w:rsidRPr="00DC3A0D">
        <w:t xml:space="preserve"> </w:t>
      </w:r>
      <w:r w:rsidR="00A31110" w:rsidRPr="00A31110">
        <w:t>et al</w:t>
      </w:r>
      <w:r w:rsidRPr="00DC3A0D">
        <w:rPr>
          <w:rFonts w:hint="eastAsia"/>
        </w:rPr>
        <w:t>，</w:t>
      </w:r>
      <w:r w:rsidRPr="00DC3A0D">
        <w:rPr>
          <w:rFonts w:hint="eastAsia"/>
        </w:rPr>
        <w:t>2</w:t>
      </w:r>
      <w:r w:rsidRPr="00DC3A0D">
        <w:t>012</w:t>
      </w:r>
      <w:r w:rsidRPr="00DC3A0D">
        <w:rPr>
          <w:rFonts w:hint="eastAsia"/>
        </w:rPr>
        <w:t>）。</w:t>
      </w:r>
    </w:p>
    <w:p w14:paraId="7112C51C" w14:textId="6E77BEBB" w:rsidR="006E6D3A" w:rsidRPr="00DC3A0D" w:rsidRDefault="004C5207" w:rsidP="004C5207">
      <w:pPr>
        <w:ind w:firstLineChars="200" w:firstLine="420"/>
      </w:pPr>
      <w:r w:rsidRPr="00DC3A0D">
        <w:rPr>
          <w:rFonts w:hint="eastAsia"/>
        </w:rPr>
        <w:t>在国内，从宏观层面</w:t>
      </w:r>
      <w:r w:rsidR="005E0E29" w:rsidRPr="00DC3A0D">
        <w:rPr>
          <w:rFonts w:hint="eastAsia"/>
        </w:rPr>
        <w:t>直接研究</w:t>
      </w:r>
      <w:r w:rsidR="00F05185" w:rsidRPr="00DC3A0D">
        <w:rPr>
          <w:rFonts w:hint="eastAsia"/>
        </w:rPr>
        <w:t>融资结构问题的</w:t>
      </w:r>
      <w:r w:rsidR="000D2A24" w:rsidRPr="00DC3A0D">
        <w:rPr>
          <w:rFonts w:hint="eastAsia"/>
        </w:rPr>
        <w:t>文献</w:t>
      </w:r>
      <w:r w:rsidR="00983A25">
        <w:rPr>
          <w:rFonts w:hint="eastAsia"/>
        </w:rPr>
        <w:t>数量</w:t>
      </w:r>
      <w:r w:rsidR="00EE2CF2" w:rsidRPr="00DC3A0D">
        <w:rPr>
          <w:rFonts w:hint="eastAsia"/>
        </w:rPr>
        <w:t>也</w:t>
      </w:r>
      <w:r w:rsidR="00F06485">
        <w:rPr>
          <w:rFonts w:hint="eastAsia"/>
        </w:rPr>
        <w:t>较为有限</w:t>
      </w:r>
      <w:r w:rsidR="000D2A24" w:rsidRPr="00DC3A0D">
        <w:rPr>
          <w:rFonts w:hint="eastAsia"/>
        </w:rPr>
        <w:t>，</w:t>
      </w:r>
      <w:r w:rsidR="001C74E5" w:rsidRPr="00DC3A0D">
        <w:rPr>
          <w:rFonts w:hint="eastAsia"/>
        </w:rPr>
        <w:t>与之紧密相关的</w:t>
      </w:r>
      <w:r w:rsidR="00D0301A" w:rsidRPr="00DC3A0D">
        <w:rPr>
          <w:rFonts w:hint="eastAsia"/>
        </w:rPr>
        <w:t>是</w:t>
      </w:r>
      <w:r w:rsidR="001C74E5" w:rsidRPr="00DC3A0D">
        <w:rPr>
          <w:rFonts w:hint="eastAsia"/>
        </w:rPr>
        <w:t>两支文献</w:t>
      </w:r>
      <w:r w:rsidR="00D0301A" w:rsidRPr="00DC3A0D">
        <w:rPr>
          <w:rFonts w:hint="eastAsia"/>
        </w:rPr>
        <w:t>：</w:t>
      </w:r>
      <w:r w:rsidR="0098051C" w:rsidRPr="00DC3A0D">
        <w:rPr>
          <w:rFonts w:hint="eastAsia"/>
        </w:rPr>
        <w:t>一支研究</w:t>
      </w:r>
      <w:r w:rsidR="00BA5145" w:rsidRPr="00DC3A0D">
        <w:rPr>
          <w:rFonts w:hint="eastAsia"/>
        </w:rPr>
        <w:t>宏观</w:t>
      </w:r>
      <w:r w:rsidR="0098051C" w:rsidRPr="00DC3A0D">
        <w:rPr>
          <w:rFonts w:hint="eastAsia"/>
        </w:rPr>
        <w:t>金融资产结构问题</w:t>
      </w:r>
      <w:r w:rsidR="00983A25">
        <w:rPr>
          <w:rFonts w:hint="eastAsia"/>
        </w:rPr>
        <w:t>；</w:t>
      </w:r>
      <w:r w:rsidR="0098051C" w:rsidRPr="00DC3A0D">
        <w:rPr>
          <w:rFonts w:hint="eastAsia"/>
        </w:rPr>
        <w:t>另一支研究</w:t>
      </w:r>
      <w:r w:rsidR="00543F9C" w:rsidRPr="00DC3A0D">
        <w:rPr>
          <w:rFonts w:hint="eastAsia"/>
        </w:rPr>
        <w:t>部门债务结构</w:t>
      </w:r>
      <w:r w:rsidR="00F536C9" w:rsidRPr="00DC3A0D">
        <w:rPr>
          <w:rFonts w:hint="eastAsia"/>
        </w:rPr>
        <w:t>和</w:t>
      </w:r>
      <w:r w:rsidR="00BA5145" w:rsidRPr="00DC3A0D">
        <w:rPr>
          <w:rFonts w:hint="eastAsia"/>
        </w:rPr>
        <w:t>部门</w:t>
      </w:r>
      <w:r w:rsidR="00543F9C" w:rsidRPr="00DC3A0D">
        <w:rPr>
          <w:rFonts w:hint="eastAsia"/>
        </w:rPr>
        <w:t>杠杆率结构问题。</w:t>
      </w:r>
      <w:r w:rsidR="00450E56" w:rsidRPr="00DC3A0D">
        <w:rPr>
          <w:rFonts w:hint="eastAsia"/>
        </w:rPr>
        <w:t>其中，</w:t>
      </w:r>
      <w:r w:rsidR="00493568" w:rsidRPr="00DC3A0D">
        <w:rPr>
          <w:rFonts w:hint="eastAsia"/>
        </w:rPr>
        <w:t>研究宏观</w:t>
      </w:r>
      <w:r w:rsidRPr="00DC3A0D">
        <w:rPr>
          <w:rFonts w:hint="eastAsia"/>
        </w:rPr>
        <w:t>金融资产结构问题</w:t>
      </w:r>
      <w:r w:rsidR="00895DE2" w:rsidRPr="00DC3A0D">
        <w:rPr>
          <w:rFonts w:hint="eastAsia"/>
        </w:rPr>
        <w:t>的文献中</w:t>
      </w:r>
      <w:r w:rsidR="00CF2960">
        <w:rPr>
          <w:rFonts w:hint="eastAsia"/>
        </w:rPr>
        <w:t>，</w:t>
      </w:r>
      <w:r w:rsidR="00602AB5" w:rsidRPr="00DC3A0D">
        <w:rPr>
          <w:rFonts w:hint="eastAsia"/>
        </w:rPr>
        <w:t>最具</w:t>
      </w:r>
      <w:r w:rsidRPr="00DC3A0D">
        <w:rPr>
          <w:rFonts w:hint="eastAsia"/>
        </w:rPr>
        <w:t>典型</w:t>
      </w:r>
      <w:r w:rsidR="00602AB5" w:rsidRPr="00DC3A0D">
        <w:rPr>
          <w:rFonts w:hint="eastAsia"/>
        </w:rPr>
        <w:t>性</w:t>
      </w:r>
      <w:r w:rsidRPr="00DC3A0D">
        <w:rPr>
          <w:rFonts w:hint="eastAsia"/>
        </w:rPr>
        <w:t>的当属易纲（</w:t>
      </w:r>
      <w:r w:rsidRPr="00DC3A0D">
        <w:t>1996</w:t>
      </w:r>
      <w:r w:rsidRPr="00DC3A0D">
        <w:rPr>
          <w:rFonts w:hint="eastAsia"/>
        </w:rPr>
        <w:t>）、易纲和宋旺（</w:t>
      </w:r>
      <w:r w:rsidRPr="00DC3A0D">
        <w:rPr>
          <w:rFonts w:hint="eastAsia"/>
        </w:rPr>
        <w:t>2</w:t>
      </w:r>
      <w:r w:rsidRPr="00DC3A0D">
        <w:t>008</w:t>
      </w:r>
      <w:r w:rsidRPr="00DC3A0D">
        <w:rPr>
          <w:rFonts w:hint="eastAsia"/>
        </w:rPr>
        <w:t>）、易纲（</w:t>
      </w:r>
      <w:r w:rsidRPr="00DC3A0D">
        <w:rPr>
          <w:rFonts w:hint="eastAsia"/>
        </w:rPr>
        <w:t>2</w:t>
      </w:r>
      <w:r w:rsidRPr="00DC3A0D">
        <w:t>020</w:t>
      </w:r>
      <w:r w:rsidRPr="00DC3A0D">
        <w:rPr>
          <w:rFonts w:hint="eastAsia"/>
        </w:rPr>
        <w:t>）</w:t>
      </w:r>
      <w:r w:rsidR="00983A25">
        <w:rPr>
          <w:rFonts w:hint="eastAsia"/>
        </w:rPr>
        <w:t>等</w:t>
      </w:r>
      <w:r w:rsidR="00CF2960">
        <w:rPr>
          <w:rFonts w:hint="eastAsia"/>
        </w:rPr>
        <w:t>一</w:t>
      </w:r>
      <w:r w:rsidR="00F0066D" w:rsidRPr="00DC3A0D">
        <w:rPr>
          <w:rFonts w:hint="eastAsia"/>
        </w:rPr>
        <w:t>系列研究</w:t>
      </w:r>
      <w:r w:rsidRPr="00DC3A0D">
        <w:rPr>
          <w:rFonts w:hint="eastAsia"/>
        </w:rPr>
        <w:t>，</w:t>
      </w:r>
      <w:r w:rsidR="00B93F3D" w:rsidRPr="00DC3A0D">
        <w:rPr>
          <w:rFonts w:hint="eastAsia"/>
        </w:rPr>
        <w:t>该</w:t>
      </w:r>
      <w:r w:rsidRPr="00DC3A0D">
        <w:rPr>
          <w:rFonts w:hint="eastAsia"/>
        </w:rPr>
        <w:t>系列研究分别在我国经济发展的不同阶段从宏观层面对金融资产结构的</w:t>
      </w:r>
      <w:r w:rsidR="006B2597" w:rsidRPr="00DC3A0D">
        <w:rPr>
          <w:rFonts w:hint="eastAsia"/>
        </w:rPr>
        <w:t>基本</w:t>
      </w:r>
      <w:r w:rsidRPr="00DC3A0D">
        <w:rPr>
          <w:rFonts w:hint="eastAsia"/>
        </w:rPr>
        <w:t>特征进行了测算</w:t>
      </w:r>
      <w:r w:rsidR="00784B01" w:rsidRPr="00DC3A0D">
        <w:rPr>
          <w:rFonts w:hint="eastAsia"/>
        </w:rPr>
        <w:t>和分析</w:t>
      </w:r>
      <w:r w:rsidR="006A5567" w:rsidRPr="00DC3A0D">
        <w:rPr>
          <w:rFonts w:hint="eastAsia"/>
        </w:rPr>
        <w:t>总结</w:t>
      </w:r>
      <w:r w:rsidRPr="00DC3A0D">
        <w:rPr>
          <w:rFonts w:hint="eastAsia"/>
        </w:rPr>
        <w:t>。其他代表性的文献还有谢平（</w:t>
      </w:r>
      <w:r w:rsidRPr="00DC3A0D">
        <w:rPr>
          <w:rFonts w:hint="eastAsia"/>
        </w:rPr>
        <w:t>1</w:t>
      </w:r>
      <w:r w:rsidRPr="00DC3A0D">
        <w:t>992</w:t>
      </w:r>
      <w:r w:rsidRPr="00DC3A0D">
        <w:rPr>
          <w:rFonts w:hint="eastAsia"/>
        </w:rPr>
        <w:t>）、吴晓灵（</w:t>
      </w:r>
      <w:r w:rsidRPr="00DC3A0D">
        <w:rPr>
          <w:rFonts w:hint="eastAsia"/>
        </w:rPr>
        <w:t>2</w:t>
      </w:r>
      <w:r w:rsidRPr="00DC3A0D">
        <w:t>005</w:t>
      </w:r>
      <w:r w:rsidRPr="00DC3A0D">
        <w:rPr>
          <w:rFonts w:hint="eastAsia"/>
        </w:rPr>
        <w:t>）、赵瑞政等（</w:t>
      </w:r>
      <w:r w:rsidRPr="00DC3A0D">
        <w:rPr>
          <w:rFonts w:hint="eastAsia"/>
        </w:rPr>
        <w:t>2</w:t>
      </w:r>
      <w:r w:rsidRPr="00DC3A0D">
        <w:t>020</w:t>
      </w:r>
      <w:r w:rsidRPr="00DC3A0D">
        <w:rPr>
          <w:rFonts w:hint="eastAsia"/>
        </w:rPr>
        <w:t>）等</w:t>
      </w:r>
      <w:r w:rsidRPr="00F51C9C">
        <w:rPr>
          <w:rStyle w:val="aa"/>
          <w:rFonts w:ascii="宋体" w:hAnsi="宋体"/>
          <w:highlight w:val="yellow"/>
        </w:rPr>
        <w:footnoteReference w:id="3"/>
      </w:r>
      <w:r w:rsidRPr="00DC3A0D">
        <w:rPr>
          <w:rFonts w:hint="eastAsia"/>
        </w:rPr>
        <w:t>。</w:t>
      </w:r>
      <w:r w:rsidR="002F09D2" w:rsidRPr="00DC3A0D">
        <w:rPr>
          <w:rFonts w:hint="eastAsia"/>
        </w:rPr>
        <w:t>随着</w:t>
      </w:r>
      <w:r w:rsidR="00434F44" w:rsidRPr="00DC3A0D">
        <w:rPr>
          <w:rFonts w:hint="eastAsia"/>
        </w:rPr>
        <w:t>2</w:t>
      </w:r>
      <w:r w:rsidR="00434F44" w:rsidRPr="00DC3A0D">
        <w:t>008</w:t>
      </w:r>
      <w:r w:rsidR="00434F44" w:rsidRPr="00DC3A0D">
        <w:rPr>
          <w:rFonts w:hint="eastAsia"/>
        </w:rPr>
        <w:t>年</w:t>
      </w:r>
      <w:r w:rsidR="00AE7AA2" w:rsidRPr="00DC3A0D">
        <w:rPr>
          <w:rFonts w:hint="eastAsia"/>
        </w:rPr>
        <w:t>以来</w:t>
      </w:r>
      <w:r w:rsidR="001A6BE0">
        <w:rPr>
          <w:rFonts w:hint="eastAsia"/>
        </w:rPr>
        <w:t>我国</w:t>
      </w:r>
      <w:r w:rsidR="000C27A4" w:rsidRPr="00DC3A0D">
        <w:rPr>
          <w:rFonts w:hint="eastAsia"/>
        </w:rPr>
        <w:t>债务</w:t>
      </w:r>
      <w:r w:rsidR="004D71F1" w:rsidRPr="00DC3A0D">
        <w:rPr>
          <w:rFonts w:hint="eastAsia"/>
        </w:rPr>
        <w:t>规模</w:t>
      </w:r>
      <w:r w:rsidR="000C27A4" w:rsidRPr="00DC3A0D">
        <w:rPr>
          <w:rFonts w:hint="eastAsia"/>
        </w:rPr>
        <w:t>持续积累和宏观杠杆率较快攀升</w:t>
      </w:r>
      <w:r w:rsidR="002F09D2" w:rsidRPr="00DC3A0D">
        <w:rPr>
          <w:rFonts w:hint="eastAsia"/>
        </w:rPr>
        <w:t>，</w:t>
      </w:r>
      <w:r w:rsidR="00953CBE" w:rsidRPr="00DC3A0D">
        <w:rPr>
          <w:rFonts w:hint="eastAsia"/>
        </w:rPr>
        <w:t>文献中产生了大量</w:t>
      </w:r>
      <w:r w:rsidR="00FC30E5" w:rsidRPr="00DC3A0D">
        <w:rPr>
          <w:rFonts w:hint="eastAsia"/>
        </w:rPr>
        <w:t>针对</w:t>
      </w:r>
      <w:r w:rsidR="00184AB2" w:rsidRPr="00DC3A0D">
        <w:rPr>
          <w:rFonts w:hint="eastAsia"/>
        </w:rPr>
        <w:t>部门</w:t>
      </w:r>
      <w:r w:rsidRPr="00DC3A0D">
        <w:rPr>
          <w:rFonts w:hint="eastAsia"/>
        </w:rPr>
        <w:t>债务结构</w:t>
      </w:r>
      <w:r w:rsidR="00B22809" w:rsidRPr="00DC3A0D">
        <w:rPr>
          <w:rFonts w:hint="eastAsia"/>
        </w:rPr>
        <w:t>和部门</w:t>
      </w:r>
      <w:r w:rsidRPr="00DC3A0D">
        <w:rPr>
          <w:rFonts w:hint="eastAsia"/>
        </w:rPr>
        <w:t>杠杆率结构问题</w:t>
      </w:r>
      <w:r w:rsidR="00AA667D" w:rsidRPr="00DC3A0D">
        <w:rPr>
          <w:rFonts w:hint="eastAsia"/>
        </w:rPr>
        <w:t>的</w:t>
      </w:r>
      <w:r w:rsidR="00FC30E5" w:rsidRPr="00DC3A0D">
        <w:rPr>
          <w:rFonts w:hint="eastAsia"/>
        </w:rPr>
        <w:t>研究</w:t>
      </w:r>
      <w:r w:rsidRPr="00DC3A0D">
        <w:rPr>
          <w:rFonts w:hint="eastAsia"/>
        </w:rPr>
        <w:t>，</w:t>
      </w:r>
      <w:r w:rsidR="00983A25">
        <w:rPr>
          <w:rFonts w:hint="eastAsia"/>
        </w:rPr>
        <w:t>有</w:t>
      </w:r>
      <w:r w:rsidR="005D69C4" w:rsidRPr="00DC3A0D">
        <w:rPr>
          <w:rFonts w:hint="eastAsia"/>
        </w:rPr>
        <w:t>代表性的</w:t>
      </w:r>
      <w:r w:rsidRPr="00DC3A0D">
        <w:rPr>
          <w:rFonts w:hint="eastAsia"/>
        </w:rPr>
        <w:t>如李扬等（</w:t>
      </w:r>
      <w:r w:rsidRPr="00DC3A0D">
        <w:rPr>
          <w:rFonts w:hint="eastAsia"/>
        </w:rPr>
        <w:t>2</w:t>
      </w:r>
      <w:r w:rsidRPr="00DC3A0D">
        <w:t>012</w:t>
      </w:r>
      <w:r w:rsidRPr="00DC3A0D">
        <w:rPr>
          <w:rFonts w:hint="eastAsia"/>
        </w:rPr>
        <w:t>a</w:t>
      </w:r>
      <w:r w:rsidR="00983A25">
        <w:rPr>
          <w:rFonts w:hint="eastAsia"/>
        </w:rPr>
        <w:t>，</w:t>
      </w:r>
      <w:r w:rsidRPr="00DC3A0D">
        <w:t>2012b</w:t>
      </w:r>
      <w:r w:rsidRPr="00DC3A0D">
        <w:rPr>
          <w:rFonts w:hint="eastAsia"/>
        </w:rPr>
        <w:t>）、</w:t>
      </w:r>
      <w:r w:rsidRPr="00DC3A0D">
        <w:t>马建堂</w:t>
      </w:r>
      <w:r w:rsidRPr="00DC3A0D">
        <w:rPr>
          <w:rFonts w:hint="eastAsia"/>
        </w:rPr>
        <w:t>等（</w:t>
      </w:r>
      <w:r w:rsidRPr="00DC3A0D">
        <w:rPr>
          <w:rFonts w:hint="eastAsia"/>
        </w:rPr>
        <w:t>2</w:t>
      </w:r>
      <w:r w:rsidRPr="00DC3A0D">
        <w:t>016</w:t>
      </w:r>
      <w:r w:rsidRPr="00DC3A0D">
        <w:rPr>
          <w:rFonts w:hint="eastAsia"/>
        </w:rPr>
        <w:t>）、王国刚（</w:t>
      </w:r>
      <w:r w:rsidRPr="00DC3A0D">
        <w:rPr>
          <w:rFonts w:hint="eastAsia"/>
        </w:rPr>
        <w:t>2</w:t>
      </w:r>
      <w:r w:rsidRPr="00DC3A0D">
        <w:t>017</w:t>
      </w:r>
      <w:r w:rsidRPr="00DC3A0D">
        <w:rPr>
          <w:rFonts w:hint="eastAsia"/>
        </w:rPr>
        <w:t>）、</w:t>
      </w:r>
      <w:r w:rsidRPr="00DC3A0D">
        <w:t>纪敏</w:t>
      </w:r>
      <w:r w:rsidRPr="00DC3A0D">
        <w:rPr>
          <w:rFonts w:hint="eastAsia"/>
        </w:rPr>
        <w:t>等（</w:t>
      </w:r>
      <w:r w:rsidRPr="00DC3A0D">
        <w:rPr>
          <w:rFonts w:hint="eastAsia"/>
        </w:rPr>
        <w:t>2</w:t>
      </w:r>
      <w:r w:rsidRPr="00DC3A0D">
        <w:t>017</w:t>
      </w:r>
      <w:r w:rsidRPr="00DC3A0D">
        <w:rPr>
          <w:rFonts w:hint="eastAsia"/>
        </w:rPr>
        <w:t>）等</w:t>
      </w:r>
      <w:r w:rsidR="00BF3732" w:rsidRPr="00DC3A0D">
        <w:rPr>
          <w:rFonts w:hint="eastAsia"/>
        </w:rPr>
        <w:t>。</w:t>
      </w:r>
      <w:r w:rsidR="006441B9" w:rsidRPr="00DC3A0D">
        <w:rPr>
          <w:rFonts w:hint="eastAsia"/>
        </w:rPr>
        <w:t>这些文献分别从不同侧面</w:t>
      </w:r>
      <w:r w:rsidR="00AC3FCB" w:rsidRPr="00DC3A0D">
        <w:rPr>
          <w:rFonts w:hint="eastAsia"/>
        </w:rPr>
        <w:t>对</w:t>
      </w:r>
      <w:r w:rsidR="00136A03" w:rsidRPr="00DC3A0D">
        <w:rPr>
          <w:rFonts w:hint="eastAsia"/>
        </w:rPr>
        <w:t>我国</w:t>
      </w:r>
      <w:r w:rsidR="00D9060E" w:rsidRPr="00DC3A0D">
        <w:rPr>
          <w:rFonts w:hint="eastAsia"/>
        </w:rPr>
        <w:t>住户部门</w:t>
      </w:r>
      <w:r w:rsidR="003227B9" w:rsidRPr="00DC3A0D">
        <w:rPr>
          <w:rFonts w:hint="eastAsia"/>
        </w:rPr>
        <w:t>、非金融企业部门、政府部门的</w:t>
      </w:r>
      <w:r w:rsidR="00B744CF" w:rsidRPr="00DC3A0D">
        <w:rPr>
          <w:rFonts w:hint="eastAsia"/>
        </w:rPr>
        <w:t>债务结构和</w:t>
      </w:r>
      <w:r w:rsidR="003227B9" w:rsidRPr="00DC3A0D">
        <w:rPr>
          <w:rFonts w:hint="eastAsia"/>
        </w:rPr>
        <w:t>杠杆率</w:t>
      </w:r>
      <w:r w:rsidR="004218B2" w:rsidRPr="00DC3A0D">
        <w:rPr>
          <w:rFonts w:hint="eastAsia"/>
        </w:rPr>
        <w:t>作出</w:t>
      </w:r>
      <w:r w:rsidR="005310CD" w:rsidRPr="00DC3A0D">
        <w:rPr>
          <w:rFonts w:hint="eastAsia"/>
        </w:rPr>
        <w:t>测算</w:t>
      </w:r>
      <w:r w:rsidR="003B1F81">
        <w:rPr>
          <w:rFonts w:hint="eastAsia"/>
        </w:rPr>
        <w:t>并</w:t>
      </w:r>
      <w:r w:rsidR="00480C46" w:rsidRPr="00DC3A0D">
        <w:rPr>
          <w:rFonts w:hint="eastAsia"/>
        </w:rPr>
        <w:t>分析</w:t>
      </w:r>
      <w:r w:rsidR="00983A25">
        <w:rPr>
          <w:rFonts w:hint="eastAsia"/>
        </w:rPr>
        <w:t>了</w:t>
      </w:r>
      <w:r w:rsidR="00480C46" w:rsidRPr="00DC3A0D">
        <w:rPr>
          <w:rFonts w:hint="eastAsia"/>
        </w:rPr>
        <w:t>其</w:t>
      </w:r>
      <w:r w:rsidR="00491748" w:rsidRPr="00DC3A0D">
        <w:rPr>
          <w:rFonts w:hint="eastAsia"/>
        </w:rPr>
        <w:t>成因和影响</w:t>
      </w:r>
      <w:r w:rsidR="005310CD" w:rsidRPr="00DC3A0D">
        <w:rPr>
          <w:rFonts w:hint="eastAsia"/>
        </w:rPr>
        <w:t>。</w:t>
      </w:r>
    </w:p>
    <w:p w14:paraId="2B0B9CBE" w14:textId="68B30A1B" w:rsidR="00E0494E" w:rsidRPr="00DC3A0D" w:rsidRDefault="004C5207" w:rsidP="004C5207">
      <w:pPr>
        <w:ind w:firstLineChars="200" w:firstLine="420"/>
      </w:pPr>
      <w:r w:rsidRPr="00DC3A0D">
        <w:rPr>
          <w:rFonts w:hint="eastAsia"/>
        </w:rPr>
        <w:t>本文致力于研究的</w:t>
      </w:r>
      <w:r w:rsidR="00D9197E" w:rsidRPr="00DC3A0D">
        <w:rPr>
          <w:rFonts w:hint="eastAsia"/>
        </w:rPr>
        <w:t>“</w:t>
      </w:r>
      <w:r w:rsidRPr="00DC3A0D">
        <w:rPr>
          <w:rFonts w:hint="eastAsia"/>
        </w:rPr>
        <w:t>宏观融资结构</w:t>
      </w:r>
      <w:r w:rsidR="00D9197E" w:rsidRPr="00DC3A0D">
        <w:rPr>
          <w:rFonts w:hint="eastAsia"/>
        </w:rPr>
        <w:t>”</w:t>
      </w:r>
      <w:r w:rsidR="008F1611" w:rsidRPr="00DC3A0D">
        <w:rPr>
          <w:rFonts w:hint="eastAsia"/>
        </w:rPr>
        <w:t>问题</w:t>
      </w:r>
      <w:r w:rsidRPr="00DC3A0D">
        <w:rPr>
          <w:rFonts w:hint="eastAsia"/>
        </w:rPr>
        <w:t>与</w:t>
      </w:r>
      <w:r w:rsidR="008D115C" w:rsidRPr="00DC3A0D">
        <w:rPr>
          <w:rFonts w:hint="eastAsia"/>
        </w:rPr>
        <w:t>文献中研究较多的</w:t>
      </w:r>
      <w:r w:rsidRPr="00DC3A0D">
        <w:rPr>
          <w:rFonts w:hint="eastAsia"/>
        </w:rPr>
        <w:t>宏观金融资产结构</w:t>
      </w:r>
      <w:r w:rsidR="005E5D6B" w:rsidRPr="00DC3A0D">
        <w:rPr>
          <w:rFonts w:hint="eastAsia"/>
        </w:rPr>
        <w:t>问题</w:t>
      </w:r>
      <w:r w:rsidRPr="00DC3A0D">
        <w:rPr>
          <w:rFonts w:hint="eastAsia"/>
        </w:rPr>
        <w:t>和部门债务结构</w:t>
      </w:r>
      <w:r w:rsidR="005E5D6B" w:rsidRPr="00DC3A0D">
        <w:rPr>
          <w:rFonts w:hint="eastAsia"/>
        </w:rPr>
        <w:t>问题</w:t>
      </w:r>
      <w:r w:rsidRPr="00DC3A0D">
        <w:rPr>
          <w:rFonts w:hint="eastAsia"/>
        </w:rPr>
        <w:t>之间，既有联系，也有区别</w:t>
      </w:r>
      <w:r w:rsidR="00983A25">
        <w:rPr>
          <w:rFonts w:hint="eastAsia"/>
        </w:rPr>
        <w:t>。</w:t>
      </w:r>
      <w:r w:rsidRPr="00DC3A0D">
        <w:rPr>
          <w:rFonts w:hint="eastAsia"/>
        </w:rPr>
        <w:t>联系</w:t>
      </w:r>
      <w:r w:rsidR="00AE67F6" w:rsidRPr="00DC3A0D">
        <w:rPr>
          <w:rFonts w:hint="eastAsia"/>
        </w:rPr>
        <w:t>之处</w:t>
      </w:r>
      <w:r w:rsidRPr="00DC3A0D">
        <w:rPr>
          <w:rFonts w:hint="eastAsia"/>
        </w:rPr>
        <w:t>在于三者从根本上讲都是金融资源配置方式和风</w:t>
      </w:r>
      <w:r w:rsidRPr="00DC3A0D">
        <w:rPr>
          <w:rFonts w:hint="eastAsia"/>
        </w:rPr>
        <w:lastRenderedPageBreak/>
        <w:t>险承担分配方式</w:t>
      </w:r>
      <w:r w:rsidR="00AE67F6" w:rsidRPr="00DC3A0D">
        <w:rPr>
          <w:rFonts w:hint="eastAsia"/>
        </w:rPr>
        <w:t>在宏观层面</w:t>
      </w:r>
      <w:r w:rsidRPr="00DC3A0D">
        <w:rPr>
          <w:rFonts w:hint="eastAsia"/>
        </w:rPr>
        <w:t>的结构化呈现</w:t>
      </w:r>
      <w:r w:rsidR="00983A25">
        <w:rPr>
          <w:rFonts w:hint="eastAsia"/>
        </w:rPr>
        <w:t>。</w:t>
      </w:r>
      <w:r w:rsidRPr="00DC3A0D">
        <w:rPr>
          <w:rFonts w:hint="eastAsia"/>
        </w:rPr>
        <w:t>区别</w:t>
      </w:r>
      <w:r w:rsidR="00AE67F6" w:rsidRPr="00DC3A0D">
        <w:rPr>
          <w:rFonts w:hint="eastAsia"/>
        </w:rPr>
        <w:t>之处</w:t>
      </w:r>
      <w:r w:rsidRPr="00DC3A0D">
        <w:rPr>
          <w:rFonts w:hint="eastAsia"/>
        </w:rPr>
        <w:t>在于金融资产结构研究主要站在</w:t>
      </w:r>
      <w:r w:rsidR="00B572ED" w:rsidRPr="00DC3A0D">
        <w:rPr>
          <w:rFonts w:hint="eastAsia"/>
        </w:rPr>
        <w:t>资金供给方</w:t>
      </w:r>
      <w:r w:rsidRPr="00DC3A0D">
        <w:rPr>
          <w:rFonts w:hint="eastAsia"/>
        </w:rPr>
        <w:t>（即</w:t>
      </w:r>
      <w:r w:rsidR="00B572ED" w:rsidRPr="00DC3A0D">
        <w:rPr>
          <w:rFonts w:hint="eastAsia"/>
        </w:rPr>
        <w:t>金融资产持有方</w:t>
      </w:r>
      <w:r w:rsidRPr="00DC3A0D">
        <w:rPr>
          <w:rFonts w:hint="eastAsia"/>
        </w:rPr>
        <w:t>）的</w:t>
      </w:r>
      <w:r w:rsidR="00414C58" w:rsidRPr="00DC3A0D">
        <w:rPr>
          <w:rFonts w:hint="eastAsia"/>
        </w:rPr>
        <w:t>角度</w:t>
      </w:r>
      <w:r w:rsidR="00C75BB2" w:rsidRPr="00DC3A0D">
        <w:rPr>
          <w:rFonts w:hint="eastAsia"/>
        </w:rPr>
        <w:t>看待和</w:t>
      </w:r>
      <w:r w:rsidRPr="00DC3A0D">
        <w:rPr>
          <w:rFonts w:hint="eastAsia"/>
        </w:rPr>
        <w:t>分析问题，而融资结构和部门债务结构研究则主要站在资金融入方的</w:t>
      </w:r>
      <w:r w:rsidR="00216AA7" w:rsidRPr="00DC3A0D">
        <w:rPr>
          <w:rFonts w:hint="eastAsia"/>
        </w:rPr>
        <w:t>角度看待和</w:t>
      </w:r>
      <w:r w:rsidRPr="00DC3A0D">
        <w:rPr>
          <w:rFonts w:hint="eastAsia"/>
        </w:rPr>
        <w:t>分析问题</w:t>
      </w:r>
      <w:r w:rsidR="00041A0A" w:rsidRPr="00DC3A0D">
        <w:rPr>
          <w:rFonts w:hint="eastAsia"/>
        </w:rPr>
        <w:t>。</w:t>
      </w:r>
      <w:r w:rsidR="00F01C6B" w:rsidRPr="00DC3A0D">
        <w:rPr>
          <w:rFonts w:hint="eastAsia"/>
        </w:rPr>
        <w:t>同时</w:t>
      </w:r>
      <w:r w:rsidRPr="00DC3A0D">
        <w:rPr>
          <w:rFonts w:hint="eastAsia"/>
        </w:rPr>
        <w:t>，金融资产结构</w:t>
      </w:r>
      <w:r w:rsidR="00060C86" w:rsidRPr="00DC3A0D">
        <w:rPr>
          <w:rFonts w:hint="eastAsia"/>
        </w:rPr>
        <w:t>问题</w:t>
      </w:r>
      <w:r w:rsidRPr="00DC3A0D">
        <w:rPr>
          <w:rFonts w:hint="eastAsia"/>
        </w:rPr>
        <w:t>研究和部门杠杆率</w:t>
      </w:r>
      <w:r w:rsidR="00060C86" w:rsidRPr="00DC3A0D">
        <w:rPr>
          <w:rFonts w:hint="eastAsia"/>
        </w:rPr>
        <w:t>问题</w:t>
      </w:r>
      <w:r w:rsidRPr="00DC3A0D">
        <w:rPr>
          <w:rFonts w:hint="eastAsia"/>
        </w:rPr>
        <w:t>研究多注重存量视角，而融资结构</w:t>
      </w:r>
      <w:r w:rsidR="00105AB7" w:rsidRPr="00DC3A0D">
        <w:rPr>
          <w:rFonts w:hint="eastAsia"/>
        </w:rPr>
        <w:t>问题</w:t>
      </w:r>
      <w:r w:rsidRPr="00DC3A0D">
        <w:rPr>
          <w:rFonts w:hint="eastAsia"/>
        </w:rPr>
        <w:t>研究可兼顾流量和存量视角。</w:t>
      </w:r>
    </w:p>
    <w:p w14:paraId="10A607C0" w14:textId="2F9FB91F" w:rsidR="007A467B" w:rsidRDefault="00F01C6B" w:rsidP="004C5207">
      <w:pPr>
        <w:ind w:firstLineChars="200" w:firstLine="420"/>
      </w:pPr>
      <w:r w:rsidRPr="00DC3A0D">
        <w:rPr>
          <w:rFonts w:hint="eastAsia"/>
        </w:rPr>
        <w:t>此外，</w:t>
      </w:r>
      <w:r w:rsidR="009F108B" w:rsidRPr="00DC3A0D">
        <w:rPr>
          <w:rFonts w:hint="eastAsia"/>
        </w:rPr>
        <w:t>下文在</w:t>
      </w:r>
      <w:r w:rsidR="006C124B" w:rsidRPr="00DC3A0D">
        <w:rPr>
          <w:rFonts w:hint="eastAsia"/>
        </w:rPr>
        <w:t>探讨</w:t>
      </w:r>
      <w:r w:rsidR="00371D2D" w:rsidRPr="00DC3A0D">
        <w:rPr>
          <w:rFonts w:hint="eastAsia"/>
        </w:rPr>
        <w:t>融资主体结构变化</w:t>
      </w:r>
      <w:r w:rsidR="00DE5E4D" w:rsidRPr="00DC3A0D">
        <w:rPr>
          <w:rFonts w:hint="eastAsia"/>
        </w:rPr>
        <w:t>的原因时</w:t>
      </w:r>
      <w:r w:rsidR="00297AE3" w:rsidRPr="00DC3A0D">
        <w:rPr>
          <w:rFonts w:hint="eastAsia"/>
        </w:rPr>
        <w:t>会</w:t>
      </w:r>
      <w:r w:rsidR="00492DC8" w:rsidRPr="00DC3A0D">
        <w:rPr>
          <w:rFonts w:hint="eastAsia"/>
        </w:rPr>
        <w:t>从</w:t>
      </w:r>
      <w:r w:rsidR="000347C0" w:rsidRPr="00DC3A0D">
        <w:rPr>
          <w:rFonts w:hint="eastAsia"/>
        </w:rPr>
        <w:t>国民经济三大部门储蓄和投资的</w:t>
      </w:r>
      <w:r w:rsidR="001A3A08" w:rsidRPr="00DC3A0D">
        <w:rPr>
          <w:rFonts w:hint="eastAsia"/>
        </w:rPr>
        <w:t>视角展开分析</w:t>
      </w:r>
      <w:r w:rsidR="002B5B78" w:rsidRPr="00DC3A0D">
        <w:rPr>
          <w:rFonts w:hint="eastAsia"/>
        </w:rPr>
        <w:t>，</w:t>
      </w:r>
      <w:r w:rsidR="003A3FD0" w:rsidRPr="00DC3A0D">
        <w:rPr>
          <w:rFonts w:hint="eastAsia"/>
        </w:rPr>
        <w:t>与之相关的</w:t>
      </w:r>
      <w:r w:rsidR="00FD2057" w:rsidRPr="00DC3A0D">
        <w:rPr>
          <w:rFonts w:hint="eastAsia"/>
        </w:rPr>
        <w:t>部门储蓄和部门投资</w:t>
      </w:r>
      <w:r w:rsidR="00F03753" w:rsidRPr="00DC3A0D">
        <w:rPr>
          <w:rFonts w:hint="eastAsia"/>
        </w:rPr>
        <w:t>问题</w:t>
      </w:r>
      <w:r w:rsidR="00A07DEC" w:rsidRPr="00DC3A0D">
        <w:rPr>
          <w:rFonts w:hint="eastAsia"/>
        </w:rPr>
        <w:t>也是</w:t>
      </w:r>
      <w:r w:rsidR="007E3C14" w:rsidRPr="00DC3A0D">
        <w:rPr>
          <w:rFonts w:hint="eastAsia"/>
        </w:rPr>
        <w:t>国民经济学研究中</w:t>
      </w:r>
      <w:r w:rsidR="00E871A0">
        <w:rPr>
          <w:rFonts w:hint="eastAsia"/>
        </w:rPr>
        <w:t>的</w:t>
      </w:r>
      <w:r w:rsidR="00183421" w:rsidRPr="00DC3A0D">
        <w:rPr>
          <w:rFonts w:hint="eastAsia"/>
        </w:rPr>
        <w:t>一</w:t>
      </w:r>
      <w:r w:rsidR="00CD7AE8" w:rsidRPr="00DC3A0D">
        <w:rPr>
          <w:rFonts w:hint="eastAsia"/>
        </w:rPr>
        <w:t>支</w:t>
      </w:r>
      <w:r w:rsidR="00183421" w:rsidRPr="00DC3A0D">
        <w:rPr>
          <w:rFonts w:hint="eastAsia"/>
        </w:rPr>
        <w:t>重要文献脉络。</w:t>
      </w:r>
      <w:r w:rsidR="00EB09D5" w:rsidRPr="00DC3A0D">
        <w:rPr>
          <w:rFonts w:hint="eastAsia"/>
        </w:rPr>
        <w:t>其中，</w:t>
      </w:r>
      <w:r w:rsidR="00983A25">
        <w:rPr>
          <w:rFonts w:hint="eastAsia"/>
        </w:rPr>
        <w:t>关于</w:t>
      </w:r>
      <w:r w:rsidR="00501037" w:rsidRPr="00DC3A0D">
        <w:rPr>
          <w:rFonts w:hint="eastAsia"/>
        </w:rPr>
        <w:t>部门储蓄问题</w:t>
      </w:r>
      <w:r w:rsidR="00FC45D2" w:rsidRPr="00DC3A0D">
        <w:rPr>
          <w:rFonts w:hint="eastAsia"/>
        </w:rPr>
        <w:t>较</w:t>
      </w:r>
      <w:r w:rsidR="00501037" w:rsidRPr="00DC3A0D">
        <w:rPr>
          <w:rFonts w:hint="eastAsia"/>
        </w:rPr>
        <w:t>具代表性</w:t>
      </w:r>
      <w:r w:rsidR="00983A25">
        <w:rPr>
          <w:rFonts w:hint="eastAsia"/>
        </w:rPr>
        <w:t>的</w:t>
      </w:r>
      <w:r w:rsidR="00983A25" w:rsidRPr="00DC3A0D">
        <w:rPr>
          <w:rFonts w:hint="eastAsia"/>
        </w:rPr>
        <w:t>文献</w:t>
      </w:r>
      <w:r w:rsidR="00983A25">
        <w:rPr>
          <w:rFonts w:hint="eastAsia"/>
        </w:rPr>
        <w:t>为</w:t>
      </w:r>
      <w:r w:rsidR="00FC45D2" w:rsidRPr="00DC3A0D">
        <w:rPr>
          <w:rFonts w:hint="eastAsia"/>
        </w:rPr>
        <w:t>李扬</w:t>
      </w:r>
      <w:r w:rsidR="00983A25">
        <w:rPr>
          <w:rFonts w:hint="eastAsia"/>
        </w:rPr>
        <w:t>和</w:t>
      </w:r>
      <w:r w:rsidR="00FC45D2" w:rsidRPr="00DC3A0D">
        <w:rPr>
          <w:rFonts w:hint="eastAsia"/>
        </w:rPr>
        <w:t>殷剑峰（</w:t>
      </w:r>
      <w:r w:rsidR="00FC45D2" w:rsidRPr="00DC3A0D">
        <w:rPr>
          <w:rFonts w:hint="eastAsia"/>
        </w:rPr>
        <w:t>2</w:t>
      </w:r>
      <w:r w:rsidR="00FC45D2" w:rsidRPr="00DC3A0D">
        <w:t>007</w:t>
      </w:r>
      <w:r w:rsidR="00FC45D2" w:rsidRPr="00DC3A0D">
        <w:rPr>
          <w:rFonts w:hint="eastAsia"/>
        </w:rPr>
        <w:t>），</w:t>
      </w:r>
      <w:r w:rsidR="0002436D" w:rsidRPr="00DC3A0D">
        <w:rPr>
          <w:rFonts w:hint="eastAsia"/>
        </w:rPr>
        <w:t>该研究中</w:t>
      </w:r>
      <w:r w:rsidR="00565E0E" w:rsidRPr="00DC3A0D">
        <w:rPr>
          <w:rFonts w:hint="eastAsia"/>
        </w:rPr>
        <w:t>提出的问题和</w:t>
      </w:r>
      <w:r w:rsidR="0057565B" w:rsidRPr="00DC3A0D">
        <w:rPr>
          <w:rFonts w:hint="eastAsia"/>
        </w:rPr>
        <w:t>使用的</w:t>
      </w:r>
      <w:r w:rsidR="002B77D3" w:rsidRPr="00DC3A0D">
        <w:rPr>
          <w:rFonts w:hint="eastAsia"/>
        </w:rPr>
        <w:t>思路</w:t>
      </w:r>
      <w:r w:rsidR="00565E0E" w:rsidRPr="00DC3A0D">
        <w:rPr>
          <w:rFonts w:hint="eastAsia"/>
        </w:rPr>
        <w:t>方法在</w:t>
      </w:r>
      <w:r w:rsidR="00145851" w:rsidRPr="00DC3A0D">
        <w:rPr>
          <w:rFonts w:hint="eastAsia"/>
        </w:rPr>
        <w:t>后</w:t>
      </w:r>
      <w:r w:rsidR="0057565B" w:rsidRPr="00DC3A0D">
        <w:rPr>
          <w:rFonts w:hint="eastAsia"/>
        </w:rPr>
        <w:t>来相关</w:t>
      </w:r>
      <w:r w:rsidR="007C3939" w:rsidRPr="00DC3A0D">
        <w:rPr>
          <w:rFonts w:hint="eastAsia"/>
        </w:rPr>
        <w:t>文献</w:t>
      </w:r>
      <w:r w:rsidR="0057565B" w:rsidRPr="00DC3A0D">
        <w:rPr>
          <w:rFonts w:hint="eastAsia"/>
        </w:rPr>
        <w:t>研究中</w:t>
      </w:r>
      <w:r w:rsidR="00AB3142" w:rsidRPr="00DC3A0D">
        <w:rPr>
          <w:rFonts w:hint="eastAsia"/>
        </w:rPr>
        <w:t>得到</w:t>
      </w:r>
      <w:r w:rsidR="0057565B" w:rsidRPr="00DC3A0D">
        <w:rPr>
          <w:rFonts w:hint="eastAsia"/>
        </w:rPr>
        <w:t>广泛沿用</w:t>
      </w:r>
      <w:r w:rsidR="00167A04" w:rsidRPr="00DC3A0D">
        <w:rPr>
          <w:rFonts w:hint="eastAsia"/>
        </w:rPr>
        <w:t>，例如在</w:t>
      </w:r>
      <w:r w:rsidR="00F27DCC" w:rsidRPr="00DC3A0D">
        <w:rPr>
          <w:rFonts w:hint="eastAsia"/>
        </w:rPr>
        <w:t>近期的文献中，</w:t>
      </w:r>
      <w:r w:rsidR="00A52264" w:rsidRPr="00DC3A0D">
        <w:rPr>
          <w:rFonts w:hint="eastAsia"/>
        </w:rPr>
        <w:t>杨天宇（</w:t>
      </w:r>
      <w:r w:rsidR="00A52264" w:rsidRPr="00DC3A0D">
        <w:rPr>
          <w:rFonts w:hint="eastAsia"/>
        </w:rPr>
        <w:t>2</w:t>
      </w:r>
      <w:r w:rsidR="00A52264" w:rsidRPr="00DC3A0D">
        <w:t>019</w:t>
      </w:r>
      <w:r w:rsidR="00A52264" w:rsidRPr="00DC3A0D">
        <w:rPr>
          <w:rFonts w:hint="eastAsia"/>
        </w:rPr>
        <w:t>）</w:t>
      </w:r>
      <w:r w:rsidR="00DC7447" w:rsidRPr="00DC3A0D">
        <w:rPr>
          <w:rFonts w:hint="eastAsia"/>
        </w:rPr>
        <w:t>针对</w:t>
      </w:r>
      <w:r w:rsidR="00A52264" w:rsidRPr="00DC3A0D">
        <w:rPr>
          <w:rFonts w:hint="eastAsia"/>
        </w:rPr>
        <w:t>2</w:t>
      </w:r>
      <w:r w:rsidR="00A52264" w:rsidRPr="00DC3A0D">
        <w:t>008</w:t>
      </w:r>
      <w:r w:rsidR="00A52264" w:rsidRPr="00DC3A0D">
        <w:rPr>
          <w:rFonts w:hint="eastAsia"/>
        </w:rPr>
        <w:t>-</w:t>
      </w:r>
      <w:r w:rsidR="00A52264" w:rsidRPr="00DC3A0D">
        <w:t>2016</w:t>
      </w:r>
      <w:r w:rsidR="00A52264" w:rsidRPr="00DC3A0D">
        <w:rPr>
          <w:rFonts w:hint="eastAsia"/>
        </w:rPr>
        <w:t>年</w:t>
      </w:r>
      <w:r w:rsidR="00DC7447" w:rsidRPr="00DC3A0D">
        <w:rPr>
          <w:rFonts w:hint="eastAsia"/>
        </w:rPr>
        <w:t>分部门储蓄率</w:t>
      </w:r>
      <w:r w:rsidR="00601FD6" w:rsidRPr="00DC3A0D">
        <w:rPr>
          <w:rFonts w:hint="eastAsia"/>
        </w:rPr>
        <w:t>进行</w:t>
      </w:r>
      <w:r w:rsidR="00BA74D9" w:rsidRPr="00DC3A0D">
        <w:rPr>
          <w:rFonts w:hint="eastAsia"/>
        </w:rPr>
        <w:t>了类似</w:t>
      </w:r>
      <w:r w:rsidR="00DC7447" w:rsidRPr="00DC3A0D">
        <w:rPr>
          <w:rFonts w:hint="eastAsia"/>
        </w:rPr>
        <w:t>分解</w:t>
      </w:r>
      <w:r w:rsidR="00F36667" w:rsidRPr="00DC3A0D">
        <w:rPr>
          <w:rFonts w:hint="eastAsia"/>
        </w:rPr>
        <w:t>分析</w:t>
      </w:r>
      <w:r w:rsidR="00601FD6" w:rsidRPr="00DC3A0D">
        <w:rPr>
          <w:rFonts w:hint="eastAsia"/>
        </w:rPr>
        <w:t>，</w:t>
      </w:r>
      <w:r w:rsidR="00A52264" w:rsidRPr="00DC3A0D">
        <w:rPr>
          <w:rFonts w:hint="eastAsia"/>
        </w:rPr>
        <w:t>发现企业和政府部门对</w:t>
      </w:r>
      <w:r w:rsidR="00601FD6" w:rsidRPr="00DC3A0D">
        <w:rPr>
          <w:rFonts w:hint="eastAsia"/>
        </w:rPr>
        <w:t>该时段</w:t>
      </w:r>
      <w:r w:rsidR="00A52264" w:rsidRPr="00DC3A0D">
        <w:rPr>
          <w:rFonts w:hint="eastAsia"/>
        </w:rPr>
        <w:t>国民储蓄率下降的贡献较大</w:t>
      </w:r>
      <w:r w:rsidR="00601FD6" w:rsidRPr="00DC3A0D">
        <w:rPr>
          <w:rFonts w:hint="eastAsia"/>
        </w:rPr>
        <w:t>，</w:t>
      </w:r>
      <w:r w:rsidR="00D9060E" w:rsidRPr="00DC3A0D">
        <w:rPr>
          <w:rFonts w:hint="eastAsia"/>
        </w:rPr>
        <w:t>住户部门</w:t>
      </w:r>
      <w:r w:rsidR="00A52264" w:rsidRPr="00DC3A0D">
        <w:rPr>
          <w:rFonts w:hint="eastAsia"/>
        </w:rPr>
        <w:t>的贡献</w:t>
      </w:r>
      <w:r w:rsidR="00983A25">
        <w:rPr>
          <w:rFonts w:hint="eastAsia"/>
        </w:rPr>
        <w:t>则</w:t>
      </w:r>
      <w:r w:rsidR="00A52264" w:rsidRPr="00DC3A0D">
        <w:rPr>
          <w:rFonts w:hint="eastAsia"/>
        </w:rPr>
        <w:t>较小。</w:t>
      </w:r>
      <w:r w:rsidR="00EB09D5" w:rsidRPr="00DC3A0D">
        <w:rPr>
          <w:rFonts w:hint="eastAsia"/>
        </w:rPr>
        <w:t>部门</w:t>
      </w:r>
      <w:r w:rsidR="00646CCB" w:rsidRPr="00DC3A0D">
        <w:rPr>
          <w:rFonts w:hint="eastAsia"/>
        </w:rPr>
        <w:t>投资</w:t>
      </w:r>
      <w:r w:rsidR="00EB09D5" w:rsidRPr="00DC3A0D">
        <w:rPr>
          <w:rFonts w:hint="eastAsia"/>
        </w:rPr>
        <w:t>问题研究</w:t>
      </w:r>
      <w:r w:rsidR="00FD5977" w:rsidRPr="00DC3A0D">
        <w:rPr>
          <w:rFonts w:hint="eastAsia"/>
        </w:rPr>
        <w:t>文献中</w:t>
      </w:r>
      <w:r w:rsidR="00646CCB" w:rsidRPr="00DC3A0D">
        <w:rPr>
          <w:rFonts w:hint="eastAsia"/>
        </w:rPr>
        <w:t>近年来</w:t>
      </w:r>
      <w:r w:rsidR="00EB09D5" w:rsidRPr="00DC3A0D">
        <w:rPr>
          <w:rFonts w:hint="eastAsia"/>
        </w:rPr>
        <w:t>较具代表性</w:t>
      </w:r>
      <w:r w:rsidR="00983A25">
        <w:rPr>
          <w:rFonts w:hint="eastAsia"/>
        </w:rPr>
        <w:t>的</w:t>
      </w:r>
      <w:r w:rsidR="00EB09D5" w:rsidRPr="00DC3A0D">
        <w:rPr>
          <w:rFonts w:hint="eastAsia"/>
        </w:rPr>
        <w:t>如吴海英</w:t>
      </w:r>
      <w:r w:rsidR="00983A25">
        <w:rPr>
          <w:rFonts w:hint="eastAsia"/>
        </w:rPr>
        <w:t>和</w:t>
      </w:r>
      <w:r w:rsidR="00EB09D5" w:rsidRPr="00DC3A0D">
        <w:rPr>
          <w:rFonts w:hint="eastAsia"/>
        </w:rPr>
        <w:t>余永定（</w:t>
      </w:r>
      <w:r w:rsidR="00EB09D5" w:rsidRPr="00DC3A0D">
        <w:rPr>
          <w:rFonts w:hint="eastAsia"/>
        </w:rPr>
        <w:t>2</w:t>
      </w:r>
      <w:r w:rsidR="00EB09D5" w:rsidRPr="00DC3A0D">
        <w:t>015</w:t>
      </w:r>
      <w:r w:rsidR="00EB09D5" w:rsidRPr="00DC3A0D">
        <w:rPr>
          <w:rFonts w:hint="eastAsia"/>
        </w:rPr>
        <w:t>）</w:t>
      </w:r>
      <w:r w:rsidR="00983A25">
        <w:rPr>
          <w:rFonts w:hint="eastAsia"/>
        </w:rPr>
        <w:t>、</w:t>
      </w:r>
      <w:r w:rsidR="007A467B" w:rsidRPr="00DC3A0D">
        <w:rPr>
          <w:rFonts w:hint="eastAsia"/>
        </w:rPr>
        <w:t>陈少敏</w:t>
      </w:r>
      <w:r w:rsidR="00983A25">
        <w:rPr>
          <w:rFonts w:hint="eastAsia"/>
        </w:rPr>
        <w:t>和</w:t>
      </w:r>
      <w:r w:rsidR="007A467B" w:rsidRPr="00DC3A0D">
        <w:rPr>
          <w:rFonts w:hint="eastAsia"/>
        </w:rPr>
        <w:t>于雪（</w:t>
      </w:r>
      <w:r w:rsidR="007A467B" w:rsidRPr="00DC3A0D">
        <w:rPr>
          <w:rFonts w:hint="eastAsia"/>
        </w:rPr>
        <w:t>2</w:t>
      </w:r>
      <w:r w:rsidR="007A467B" w:rsidRPr="00DC3A0D">
        <w:t>019</w:t>
      </w:r>
      <w:r w:rsidR="007A467B" w:rsidRPr="00DC3A0D">
        <w:rPr>
          <w:rFonts w:hint="eastAsia"/>
        </w:rPr>
        <w:t>）</w:t>
      </w:r>
      <w:r w:rsidR="007B06ED" w:rsidRPr="00DC3A0D">
        <w:rPr>
          <w:rFonts w:hint="eastAsia"/>
        </w:rPr>
        <w:t>等</w:t>
      </w:r>
      <w:r w:rsidR="00EB09D5" w:rsidRPr="00DC3A0D">
        <w:rPr>
          <w:rFonts w:hint="eastAsia"/>
        </w:rPr>
        <w:t>。</w:t>
      </w:r>
      <w:r w:rsidR="0080588A" w:rsidRPr="00DC3A0D">
        <w:rPr>
          <w:rFonts w:hint="eastAsia"/>
        </w:rPr>
        <w:t>由于</w:t>
      </w:r>
      <w:r w:rsidR="00DA5B3E" w:rsidRPr="00DC3A0D">
        <w:rPr>
          <w:rFonts w:hint="eastAsia"/>
        </w:rPr>
        <w:t>各</w:t>
      </w:r>
      <w:r w:rsidR="00697E8C" w:rsidRPr="00DC3A0D">
        <w:rPr>
          <w:rFonts w:hint="eastAsia"/>
        </w:rPr>
        <w:t>部门的资金净融入或净融出受部门</w:t>
      </w:r>
      <w:r w:rsidR="0080588A" w:rsidRPr="00DC3A0D">
        <w:rPr>
          <w:rFonts w:hint="eastAsia"/>
        </w:rPr>
        <w:t>储蓄和</w:t>
      </w:r>
      <w:r w:rsidR="00697E8C" w:rsidRPr="00DC3A0D">
        <w:rPr>
          <w:rFonts w:hint="eastAsia"/>
        </w:rPr>
        <w:t>部门</w:t>
      </w:r>
      <w:r w:rsidR="0080588A" w:rsidRPr="00DC3A0D">
        <w:rPr>
          <w:rFonts w:hint="eastAsia"/>
        </w:rPr>
        <w:t>投资</w:t>
      </w:r>
      <w:r w:rsidR="00416936" w:rsidRPr="00DC3A0D">
        <w:rPr>
          <w:rFonts w:hint="eastAsia"/>
        </w:rPr>
        <w:t>之间缺口</w:t>
      </w:r>
      <w:r w:rsidR="00697E8C" w:rsidRPr="00DC3A0D">
        <w:rPr>
          <w:rFonts w:hint="eastAsia"/>
        </w:rPr>
        <w:t>的影响</w:t>
      </w:r>
      <w:r w:rsidR="0021677D" w:rsidRPr="00DC3A0D">
        <w:rPr>
          <w:rFonts w:hint="eastAsia"/>
        </w:rPr>
        <w:t>，</w:t>
      </w:r>
      <w:r w:rsidR="004B6CFA">
        <w:rPr>
          <w:rFonts w:hint="eastAsia"/>
        </w:rPr>
        <w:t>这些</w:t>
      </w:r>
      <w:r w:rsidR="00273B89" w:rsidRPr="00DC3A0D">
        <w:rPr>
          <w:rFonts w:hint="eastAsia"/>
        </w:rPr>
        <w:t>文献</w:t>
      </w:r>
      <w:r w:rsidR="00DF1A0C" w:rsidRPr="00DC3A0D">
        <w:rPr>
          <w:rFonts w:hint="eastAsia"/>
        </w:rPr>
        <w:t>能够</w:t>
      </w:r>
      <w:r w:rsidR="00EF66F6" w:rsidRPr="00DC3A0D">
        <w:rPr>
          <w:rFonts w:hint="eastAsia"/>
        </w:rPr>
        <w:t>为</w:t>
      </w:r>
      <w:r w:rsidR="00C72609" w:rsidRPr="00DC3A0D">
        <w:rPr>
          <w:rFonts w:hint="eastAsia"/>
        </w:rPr>
        <w:t>理解</w:t>
      </w:r>
      <w:r w:rsidR="0013117F" w:rsidRPr="00DC3A0D">
        <w:rPr>
          <w:rFonts w:hint="eastAsia"/>
        </w:rPr>
        <w:t>部门间融资主体结构</w:t>
      </w:r>
      <w:r w:rsidR="006543B9" w:rsidRPr="00DC3A0D">
        <w:rPr>
          <w:rFonts w:hint="eastAsia"/>
        </w:rPr>
        <w:t>变化</w:t>
      </w:r>
      <w:r w:rsidR="00B51486" w:rsidRPr="00DC3A0D">
        <w:rPr>
          <w:rFonts w:hint="eastAsia"/>
        </w:rPr>
        <w:t>提供</w:t>
      </w:r>
      <w:r w:rsidR="00DA5B3E" w:rsidRPr="00DC3A0D">
        <w:rPr>
          <w:rFonts w:hint="eastAsia"/>
        </w:rPr>
        <w:t>一定</w:t>
      </w:r>
      <w:r w:rsidR="00983A25">
        <w:rPr>
          <w:rFonts w:hint="eastAsia"/>
        </w:rPr>
        <w:t>的</w:t>
      </w:r>
      <w:r w:rsidR="00B51486" w:rsidRPr="00DC3A0D">
        <w:rPr>
          <w:rFonts w:hint="eastAsia"/>
        </w:rPr>
        <w:t>启示。</w:t>
      </w:r>
    </w:p>
    <w:p w14:paraId="3DAC2C87" w14:textId="10A568EE" w:rsidR="001A219D" w:rsidRPr="001A219D" w:rsidRDefault="00341C91" w:rsidP="001A219D">
      <w:pPr>
        <w:jc w:val="center"/>
        <w:rPr>
          <w:rFonts w:ascii="黑体" w:eastAsia="黑体" w:hAnsi="黑体"/>
          <w:sz w:val="28"/>
          <w:szCs w:val="28"/>
        </w:rPr>
      </w:pPr>
      <w:r w:rsidRPr="001A219D">
        <w:rPr>
          <w:rFonts w:ascii="黑体" w:eastAsia="黑体" w:hAnsi="黑体" w:hint="eastAsia"/>
          <w:sz w:val="28"/>
          <w:szCs w:val="28"/>
        </w:rPr>
        <w:t>三</w:t>
      </w:r>
      <w:r w:rsidR="00A3383D" w:rsidRPr="001A219D">
        <w:rPr>
          <w:rFonts w:ascii="黑体" w:eastAsia="黑体" w:hAnsi="黑体" w:hint="eastAsia"/>
          <w:sz w:val="28"/>
          <w:szCs w:val="28"/>
        </w:rPr>
        <w:t>、融资主体</w:t>
      </w:r>
      <w:r w:rsidR="00747C76" w:rsidRPr="001A219D">
        <w:rPr>
          <w:rFonts w:ascii="黑体" w:eastAsia="黑体" w:hAnsi="黑体" w:hint="eastAsia"/>
          <w:sz w:val="28"/>
          <w:szCs w:val="28"/>
        </w:rPr>
        <w:t>结构</w:t>
      </w:r>
    </w:p>
    <w:p w14:paraId="367A7374" w14:textId="34B72A0F" w:rsidR="00F91FFD" w:rsidRPr="00B7521C" w:rsidRDefault="00F91FFD" w:rsidP="00B7521C">
      <w:pPr>
        <w:ind w:firstLineChars="200" w:firstLine="420"/>
        <w:rPr>
          <w:rFonts w:ascii="黑体" w:eastAsia="黑体" w:hAnsi="黑体"/>
        </w:rPr>
      </w:pPr>
      <w:r w:rsidRPr="00B7521C">
        <w:rPr>
          <w:rFonts w:ascii="黑体" w:eastAsia="黑体" w:hAnsi="黑体" w:hint="eastAsia"/>
        </w:rPr>
        <w:t>（一）融资主体结构</w:t>
      </w:r>
      <w:r w:rsidR="007A142C" w:rsidRPr="00B7521C">
        <w:rPr>
          <w:rFonts w:ascii="黑体" w:eastAsia="黑体" w:hAnsi="黑体" w:hint="eastAsia"/>
        </w:rPr>
        <w:t>转型</w:t>
      </w:r>
      <w:r w:rsidR="00EB7D82" w:rsidRPr="00B7521C">
        <w:rPr>
          <w:rFonts w:ascii="黑体" w:eastAsia="黑体" w:hAnsi="黑体" w:hint="eastAsia"/>
        </w:rPr>
        <w:t>的主要特征</w:t>
      </w:r>
    </w:p>
    <w:p w14:paraId="506AE911" w14:textId="600F5D72" w:rsidR="00A3383D" w:rsidRPr="00DC3A0D" w:rsidRDefault="00A3383D" w:rsidP="00713B93">
      <w:pPr>
        <w:ind w:firstLineChars="200" w:firstLine="420"/>
      </w:pPr>
      <w:r w:rsidRPr="00DC3A0D">
        <w:rPr>
          <w:rFonts w:hint="eastAsia"/>
        </w:rPr>
        <w:t>从融资主体视角来看，我国宏观融资的部门结构在过去十余年间主要发生了三点</w:t>
      </w:r>
      <w:r w:rsidR="00026279" w:rsidRPr="00DC3A0D">
        <w:rPr>
          <w:rFonts w:hint="eastAsia"/>
        </w:rPr>
        <w:t>显著</w:t>
      </w:r>
      <w:r w:rsidRPr="00DC3A0D">
        <w:rPr>
          <w:rFonts w:hint="eastAsia"/>
        </w:rPr>
        <w:t>变化：住户部门</w:t>
      </w:r>
      <w:r w:rsidR="006B5CB9" w:rsidRPr="00DC3A0D">
        <w:rPr>
          <w:rFonts w:hint="eastAsia"/>
        </w:rPr>
        <w:t>的</w:t>
      </w:r>
      <w:r w:rsidRPr="00DC3A0D">
        <w:rPr>
          <w:rFonts w:hint="eastAsia"/>
        </w:rPr>
        <w:t>净融出规模相对收缩</w:t>
      </w:r>
      <w:r w:rsidR="00983A25">
        <w:rPr>
          <w:rFonts w:hint="eastAsia"/>
        </w:rPr>
        <w:t>；</w:t>
      </w:r>
      <w:r w:rsidRPr="00DC3A0D">
        <w:rPr>
          <w:rFonts w:hint="eastAsia"/>
        </w:rPr>
        <w:t>非金融企业部门</w:t>
      </w:r>
      <w:r w:rsidR="00207D06" w:rsidRPr="00DC3A0D">
        <w:rPr>
          <w:rFonts w:hint="eastAsia"/>
        </w:rPr>
        <w:t>的</w:t>
      </w:r>
      <w:r w:rsidRPr="00DC3A0D">
        <w:rPr>
          <w:rFonts w:hint="eastAsia"/>
        </w:rPr>
        <w:t>净融入</w:t>
      </w:r>
      <w:r w:rsidR="000A416C" w:rsidRPr="00DC3A0D">
        <w:rPr>
          <w:rFonts w:hint="eastAsia"/>
        </w:rPr>
        <w:t>相对</w:t>
      </w:r>
      <w:r w:rsidRPr="00DC3A0D">
        <w:rPr>
          <w:rFonts w:hint="eastAsia"/>
        </w:rPr>
        <w:t>减少</w:t>
      </w:r>
      <w:r w:rsidR="00983A25">
        <w:rPr>
          <w:rFonts w:hint="eastAsia"/>
        </w:rPr>
        <w:t>；</w:t>
      </w:r>
      <w:r w:rsidRPr="00DC3A0D">
        <w:rPr>
          <w:rFonts w:hint="eastAsia"/>
        </w:rPr>
        <w:t>广义政府部门成为</w:t>
      </w:r>
      <w:r w:rsidR="00516EB7" w:rsidRPr="00DC3A0D">
        <w:rPr>
          <w:rFonts w:hint="eastAsia"/>
        </w:rPr>
        <w:t>更加</w:t>
      </w:r>
      <w:r w:rsidRPr="00DC3A0D">
        <w:rPr>
          <w:rFonts w:hint="eastAsia"/>
        </w:rPr>
        <w:t>重要</w:t>
      </w:r>
      <w:r w:rsidR="00034B9C" w:rsidRPr="00DC3A0D">
        <w:rPr>
          <w:rFonts w:hint="eastAsia"/>
        </w:rPr>
        <w:t>的</w:t>
      </w:r>
      <w:r w:rsidRPr="00DC3A0D">
        <w:rPr>
          <w:rFonts w:hint="eastAsia"/>
        </w:rPr>
        <w:t>融资主体。</w:t>
      </w:r>
    </w:p>
    <w:p w14:paraId="08C9B365" w14:textId="364A14C3" w:rsidR="00A3383D" w:rsidRPr="00DC3A0D" w:rsidRDefault="00B768F4" w:rsidP="00713B93">
      <w:pPr>
        <w:ind w:firstLineChars="200" w:firstLine="420"/>
      </w:pPr>
      <w:r w:rsidRPr="00DC3A0D">
        <w:rPr>
          <w:rFonts w:hint="eastAsia"/>
        </w:rPr>
        <w:t>第一，</w:t>
      </w:r>
      <w:r w:rsidR="00A3383D" w:rsidRPr="00DC3A0D">
        <w:rPr>
          <w:rFonts w:hint="eastAsia"/>
        </w:rPr>
        <w:t>住户部门净融出</w:t>
      </w:r>
      <w:r w:rsidR="001412ED" w:rsidRPr="00DC3A0D">
        <w:rPr>
          <w:rFonts w:hint="eastAsia"/>
        </w:rPr>
        <w:t>率下降</w:t>
      </w:r>
      <w:r w:rsidR="00A3383D" w:rsidRPr="00DC3A0D">
        <w:rPr>
          <w:rFonts w:hint="eastAsia"/>
        </w:rPr>
        <w:t>。住户部门通常而言是一国经济中最主要的资金净融出部门。我国住户部门的资金净融出率</w:t>
      </w:r>
      <w:r w:rsidR="00E81388" w:rsidRPr="00DC3A0D">
        <w:rPr>
          <w:rFonts w:hint="eastAsia"/>
        </w:rPr>
        <w:t>（资金净融</w:t>
      </w:r>
      <w:r w:rsidR="00394C17" w:rsidRPr="00DC3A0D">
        <w:rPr>
          <w:rFonts w:hint="eastAsia"/>
        </w:rPr>
        <w:t>出</w:t>
      </w:r>
      <w:r w:rsidR="00E81388" w:rsidRPr="00DC3A0D">
        <w:rPr>
          <w:rFonts w:hint="eastAsia"/>
        </w:rPr>
        <w:t>/</w:t>
      </w:r>
      <w:r w:rsidR="00E81388" w:rsidRPr="00DC3A0D">
        <w:t>GDP</w:t>
      </w:r>
      <w:r w:rsidR="00E81388" w:rsidRPr="00DC3A0D">
        <w:rPr>
          <w:rFonts w:hint="eastAsia"/>
        </w:rPr>
        <w:t>）</w:t>
      </w:r>
      <w:r w:rsidR="00A3383D" w:rsidRPr="00DC3A0D">
        <w:rPr>
          <w:rFonts w:hint="eastAsia"/>
        </w:rPr>
        <w:t>在</w:t>
      </w:r>
      <w:r w:rsidR="004D11DC" w:rsidRPr="00DC3A0D">
        <w:rPr>
          <w:rFonts w:hint="eastAsia"/>
        </w:rPr>
        <w:t>上世纪</w:t>
      </w:r>
      <w:r w:rsidR="004D11DC">
        <w:rPr>
          <w:rFonts w:hint="eastAsia"/>
        </w:rPr>
        <w:t>9</w:t>
      </w:r>
      <w:r w:rsidR="004D11DC">
        <w:t>0</w:t>
      </w:r>
      <w:r w:rsidR="004D11DC" w:rsidRPr="00DC3A0D">
        <w:rPr>
          <w:rFonts w:hint="eastAsia"/>
        </w:rPr>
        <w:t>年代</w:t>
      </w:r>
      <w:r w:rsidR="00A3383D" w:rsidRPr="00DC3A0D">
        <w:rPr>
          <w:rFonts w:hint="eastAsia"/>
        </w:rPr>
        <w:t>前期超过</w:t>
      </w:r>
      <w:r w:rsidR="00A3383D" w:rsidRPr="00DC3A0D">
        <w:rPr>
          <w:rFonts w:hint="eastAsia"/>
        </w:rPr>
        <w:t>1</w:t>
      </w:r>
      <w:r w:rsidR="00A3383D" w:rsidRPr="00DC3A0D">
        <w:t>4</w:t>
      </w:r>
      <w:r w:rsidR="00A3383D" w:rsidRPr="00DC3A0D">
        <w:rPr>
          <w:rFonts w:hint="eastAsia"/>
        </w:rPr>
        <w:t>%</w:t>
      </w:r>
      <w:r w:rsidR="00A3383D" w:rsidRPr="00DC3A0D">
        <w:rPr>
          <w:rFonts w:hint="eastAsia"/>
        </w:rPr>
        <w:t>，</w:t>
      </w:r>
      <w:r w:rsidR="00A3383D" w:rsidRPr="00DC3A0D">
        <w:rPr>
          <w:rFonts w:hint="eastAsia"/>
        </w:rPr>
        <w:t>2</w:t>
      </w:r>
      <w:r w:rsidR="00A3383D" w:rsidRPr="00DC3A0D">
        <w:t>000</w:t>
      </w:r>
      <w:r w:rsidR="00A3383D" w:rsidRPr="00DC3A0D">
        <w:rPr>
          <w:rFonts w:hint="eastAsia"/>
        </w:rPr>
        <w:t>年到全球金融危机前的波动中枢</w:t>
      </w:r>
      <w:r w:rsidR="004660B3" w:rsidRPr="00DC3A0D">
        <w:rPr>
          <w:rFonts w:hint="eastAsia"/>
        </w:rPr>
        <w:t>仍</w:t>
      </w:r>
      <w:r w:rsidR="008A20A9" w:rsidRPr="00DC3A0D">
        <w:rPr>
          <w:rFonts w:hint="eastAsia"/>
        </w:rPr>
        <w:t>位于</w:t>
      </w:r>
      <w:r w:rsidR="00A3383D" w:rsidRPr="00DC3A0D">
        <w:rPr>
          <w:rFonts w:hint="eastAsia"/>
        </w:rPr>
        <w:t>1</w:t>
      </w:r>
      <w:r w:rsidR="00A3383D" w:rsidRPr="00DC3A0D">
        <w:t>1</w:t>
      </w:r>
      <w:r w:rsidR="00A3383D" w:rsidRPr="00DC3A0D">
        <w:rPr>
          <w:rFonts w:hint="eastAsia"/>
        </w:rPr>
        <w:t>%</w:t>
      </w:r>
      <w:r w:rsidR="0087590F" w:rsidRPr="00DC3A0D">
        <w:rPr>
          <w:rFonts w:hint="eastAsia"/>
        </w:rPr>
        <w:t>以上</w:t>
      </w:r>
      <w:r w:rsidR="004D11DC">
        <w:rPr>
          <w:rFonts w:hint="eastAsia"/>
        </w:rPr>
        <w:t>，</w:t>
      </w:r>
      <w:r w:rsidR="00A3383D" w:rsidRPr="00DC3A0D">
        <w:rPr>
          <w:rFonts w:hint="eastAsia"/>
        </w:rPr>
        <w:t>此后便呈现趋势性下降，到</w:t>
      </w:r>
      <w:r w:rsidR="00A3383D" w:rsidRPr="00DC3A0D">
        <w:rPr>
          <w:rFonts w:hint="eastAsia"/>
        </w:rPr>
        <w:t>2</w:t>
      </w:r>
      <w:r w:rsidR="00A3383D" w:rsidRPr="00DC3A0D">
        <w:t>01</w:t>
      </w:r>
      <w:r w:rsidR="00C025CD" w:rsidRPr="00DC3A0D">
        <w:t>8</w:t>
      </w:r>
      <w:r w:rsidR="00A3383D" w:rsidRPr="00DC3A0D">
        <w:rPr>
          <w:rFonts w:hint="eastAsia"/>
        </w:rPr>
        <w:t>年</w:t>
      </w:r>
      <w:r w:rsidR="00C025CD" w:rsidRPr="00DC3A0D">
        <w:rPr>
          <w:rFonts w:hint="eastAsia"/>
        </w:rPr>
        <w:t>已</w:t>
      </w:r>
      <w:r w:rsidR="00A3383D" w:rsidRPr="00DC3A0D">
        <w:rPr>
          <w:rFonts w:hint="eastAsia"/>
        </w:rPr>
        <w:t>降低至</w:t>
      </w:r>
      <w:r w:rsidR="00C025CD" w:rsidRPr="00DC3A0D">
        <w:t>6.0</w:t>
      </w:r>
      <w:r w:rsidR="00A3383D" w:rsidRPr="00DC3A0D">
        <w:rPr>
          <w:rFonts w:hint="eastAsia"/>
        </w:rPr>
        <w:t>%</w:t>
      </w:r>
      <w:r w:rsidR="006005C4" w:rsidRPr="00DC3A0D">
        <w:rPr>
          <w:rFonts w:hint="eastAsia"/>
        </w:rPr>
        <w:t>（图</w:t>
      </w:r>
      <w:r w:rsidR="003565E5">
        <w:t>2</w:t>
      </w:r>
      <w:r w:rsidR="006005C4" w:rsidRPr="00DC3A0D">
        <w:rPr>
          <w:rFonts w:hint="eastAsia"/>
        </w:rPr>
        <w:t>）</w:t>
      </w:r>
      <w:r w:rsidR="001D0F84" w:rsidRPr="00F51C9C">
        <w:rPr>
          <w:rStyle w:val="aa"/>
          <w:highlight w:val="yellow"/>
        </w:rPr>
        <w:footnoteReference w:id="4"/>
      </w:r>
      <w:r w:rsidR="00A3383D" w:rsidRPr="00DC3A0D">
        <w:rPr>
          <w:rFonts w:hint="eastAsia"/>
        </w:rPr>
        <w:t>。资金净融出率的降低意味着住户部门能够为其他</w:t>
      </w:r>
      <w:r w:rsidR="0041762B" w:rsidRPr="00DC3A0D">
        <w:rPr>
          <w:rFonts w:hint="eastAsia"/>
        </w:rPr>
        <w:t>经济</w:t>
      </w:r>
      <w:r w:rsidR="00A3383D" w:rsidRPr="00DC3A0D">
        <w:rPr>
          <w:rFonts w:hint="eastAsia"/>
        </w:rPr>
        <w:t>部门提供的净资金供给</w:t>
      </w:r>
      <w:r w:rsidR="00C85217" w:rsidRPr="00DC3A0D">
        <w:rPr>
          <w:rFonts w:hint="eastAsia"/>
        </w:rPr>
        <w:t>规模</w:t>
      </w:r>
      <w:r w:rsidR="00487925">
        <w:rPr>
          <w:rFonts w:hint="eastAsia"/>
        </w:rPr>
        <w:t>在</w:t>
      </w:r>
      <w:r w:rsidR="00C85217" w:rsidRPr="00DC3A0D">
        <w:rPr>
          <w:rFonts w:hint="eastAsia"/>
        </w:rPr>
        <w:t>相对</w:t>
      </w:r>
      <w:r w:rsidR="00523EB6" w:rsidRPr="00DC3A0D">
        <w:rPr>
          <w:rFonts w:hint="eastAsia"/>
        </w:rPr>
        <w:t>收缩</w:t>
      </w:r>
      <w:r w:rsidR="00A3383D" w:rsidRPr="00DC3A0D">
        <w:rPr>
          <w:rFonts w:hint="eastAsia"/>
        </w:rPr>
        <w:t>。</w:t>
      </w:r>
      <w:r w:rsidR="00072535">
        <w:rPr>
          <w:rFonts w:hint="eastAsia"/>
        </w:rPr>
        <w:t>银行</w:t>
      </w:r>
      <w:r w:rsidR="00A3383D" w:rsidRPr="00DC3A0D">
        <w:rPr>
          <w:rFonts w:hint="eastAsia"/>
        </w:rPr>
        <w:t>存贷款数据同样</w:t>
      </w:r>
      <w:r w:rsidR="009423E4">
        <w:rPr>
          <w:rFonts w:hint="eastAsia"/>
        </w:rPr>
        <w:t>可以</w:t>
      </w:r>
      <w:r w:rsidR="00A3383D" w:rsidRPr="00DC3A0D">
        <w:rPr>
          <w:rFonts w:hint="eastAsia"/>
        </w:rPr>
        <w:t>验证</w:t>
      </w:r>
      <w:r w:rsidR="009423E4">
        <w:rPr>
          <w:rFonts w:hint="eastAsia"/>
        </w:rPr>
        <w:t>这</w:t>
      </w:r>
      <w:r w:rsidR="00A3383D" w:rsidRPr="00DC3A0D">
        <w:rPr>
          <w:rFonts w:hint="eastAsia"/>
        </w:rPr>
        <w:t>一点：新增城乡居民储蓄存款和个人贷款之间的差额</w:t>
      </w:r>
      <w:r w:rsidR="00F24CAA" w:rsidRPr="00DC3A0D">
        <w:rPr>
          <w:rFonts w:hint="eastAsia"/>
        </w:rPr>
        <w:t>在过去十余年间</w:t>
      </w:r>
      <w:r w:rsidR="00A3383D" w:rsidRPr="00DC3A0D">
        <w:rPr>
          <w:rFonts w:hint="eastAsia"/>
        </w:rPr>
        <w:t>大体上</w:t>
      </w:r>
      <w:r w:rsidR="00C77D0B" w:rsidRPr="00DC3A0D">
        <w:rPr>
          <w:rFonts w:hint="eastAsia"/>
        </w:rPr>
        <w:t>也</w:t>
      </w:r>
      <w:r w:rsidR="00A3383D" w:rsidRPr="00DC3A0D">
        <w:rPr>
          <w:rFonts w:hint="eastAsia"/>
        </w:rPr>
        <w:t>呈现逐渐缩减的态势，</w:t>
      </w:r>
      <w:r w:rsidR="00A3383D" w:rsidRPr="00DC3A0D">
        <w:rPr>
          <w:rFonts w:hint="eastAsia"/>
        </w:rPr>
        <w:t>2</w:t>
      </w:r>
      <w:r w:rsidR="00A3383D" w:rsidRPr="00DC3A0D">
        <w:t>016</w:t>
      </w:r>
      <w:r w:rsidR="002F7D4C" w:rsidRPr="00DC3A0D">
        <w:rPr>
          <w:rFonts w:hint="eastAsia"/>
        </w:rPr>
        <w:t>-</w:t>
      </w:r>
      <w:r w:rsidR="002F7D4C" w:rsidRPr="00DC3A0D">
        <w:t>2018</w:t>
      </w:r>
      <w:r w:rsidR="00A3383D" w:rsidRPr="00DC3A0D">
        <w:rPr>
          <w:rFonts w:hint="eastAsia"/>
        </w:rPr>
        <w:t>年</w:t>
      </w:r>
      <w:r w:rsidR="00F66140" w:rsidRPr="00DC3A0D">
        <w:rPr>
          <w:rFonts w:hint="eastAsia"/>
        </w:rPr>
        <w:t>期间</w:t>
      </w:r>
      <w:r w:rsidR="00A3383D" w:rsidRPr="00DC3A0D">
        <w:rPr>
          <w:rFonts w:hint="eastAsia"/>
        </w:rPr>
        <w:t>住户部门</w:t>
      </w:r>
      <w:r w:rsidR="009867E9" w:rsidRPr="00DC3A0D">
        <w:rPr>
          <w:rFonts w:hint="eastAsia"/>
        </w:rPr>
        <w:t>甚至</w:t>
      </w:r>
      <w:r w:rsidR="00A3383D" w:rsidRPr="00DC3A0D">
        <w:rPr>
          <w:rFonts w:hint="eastAsia"/>
        </w:rPr>
        <w:t>由此前的</w:t>
      </w:r>
      <w:r w:rsidR="00C840EC" w:rsidRPr="00DC3A0D">
        <w:rPr>
          <w:rFonts w:hint="eastAsia"/>
        </w:rPr>
        <w:t>净存款主体</w:t>
      </w:r>
      <w:r w:rsidR="00A3383D" w:rsidRPr="00DC3A0D">
        <w:rPr>
          <w:rFonts w:hint="eastAsia"/>
        </w:rPr>
        <w:t>转变为了</w:t>
      </w:r>
      <w:r w:rsidR="00ED22BD" w:rsidRPr="00DC3A0D">
        <w:rPr>
          <w:rFonts w:hint="eastAsia"/>
        </w:rPr>
        <w:t>净贷款主体</w:t>
      </w:r>
      <w:r w:rsidR="00237009" w:rsidRPr="00DC3A0D">
        <w:rPr>
          <w:rFonts w:hint="eastAsia"/>
        </w:rPr>
        <w:t>，</w:t>
      </w:r>
      <w:r w:rsidR="00A3383D" w:rsidRPr="00DC3A0D">
        <w:rPr>
          <w:rFonts w:hint="eastAsia"/>
        </w:rPr>
        <w:t>三年合计积累了</w:t>
      </w:r>
      <w:r w:rsidR="00A3383D" w:rsidRPr="00DC3A0D">
        <w:rPr>
          <w:rFonts w:hint="eastAsia"/>
        </w:rPr>
        <w:t>3</w:t>
      </w:r>
      <w:r w:rsidR="00A3383D" w:rsidRPr="00DC3A0D">
        <w:t>8600</w:t>
      </w:r>
      <w:r w:rsidR="00A3383D" w:rsidRPr="00DC3A0D">
        <w:rPr>
          <w:rFonts w:hint="eastAsia"/>
        </w:rPr>
        <w:t>亿元的</w:t>
      </w:r>
      <w:r w:rsidR="005B4ECC" w:rsidRPr="00DC3A0D">
        <w:rPr>
          <w:rFonts w:hint="eastAsia"/>
        </w:rPr>
        <w:t>净贷款</w:t>
      </w:r>
      <w:r w:rsidR="00A3383D" w:rsidRPr="00DC3A0D">
        <w:rPr>
          <w:rFonts w:hint="eastAsia"/>
        </w:rPr>
        <w:t>，超过</w:t>
      </w:r>
      <w:r w:rsidR="006446DB" w:rsidRPr="00DC3A0D">
        <w:rPr>
          <w:rFonts w:hint="eastAsia"/>
        </w:rPr>
        <w:t>了</w:t>
      </w:r>
      <w:r w:rsidR="00A3383D" w:rsidRPr="00DC3A0D">
        <w:rPr>
          <w:rFonts w:hint="eastAsia"/>
        </w:rPr>
        <w:t>此前三年的</w:t>
      </w:r>
      <w:r w:rsidR="00B34AEE" w:rsidRPr="00DC3A0D">
        <w:rPr>
          <w:rFonts w:hint="eastAsia"/>
        </w:rPr>
        <w:t>净存款总额</w:t>
      </w:r>
      <w:r w:rsidR="00A3383D" w:rsidRPr="00DC3A0D">
        <w:rPr>
          <w:rFonts w:hint="eastAsia"/>
        </w:rPr>
        <w:t>。</w:t>
      </w:r>
      <w:r w:rsidR="00B626AA" w:rsidRPr="00DC3A0D">
        <w:rPr>
          <w:rFonts w:hint="eastAsia"/>
        </w:rPr>
        <w:t>2</w:t>
      </w:r>
      <w:r w:rsidR="00B626AA" w:rsidRPr="00DC3A0D">
        <w:t>019</w:t>
      </w:r>
      <w:r w:rsidR="00B626AA" w:rsidRPr="00DC3A0D">
        <w:rPr>
          <w:rFonts w:hint="eastAsia"/>
        </w:rPr>
        <w:t>年</w:t>
      </w:r>
      <w:r w:rsidR="009B063C" w:rsidRPr="00DC3A0D">
        <w:rPr>
          <w:rFonts w:hint="eastAsia"/>
        </w:rPr>
        <w:t>上述</w:t>
      </w:r>
      <w:r w:rsidR="001F7D32" w:rsidRPr="00DC3A0D">
        <w:rPr>
          <w:rFonts w:hint="eastAsia"/>
        </w:rPr>
        <w:t>情况</w:t>
      </w:r>
      <w:r w:rsidR="00B626AA" w:rsidRPr="00DC3A0D">
        <w:rPr>
          <w:rFonts w:hint="eastAsia"/>
        </w:rPr>
        <w:t>略有好转</w:t>
      </w:r>
      <w:r w:rsidR="001F7D32" w:rsidRPr="00DC3A0D">
        <w:rPr>
          <w:rFonts w:hint="eastAsia"/>
        </w:rPr>
        <w:t>，住户部门再度成为净存款主体。</w:t>
      </w:r>
    </w:p>
    <w:p w14:paraId="3CF3DC6B" w14:textId="20A0D06B" w:rsidR="00A3383D" w:rsidRPr="00DC3A0D" w:rsidRDefault="00A3383D" w:rsidP="00AB1F86">
      <w:pPr>
        <w:ind w:firstLineChars="200" w:firstLine="420"/>
      </w:pPr>
      <w:r w:rsidRPr="00DC3A0D">
        <w:rPr>
          <w:rFonts w:hint="eastAsia"/>
        </w:rPr>
        <w:t>造成住户部门净融出</w:t>
      </w:r>
      <w:r w:rsidR="00F50765" w:rsidRPr="00DC3A0D">
        <w:rPr>
          <w:rFonts w:hint="eastAsia"/>
        </w:rPr>
        <w:t>相对</w:t>
      </w:r>
      <w:r w:rsidRPr="00DC3A0D">
        <w:rPr>
          <w:rFonts w:hint="eastAsia"/>
        </w:rPr>
        <w:t>收缩的主要原因在于以住房抵押贷款为主体的住户贷款规模增长较快。</w:t>
      </w:r>
      <w:r w:rsidRPr="00DC3A0D">
        <w:rPr>
          <w:rFonts w:hint="eastAsia"/>
        </w:rPr>
        <w:t>2</w:t>
      </w:r>
      <w:r w:rsidRPr="00DC3A0D">
        <w:t>005</w:t>
      </w:r>
      <w:r w:rsidRPr="00DC3A0D">
        <w:rPr>
          <w:rFonts w:hint="eastAsia"/>
        </w:rPr>
        <w:t>-</w:t>
      </w:r>
      <w:r w:rsidRPr="00DC3A0D">
        <w:t>2009</w:t>
      </w:r>
      <w:r w:rsidRPr="00DC3A0D">
        <w:rPr>
          <w:rFonts w:hint="eastAsia"/>
        </w:rPr>
        <w:t>年期间，年均新增住户贷款</w:t>
      </w:r>
      <w:r w:rsidRPr="00DC3A0D">
        <w:rPr>
          <w:rFonts w:hint="eastAsia"/>
        </w:rPr>
        <w:t>1</w:t>
      </w:r>
      <w:r w:rsidRPr="00DC3A0D">
        <w:t>0722</w:t>
      </w:r>
      <w:r w:rsidRPr="00DC3A0D">
        <w:rPr>
          <w:rFonts w:hint="eastAsia"/>
        </w:rPr>
        <w:t>亿元，这一数值到</w:t>
      </w:r>
      <w:r w:rsidRPr="00DC3A0D">
        <w:rPr>
          <w:rFonts w:hint="eastAsia"/>
        </w:rPr>
        <w:t>2</w:t>
      </w:r>
      <w:r w:rsidRPr="00DC3A0D">
        <w:t>010</w:t>
      </w:r>
      <w:r w:rsidRPr="00DC3A0D">
        <w:rPr>
          <w:rFonts w:hint="eastAsia"/>
        </w:rPr>
        <w:t>-</w:t>
      </w:r>
      <w:r w:rsidRPr="00DC3A0D">
        <w:t>2015</w:t>
      </w:r>
      <w:r w:rsidRPr="00DC3A0D">
        <w:rPr>
          <w:rFonts w:hint="eastAsia"/>
        </w:rPr>
        <w:t>年期间上升至年均</w:t>
      </w:r>
      <w:r w:rsidRPr="00DC3A0D">
        <w:rPr>
          <w:rFonts w:hint="eastAsia"/>
        </w:rPr>
        <w:t>3</w:t>
      </w:r>
      <w:r w:rsidRPr="00DC3A0D">
        <w:t>1404</w:t>
      </w:r>
      <w:r w:rsidRPr="00DC3A0D">
        <w:rPr>
          <w:rFonts w:hint="eastAsia"/>
        </w:rPr>
        <w:t>亿元，到</w:t>
      </w:r>
      <w:r w:rsidRPr="00DC3A0D">
        <w:rPr>
          <w:rFonts w:hint="eastAsia"/>
        </w:rPr>
        <w:t>2</w:t>
      </w:r>
      <w:r w:rsidRPr="00DC3A0D">
        <w:t>016</w:t>
      </w:r>
      <w:r w:rsidRPr="00DC3A0D">
        <w:rPr>
          <w:rFonts w:hint="eastAsia"/>
        </w:rPr>
        <w:t>-</w:t>
      </w:r>
      <w:r w:rsidRPr="00DC3A0D">
        <w:t>2019</w:t>
      </w:r>
      <w:r w:rsidRPr="00DC3A0D">
        <w:rPr>
          <w:rFonts w:hint="eastAsia"/>
        </w:rPr>
        <w:t>年则进步攀升至年均</w:t>
      </w:r>
      <w:r w:rsidRPr="00DC3A0D">
        <w:rPr>
          <w:rFonts w:hint="eastAsia"/>
        </w:rPr>
        <w:t>7</w:t>
      </w:r>
      <w:r w:rsidRPr="00DC3A0D">
        <w:t>0744</w:t>
      </w:r>
      <w:r w:rsidRPr="00DC3A0D">
        <w:rPr>
          <w:rFonts w:hint="eastAsia"/>
        </w:rPr>
        <w:t>亿元。在此期间，住户贷款占全部新增贷款的比重</w:t>
      </w:r>
      <w:r w:rsidR="001C1701" w:rsidRPr="00DC3A0D">
        <w:rPr>
          <w:rFonts w:hint="eastAsia"/>
        </w:rPr>
        <w:t>也</w:t>
      </w:r>
      <w:r w:rsidRPr="00DC3A0D">
        <w:rPr>
          <w:rFonts w:hint="eastAsia"/>
        </w:rPr>
        <w:t>由</w:t>
      </w:r>
      <w:r w:rsidRPr="00DC3A0D">
        <w:rPr>
          <w:rFonts w:hint="eastAsia"/>
        </w:rPr>
        <w:t>2</w:t>
      </w:r>
      <w:r w:rsidRPr="00DC3A0D">
        <w:t>3</w:t>
      </w:r>
      <w:r w:rsidRPr="00DC3A0D">
        <w:rPr>
          <w:rFonts w:hint="eastAsia"/>
        </w:rPr>
        <w:t>%</w:t>
      </w:r>
      <w:r w:rsidRPr="00DC3A0D">
        <w:rPr>
          <w:rFonts w:hint="eastAsia"/>
        </w:rPr>
        <w:t>左右</w:t>
      </w:r>
      <w:r w:rsidR="001C1701" w:rsidRPr="00DC3A0D">
        <w:rPr>
          <w:rFonts w:hint="eastAsia"/>
        </w:rPr>
        <w:t>持续攀升</w:t>
      </w:r>
      <w:r w:rsidRPr="00DC3A0D">
        <w:rPr>
          <w:rFonts w:hint="eastAsia"/>
        </w:rPr>
        <w:t>至</w:t>
      </w:r>
      <w:r w:rsidRPr="00DC3A0D">
        <w:rPr>
          <w:rFonts w:hint="eastAsia"/>
        </w:rPr>
        <w:t>4</w:t>
      </w:r>
      <w:r w:rsidRPr="00DC3A0D">
        <w:t>8</w:t>
      </w:r>
      <w:r w:rsidRPr="00DC3A0D">
        <w:rPr>
          <w:rFonts w:hint="eastAsia"/>
        </w:rPr>
        <w:t>%</w:t>
      </w:r>
      <w:r w:rsidRPr="00DC3A0D">
        <w:rPr>
          <w:rFonts w:hint="eastAsia"/>
        </w:rPr>
        <w:t>，提高了约</w:t>
      </w:r>
      <w:r w:rsidRPr="00DC3A0D">
        <w:rPr>
          <w:rFonts w:hint="eastAsia"/>
        </w:rPr>
        <w:t>2</w:t>
      </w:r>
      <w:r w:rsidRPr="00DC3A0D">
        <w:t>5</w:t>
      </w:r>
      <w:r w:rsidRPr="00DC3A0D">
        <w:rPr>
          <w:rFonts w:hint="eastAsia"/>
        </w:rPr>
        <w:t>个百分点</w:t>
      </w:r>
      <w:r w:rsidR="00A42EDE">
        <w:rPr>
          <w:rFonts w:hint="eastAsia"/>
        </w:rPr>
        <w:t>。</w:t>
      </w:r>
      <w:r w:rsidRPr="00DC3A0D">
        <w:rPr>
          <w:rFonts w:hint="eastAsia"/>
        </w:rPr>
        <w:t>而另一方面，非金融企业及机关团体贷款在全部新增贷款中所占比重则由</w:t>
      </w:r>
      <w:r w:rsidRPr="00DC3A0D">
        <w:t>77</w:t>
      </w:r>
      <w:r w:rsidRPr="00DC3A0D">
        <w:rPr>
          <w:rFonts w:hint="eastAsia"/>
        </w:rPr>
        <w:t>%</w:t>
      </w:r>
      <w:r w:rsidRPr="00DC3A0D">
        <w:rPr>
          <w:rFonts w:hint="eastAsia"/>
        </w:rPr>
        <w:t>下降至</w:t>
      </w:r>
      <w:r w:rsidRPr="00DC3A0D">
        <w:t>52</w:t>
      </w:r>
      <w:r w:rsidRPr="00DC3A0D">
        <w:rPr>
          <w:rFonts w:hint="eastAsia"/>
        </w:rPr>
        <w:t>%</w:t>
      </w:r>
      <w:r w:rsidRPr="00DC3A0D">
        <w:rPr>
          <w:rFonts w:hint="eastAsia"/>
        </w:rPr>
        <w:t>，下降了约</w:t>
      </w:r>
      <w:r w:rsidRPr="00DC3A0D">
        <w:rPr>
          <w:rFonts w:hint="eastAsia"/>
        </w:rPr>
        <w:t>2</w:t>
      </w:r>
      <w:r w:rsidRPr="00DC3A0D">
        <w:t>5</w:t>
      </w:r>
      <w:r w:rsidRPr="00DC3A0D">
        <w:rPr>
          <w:rFonts w:hint="eastAsia"/>
        </w:rPr>
        <w:t>个百分点</w:t>
      </w:r>
      <w:r w:rsidR="001D6666" w:rsidRPr="00DC3A0D">
        <w:rPr>
          <w:rFonts w:hint="eastAsia"/>
        </w:rPr>
        <w:t>（图</w:t>
      </w:r>
      <w:r w:rsidR="00551612" w:rsidRPr="00DC3A0D">
        <w:t>3</w:t>
      </w:r>
      <w:r w:rsidR="001D6666" w:rsidRPr="00DC3A0D">
        <w:rPr>
          <w:rFonts w:hint="eastAsia"/>
        </w:rPr>
        <w:t>）</w:t>
      </w:r>
      <w:r w:rsidRPr="00DC3A0D">
        <w:rPr>
          <w:rFonts w:hint="eastAsia"/>
        </w:rPr>
        <w:t>。大体而言，当前住户贷款规模已经与非金融企业及机关团体贷款规模接近，占到总贷款的“半壁江山”。在部分年份，住户贷款增量规模甚至超过了非金融企业及机关团体贷款的增量规模。尽管</w:t>
      </w:r>
      <w:r w:rsidR="008D258D" w:rsidRPr="00DC3A0D">
        <w:rPr>
          <w:rFonts w:hint="eastAsia"/>
        </w:rPr>
        <w:t>2</w:t>
      </w:r>
      <w:r w:rsidR="008D258D" w:rsidRPr="00DC3A0D">
        <w:t>018</w:t>
      </w:r>
      <w:r w:rsidR="008D258D" w:rsidRPr="00DC3A0D">
        <w:rPr>
          <w:rFonts w:hint="eastAsia"/>
        </w:rPr>
        <w:t>年之后</w:t>
      </w:r>
      <w:r w:rsidR="0041762B">
        <w:rPr>
          <w:rFonts w:hint="eastAsia"/>
        </w:rPr>
        <w:t>的数</w:t>
      </w:r>
      <w:r w:rsidR="005875D2" w:rsidRPr="00DC3A0D">
        <w:rPr>
          <w:rFonts w:hint="eastAsia"/>
        </w:rPr>
        <w:t>年</w:t>
      </w:r>
      <w:r w:rsidR="00A42EDE">
        <w:rPr>
          <w:rFonts w:hint="eastAsia"/>
        </w:rPr>
        <w:t>时间里</w:t>
      </w:r>
      <w:r w:rsidR="0041762B">
        <w:rPr>
          <w:rFonts w:hint="eastAsia"/>
        </w:rPr>
        <w:t>，</w:t>
      </w:r>
      <w:r w:rsidRPr="00DC3A0D">
        <w:rPr>
          <w:rFonts w:hint="eastAsia"/>
        </w:rPr>
        <w:t>住户贷款增速有所放缓</w:t>
      </w:r>
      <w:r w:rsidR="006005C4" w:rsidRPr="00DC3A0D">
        <w:rPr>
          <w:rFonts w:hint="eastAsia"/>
        </w:rPr>
        <w:t>，</w:t>
      </w:r>
      <w:r w:rsidRPr="00DC3A0D">
        <w:rPr>
          <w:rFonts w:hint="eastAsia"/>
        </w:rPr>
        <w:t>非金融企业及机关团体贷款增速有所上升，但两者规模仍较为接近。</w:t>
      </w:r>
    </w:p>
    <w:p w14:paraId="6DA71CAA" w14:textId="6AD85B49" w:rsidR="00A3383D" w:rsidRPr="00DC3A0D" w:rsidRDefault="00B768F4" w:rsidP="00713B93">
      <w:pPr>
        <w:ind w:firstLineChars="200" w:firstLine="420"/>
      </w:pPr>
      <w:r w:rsidRPr="00DC3A0D">
        <w:rPr>
          <w:rFonts w:hint="eastAsia"/>
        </w:rPr>
        <w:t>第二，</w:t>
      </w:r>
      <w:r w:rsidR="00B4626A">
        <w:rPr>
          <w:rFonts w:hint="eastAsia"/>
        </w:rPr>
        <w:t>非</w:t>
      </w:r>
      <w:r w:rsidR="00A3383D" w:rsidRPr="00DC3A0D">
        <w:rPr>
          <w:rFonts w:hint="eastAsia"/>
        </w:rPr>
        <w:t>金融企业部门净融入率降低。通常而言，非金融企业部门是一国经济中最主要的资金净融入部门。我国在上世纪</w:t>
      </w:r>
      <w:r w:rsidR="00A3383D" w:rsidRPr="00DC3A0D">
        <w:t>90</w:t>
      </w:r>
      <w:r w:rsidR="00A3383D" w:rsidRPr="00DC3A0D">
        <w:rPr>
          <w:rFonts w:hint="eastAsia"/>
        </w:rPr>
        <w:t>年代之后的大部分历史时期也呈现这一特征，非金融企业部门是国民经济中最大的资金净融入方。上世纪</w:t>
      </w:r>
      <w:r w:rsidR="00A3383D" w:rsidRPr="00DC3A0D">
        <w:rPr>
          <w:rFonts w:hint="eastAsia"/>
        </w:rPr>
        <w:t>9</w:t>
      </w:r>
      <w:r w:rsidR="00A3383D" w:rsidRPr="00DC3A0D">
        <w:t>0</w:t>
      </w:r>
      <w:r w:rsidR="00A3383D" w:rsidRPr="00DC3A0D">
        <w:rPr>
          <w:rFonts w:hint="eastAsia"/>
        </w:rPr>
        <w:t>年代初期和中期，非金融企业部门的资金净融入率（资金净融入</w:t>
      </w:r>
      <w:r w:rsidR="00A3383D" w:rsidRPr="00DC3A0D">
        <w:rPr>
          <w:rFonts w:hint="eastAsia"/>
        </w:rPr>
        <w:t>/</w:t>
      </w:r>
      <w:r w:rsidR="00A3383D" w:rsidRPr="00DC3A0D">
        <w:t>GDP</w:t>
      </w:r>
      <w:r w:rsidR="00A3383D" w:rsidRPr="00DC3A0D">
        <w:rPr>
          <w:rFonts w:hint="eastAsia"/>
        </w:rPr>
        <w:t>）达到</w:t>
      </w:r>
      <w:r w:rsidR="00A3383D" w:rsidRPr="00DC3A0D">
        <w:rPr>
          <w:rFonts w:hint="eastAsia"/>
        </w:rPr>
        <w:t>1</w:t>
      </w:r>
      <w:r w:rsidR="00A3383D" w:rsidRPr="00DC3A0D">
        <w:t>4</w:t>
      </w:r>
      <w:r w:rsidR="00A3383D" w:rsidRPr="00DC3A0D">
        <w:rPr>
          <w:rFonts w:hint="eastAsia"/>
        </w:rPr>
        <w:t>%</w:t>
      </w:r>
      <w:r w:rsidR="00A3383D" w:rsidRPr="00DC3A0D">
        <w:rPr>
          <w:rFonts w:hint="eastAsia"/>
        </w:rPr>
        <w:t>左右</w:t>
      </w:r>
      <w:r w:rsidR="0041762B">
        <w:rPr>
          <w:rFonts w:hint="eastAsia"/>
        </w:rPr>
        <w:t>。</w:t>
      </w:r>
      <w:r w:rsidR="00A3383D" w:rsidRPr="00DC3A0D">
        <w:rPr>
          <w:rFonts w:hint="eastAsia"/>
        </w:rPr>
        <w:t>2</w:t>
      </w:r>
      <w:r w:rsidR="00A3383D" w:rsidRPr="00DC3A0D">
        <w:t>000</w:t>
      </w:r>
      <w:r w:rsidR="00A3383D" w:rsidRPr="00DC3A0D">
        <w:rPr>
          <w:rFonts w:hint="eastAsia"/>
        </w:rPr>
        <w:t>年到全球金融危机之前，非金融企业部门资金净融入率的波动中枢大致位于</w:t>
      </w:r>
      <w:r w:rsidR="00A3383D" w:rsidRPr="00DC3A0D">
        <w:rPr>
          <w:rFonts w:hint="eastAsia"/>
        </w:rPr>
        <w:t>6</w:t>
      </w:r>
      <w:r w:rsidR="00A3383D" w:rsidRPr="00DC3A0D">
        <w:t>.5</w:t>
      </w:r>
      <w:r w:rsidR="00A3383D" w:rsidRPr="00DC3A0D">
        <w:rPr>
          <w:rFonts w:hint="eastAsia"/>
        </w:rPr>
        <w:t>%</w:t>
      </w:r>
      <w:r w:rsidR="00A3383D" w:rsidRPr="00DC3A0D">
        <w:rPr>
          <w:rFonts w:hint="eastAsia"/>
        </w:rPr>
        <w:t>附近</w:t>
      </w:r>
      <w:r w:rsidR="0041762B">
        <w:rPr>
          <w:rFonts w:hint="eastAsia"/>
        </w:rPr>
        <w:t>。</w:t>
      </w:r>
      <w:r w:rsidR="00A3383D" w:rsidRPr="00DC3A0D">
        <w:rPr>
          <w:rFonts w:hint="eastAsia"/>
        </w:rPr>
        <w:t>“四万亿”刺激政策前后</w:t>
      </w:r>
      <w:r w:rsidR="0041762B">
        <w:rPr>
          <w:rFonts w:hint="eastAsia"/>
        </w:rPr>
        <w:t>其</w:t>
      </w:r>
      <w:r w:rsidR="00A3383D" w:rsidRPr="00DC3A0D">
        <w:rPr>
          <w:rFonts w:hint="eastAsia"/>
        </w:rPr>
        <w:t>受政策影响变动较大，此后</w:t>
      </w:r>
      <w:r w:rsidR="00DD72BF" w:rsidRPr="00DC3A0D">
        <w:rPr>
          <w:rFonts w:hint="eastAsia"/>
        </w:rPr>
        <w:t>便</w:t>
      </w:r>
      <w:r w:rsidR="00A3383D" w:rsidRPr="00DC3A0D">
        <w:rPr>
          <w:rFonts w:hint="eastAsia"/>
        </w:rPr>
        <w:t>开始趋势性下降，到</w:t>
      </w:r>
      <w:r w:rsidR="00A3383D" w:rsidRPr="00DC3A0D">
        <w:rPr>
          <w:rFonts w:hint="eastAsia"/>
        </w:rPr>
        <w:t>2</w:t>
      </w:r>
      <w:r w:rsidR="00A3383D" w:rsidRPr="00DC3A0D">
        <w:t>015</w:t>
      </w:r>
      <w:r w:rsidR="00A3383D" w:rsidRPr="00DC3A0D">
        <w:rPr>
          <w:rFonts w:hint="eastAsia"/>
        </w:rPr>
        <w:t>年和</w:t>
      </w:r>
      <w:r w:rsidR="00A3383D" w:rsidRPr="00DC3A0D">
        <w:t>2016</w:t>
      </w:r>
      <w:r w:rsidR="00A3383D" w:rsidRPr="00DC3A0D">
        <w:rPr>
          <w:rFonts w:hint="eastAsia"/>
        </w:rPr>
        <w:t>年甚至降至</w:t>
      </w:r>
      <w:r w:rsidR="00A3383D" w:rsidRPr="00DC3A0D">
        <w:rPr>
          <w:rFonts w:hint="eastAsia"/>
        </w:rPr>
        <w:t>1</w:t>
      </w:r>
      <w:r w:rsidR="00A3383D" w:rsidRPr="00DC3A0D">
        <w:t>.6</w:t>
      </w:r>
      <w:r w:rsidR="00A3383D" w:rsidRPr="00DC3A0D">
        <w:rPr>
          <w:rFonts w:hint="eastAsia"/>
        </w:rPr>
        <w:t>%</w:t>
      </w:r>
      <w:r w:rsidR="00A3383D" w:rsidRPr="00DC3A0D">
        <w:rPr>
          <w:rFonts w:hint="eastAsia"/>
        </w:rPr>
        <w:t>和</w:t>
      </w:r>
      <w:r w:rsidR="00A3383D" w:rsidRPr="00DC3A0D">
        <w:rPr>
          <w:rFonts w:hint="eastAsia"/>
        </w:rPr>
        <w:t>2</w:t>
      </w:r>
      <w:r w:rsidR="00A3383D" w:rsidRPr="00DC3A0D">
        <w:t>.1</w:t>
      </w:r>
      <w:r w:rsidR="00A3383D" w:rsidRPr="00DC3A0D">
        <w:rPr>
          <w:rFonts w:hint="eastAsia"/>
        </w:rPr>
        <w:t>%</w:t>
      </w:r>
      <w:r w:rsidR="00A3383D" w:rsidRPr="00DC3A0D">
        <w:rPr>
          <w:rFonts w:hint="eastAsia"/>
        </w:rPr>
        <w:t>。非金融企业部门在国民经济中的资金净融入地位明显</w:t>
      </w:r>
      <w:r w:rsidR="0041762B">
        <w:rPr>
          <w:rFonts w:hint="eastAsia"/>
        </w:rPr>
        <w:t>下降</w:t>
      </w:r>
      <w:r w:rsidR="00A3383D" w:rsidRPr="00DC3A0D">
        <w:rPr>
          <w:rFonts w:hint="eastAsia"/>
        </w:rPr>
        <w:t>。</w:t>
      </w:r>
    </w:p>
    <w:p w14:paraId="1B796EDA" w14:textId="6A123253" w:rsidR="00A3383D" w:rsidRPr="00DC3A0D" w:rsidRDefault="00A3383D" w:rsidP="00713B93">
      <w:pPr>
        <w:ind w:firstLineChars="200" w:firstLine="420"/>
      </w:pPr>
      <w:r w:rsidRPr="00DC3A0D">
        <w:rPr>
          <w:rFonts w:hint="eastAsia"/>
        </w:rPr>
        <w:t>其中，民营企业特别是中小微</w:t>
      </w:r>
      <w:r w:rsidR="00B0602C" w:rsidRPr="00DC3A0D">
        <w:rPr>
          <w:rFonts w:hint="eastAsia"/>
        </w:rPr>
        <w:t>民营</w:t>
      </w:r>
      <w:r w:rsidRPr="00DC3A0D">
        <w:rPr>
          <w:rFonts w:hint="eastAsia"/>
        </w:rPr>
        <w:t>企业的融资难问题较为突出。</w:t>
      </w:r>
      <w:r w:rsidRPr="00DC3A0D">
        <w:rPr>
          <w:rFonts w:hint="eastAsia"/>
        </w:rPr>
        <w:t>2</w:t>
      </w:r>
      <w:r w:rsidRPr="00DC3A0D">
        <w:t>018</w:t>
      </w:r>
      <w:r w:rsidRPr="00DC3A0D">
        <w:rPr>
          <w:rFonts w:hint="eastAsia"/>
        </w:rPr>
        <w:t>年</w:t>
      </w:r>
      <w:r w:rsidR="0041762B">
        <w:rPr>
          <w:rFonts w:hint="eastAsia"/>
        </w:rPr>
        <w:t>，</w:t>
      </w:r>
      <w:r w:rsidRPr="00DC3A0D">
        <w:rPr>
          <w:rFonts w:hint="eastAsia"/>
        </w:rPr>
        <w:t>民营企业贷款余额在</w:t>
      </w:r>
      <w:r w:rsidRPr="00DC3A0D">
        <w:rPr>
          <w:rFonts w:hint="eastAsia"/>
        </w:rPr>
        <w:lastRenderedPageBreak/>
        <w:t>银行业贷款总余额中的占比约为</w:t>
      </w:r>
      <w:r w:rsidRPr="00DC3A0D">
        <w:rPr>
          <w:rFonts w:hint="eastAsia"/>
        </w:rPr>
        <w:t>2</w:t>
      </w:r>
      <w:r w:rsidRPr="00DC3A0D">
        <w:t>5</w:t>
      </w:r>
      <w:r w:rsidRPr="00DC3A0D">
        <w:rPr>
          <w:rFonts w:hint="eastAsia"/>
        </w:rPr>
        <w:t>%</w:t>
      </w:r>
      <w:r w:rsidRPr="00DC3A0D">
        <w:rPr>
          <w:rFonts w:hint="eastAsia"/>
        </w:rPr>
        <w:t>，远低于民营经济在国民经济中“五六七八九”的重要地位</w:t>
      </w:r>
      <w:r w:rsidRPr="00F51C9C">
        <w:rPr>
          <w:highlight w:val="yellow"/>
          <w:vertAlign w:val="superscript"/>
        </w:rPr>
        <w:footnoteReference w:id="5"/>
      </w:r>
      <w:r w:rsidRPr="00DC3A0D">
        <w:rPr>
          <w:rFonts w:hint="eastAsia"/>
        </w:rPr>
        <w:t>。</w:t>
      </w:r>
      <w:r w:rsidRPr="00DC3A0D">
        <w:rPr>
          <w:rFonts w:hint="eastAsia"/>
        </w:rPr>
        <w:t>2</w:t>
      </w:r>
      <w:r w:rsidRPr="00DC3A0D">
        <w:t>011</w:t>
      </w:r>
      <w:r w:rsidRPr="00DC3A0D">
        <w:rPr>
          <w:rFonts w:hint="eastAsia"/>
        </w:rPr>
        <w:t>-</w:t>
      </w:r>
      <w:r w:rsidRPr="00DC3A0D">
        <w:t>2016</w:t>
      </w:r>
      <w:r w:rsidRPr="00DC3A0D">
        <w:rPr>
          <w:rFonts w:hint="eastAsia"/>
        </w:rPr>
        <w:t>年，大型、中型、小型、微型企业人民币贷款余额占境内企业人民币贷款总余额的平均比例</w:t>
      </w:r>
      <w:r w:rsidR="0041762B">
        <w:rPr>
          <w:rFonts w:hint="eastAsia"/>
        </w:rPr>
        <w:t>分别</w:t>
      </w:r>
      <w:r w:rsidRPr="00DC3A0D">
        <w:rPr>
          <w:rFonts w:hint="eastAsia"/>
        </w:rPr>
        <w:t>为</w:t>
      </w:r>
      <w:r w:rsidRPr="00DC3A0D">
        <w:rPr>
          <w:rFonts w:hint="eastAsia"/>
        </w:rPr>
        <w:t>3</w:t>
      </w:r>
      <w:r w:rsidRPr="00DC3A0D">
        <w:t>5.3</w:t>
      </w:r>
      <w:r w:rsidRPr="00DC3A0D">
        <w:rPr>
          <w:rFonts w:hint="eastAsia"/>
        </w:rPr>
        <w:t>%</w:t>
      </w:r>
      <w:r w:rsidR="0041762B">
        <w:rPr>
          <w:rFonts w:hint="eastAsia"/>
        </w:rPr>
        <w:t>、</w:t>
      </w:r>
      <w:r w:rsidRPr="00DC3A0D">
        <w:rPr>
          <w:rFonts w:hint="eastAsia"/>
        </w:rPr>
        <w:t>3</w:t>
      </w:r>
      <w:r w:rsidRPr="00DC3A0D">
        <w:t>5.0</w:t>
      </w:r>
      <w:r w:rsidRPr="00DC3A0D">
        <w:rPr>
          <w:rFonts w:hint="eastAsia"/>
        </w:rPr>
        <w:t>%</w:t>
      </w:r>
      <w:r w:rsidR="0041762B">
        <w:rPr>
          <w:rFonts w:hint="eastAsia"/>
        </w:rPr>
        <w:t>、</w:t>
      </w:r>
      <w:r w:rsidRPr="00DC3A0D">
        <w:rPr>
          <w:rFonts w:hint="eastAsia"/>
        </w:rPr>
        <w:t>2</w:t>
      </w:r>
      <w:r w:rsidRPr="00DC3A0D">
        <w:t>6.8</w:t>
      </w:r>
      <w:r w:rsidRPr="00DC3A0D">
        <w:rPr>
          <w:rFonts w:hint="eastAsia"/>
        </w:rPr>
        <w:t>%</w:t>
      </w:r>
      <w:r w:rsidR="0041762B">
        <w:rPr>
          <w:rFonts w:hint="eastAsia"/>
        </w:rPr>
        <w:t>、</w:t>
      </w:r>
      <w:r w:rsidRPr="00DC3A0D">
        <w:rPr>
          <w:rFonts w:hint="eastAsia"/>
        </w:rPr>
        <w:t>3</w:t>
      </w:r>
      <w:r w:rsidRPr="00DC3A0D">
        <w:t>.0</w:t>
      </w:r>
      <w:r w:rsidRPr="00DC3A0D">
        <w:rPr>
          <w:rFonts w:hint="eastAsia"/>
        </w:rPr>
        <w:t>%</w:t>
      </w:r>
      <w:r w:rsidRPr="00DC3A0D">
        <w:rPr>
          <w:rFonts w:hint="eastAsia"/>
        </w:rPr>
        <w:t>。加之绝大多数中小微企业难以通过资本市场渠道融资，相比大型企业而言更依赖于银行贷款，因而总体来看中小微企业在正规金融体系中所获得的融资份额与其在国民经济中“五六七八九”的重要地位亦不相称</w:t>
      </w:r>
      <w:r w:rsidRPr="00F51C9C">
        <w:rPr>
          <w:highlight w:val="yellow"/>
          <w:vertAlign w:val="superscript"/>
        </w:rPr>
        <w:footnoteReference w:id="6"/>
      </w:r>
      <w:r w:rsidRPr="00DC3A0D">
        <w:rPr>
          <w:rFonts w:hint="eastAsia"/>
        </w:rPr>
        <w:t>，尤其是</w:t>
      </w:r>
      <w:r w:rsidR="00B4626A">
        <w:rPr>
          <w:rFonts w:hint="eastAsia"/>
        </w:rPr>
        <w:t>对于</w:t>
      </w:r>
      <w:r w:rsidRPr="00DC3A0D">
        <w:rPr>
          <w:rFonts w:hint="eastAsia"/>
        </w:rPr>
        <w:t>小微企业</w:t>
      </w:r>
      <w:r w:rsidR="00B4626A">
        <w:rPr>
          <w:rFonts w:hint="eastAsia"/>
        </w:rPr>
        <w:t>而言，</w:t>
      </w:r>
      <w:r w:rsidRPr="00DC3A0D">
        <w:rPr>
          <w:rFonts w:hint="eastAsia"/>
        </w:rPr>
        <w:t>融资难融资贵问题更为突出。近年来，中央高度重视民营企业和小微企业发展问题，</w:t>
      </w:r>
      <w:r w:rsidR="00B01574" w:rsidRPr="00DC3A0D">
        <w:rPr>
          <w:rFonts w:hint="eastAsia"/>
        </w:rPr>
        <w:t>在多种货币政策工具引导及监管考核压力下，</w:t>
      </w:r>
      <w:r w:rsidRPr="00DC3A0D">
        <w:rPr>
          <w:rFonts w:hint="eastAsia"/>
        </w:rPr>
        <w:t>小微企业（主要是民营企业）贷款增长较快。</w:t>
      </w:r>
      <w:r w:rsidRPr="00DC3A0D">
        <w:rPr>
          <w:rFonts w:hint="eastAsia"/>
        </w:rPr>
        <w:t>2</w:t>
      </w:r>
      <w:r w:rsidRPr="00DC3A0D">
        <w:t>018</w:t>
      </w:r>
      <w:r w:rsidRPr="00DC3A0D">
        <w:rPr>
          <w:rFonts w:hint="eastAsia"/>
        </w:rPr>
        <w:t>年、</w:t>
      </w:r>
      <w:r w:rsidRPr="00DC3A0D">
        <w:rPr>
          <w:rFonts w:hint="eastAsia"/>
        </w:rPr>
        <w:t>2</w:t>
      </w:r>
      <w:r w:rsidRPr="00DC3A0D">
        <w:t>019</w:t>
      </w:r>
      <w:r w:rsidRPr="00DC3A0D">
        <w:rPr>
          <w:rFonts w:hint="eastAsia"/>
        </w:rPr>
        <w:t>年和</w:t>
      </w:r>
      <w:r w:rsidRPr="00DC3A0D">
        <w:rPr>
          <w:rFonts w:hint="eastAsia"/>
        </w:rPr>
        <w:t>2</w:t>
      </w:r>
      <w:r w:rsidRPr="00DC3A0D">
        <w:t>020</w:t>
      </w:r>
      <w:r w:rsidRPr="00DC3A0D">
        <w:rPr>
          <w:rFonts w:hint="eastAsia"/>
        </w:rPr>
        <w:t>年普惠型小微贷款余额的同比增速分别达到</w:t>
      </w:r>
      <w:r w:rsidRPr="00DC3A0D">
        <w:rPr>
          <w:rFonts w:hint="eastAsia"/>
        </w:rPr>
        <w:t>1</w:t>
      </w:r>
      <w:r w:rsidRPr="00DC3A0D">
        <w:t>8.0</w:t>
      </w:r>
      <w:r w:rsidRPr="00DC3A0D">
        <w:rPr>
          <w:rFonts w:hint="eastAsia"/>
        </w:rPr>
        <w:t>%</w:t>
      </w:r>
      <w:r w:rsidRPr="00DC3A0D">
        <w:rPr>
          <w:rFonts w:hint="eastAsia"/>
        </w:rPr>
        <w:t>、</w:t>
      </w:r>
      <w:r w:rsidRPr="00DC3A0D">
        <w:rPr>
          <w:rFonts w:hint="eastAsia"/>
        </w:rPr>
        <w:t>2</w:t>
      </w:r>
      <w:r w:rsidRPr="00DC3A0D">
        <w:t>3.1</w:t>
      </w:r>
      <w:r w:rsidRPr="00DC3A0D">
        <w:rPr>
          <w:rFonts w:hint="eastAsia"/>
        </w:rPr>
        <w:t>%</w:t>
      </w:r>
      <w:r w:rsidRPr="00DC3A0D">
        <w:rPr>
          <w:rFonts w:hint="eastAsia"/>
        </w:rPr>
        <w:t>和</w:t>
      </w:r>
      <w:r w:rsidR="00B95E74" w:rsidRPr="00DC3A0D">
        <w:t>30.3</w:t>
      </w:r>
      <w:r w:rsidRPr="00DC3A0D">
        <w:rPr>
          <w:rFonts w:hint="eastAsia"/>
        </w:rPr>
        <w:t>%</w:t>
      </w:r>
      <w:r w:rsidR="003E7985" w:rsidRPr="00F51C9C">
        <w:rPr>
          <w:rStyle w:val="aa"/>
          <w:highlight w:val="yellow"/>
        </w:rPr>
        <w:footnoteReference w:id="7"/>
      </w:r>
      <w:r w:rsidRPr="00DC3A0D">
        <w:rPr>
          <w:rFonts w:hint="eastAsia"/>
        </w:rPr>
        <w:t>，远高于同期一般企业贷款平均增速。截至</w:t>
      </w:r>
      <w:r w:rsidRPr="00DC3A0D">
        <w:rPr>
          <w:rFonts w:hint="eastAsia"/>
        </w:rPr>
        <w:t>2</w:t>
      </w:r>
      <w:r w:rsidRPr="00DC3A0D">
        <w:t>020</w:t>
      </w:r>
      <w:r w:rsidRPr="00DC3A0D">
        <w:rPr>
          <w:rFonts w:hint="eastAsia"/>
        </w:rPr>
        <w:t>年末，普惠型小微贷款余额已达到</w:t>
      </w:r>
      <w:r w:rsidR="00646D24" w:rsidRPr="00DC3A0D">
        <w:t>15.1</w:t>
      </w:r>
      <w:r w:rsidRPr="00DC3A0D">
        <w:rPr>
          <w:rFonts w:hint="eastAsia"/>
        </w:rPr>
        <w:t>万亿元，相比</w:t>
      </w:r>
      <w:r w:rsidR="00646D24" w:rsidRPr="00DC3A0D">
        <w:rPr>
          <w:rFonts w:hint="eastAsia"/>
        </w:rPr>
        <w:t>最早有统计数据的</w:t>
      </w:r>
      <w:r w:rsidRPr="00DC3A0D">
        <w:rPr>
          <w:rFonts w:hint="eastAsia"/>
        </w:rPr>
        <w:t>2</w:t>
      </w:r>
      <w:r w:rsidRPr="00DC3A0D">
        <w:t>018</w:t>
      </w:r>
      <w:r w:rsidRPr="00DC3A0D">
        <w:rPr>
          <w:rFonts w:hint="eastAsia"/>
        </w:rPr>
        <w:t>年一季度末增长</w:t>
      </w:r>
      <w:r w:rsidR="00646D24" w:rsidRPr="00DC3A0D">
        <w:rPr>
          <w:rFonts w:hint="eastAsia"/>
        </w:rPr>
        <w:t>了</w:t>
      </w:r>
      <w:r w:rsidR="00646D24" w:rsidRPr="00DC3A0D">
        <w:t>8.1</w:t>
      </w:r>
      <w:r w:rsidRPr="00DC3A0D">
        <w:rPr>
          <w:rFonts w:hint="eastAsia"/>
        </w:rPr>
        <w:t>万亿元</w:t>
      </w:r>
      <w:r w:rsidR="00727052" w:rsidRPr="00F51C9C">
        <w:rPr>
          <w:rStyle w:val="aa"/>
          <w:highlight w:val="yellow"/>
        </w:rPr>
        <w:footnoteReference w:id="8"/>
      </w:r>
      <w:r w:rsidRPr="00DC3A0D">
        <w:rPr>
          <w:rFonts w:hint="eastAsia"/>
        </w:rPr>
        <w:t>。为了进一步化解民营企业尤其是中小微企业的融资困难，金融监管部门提出了民营企业贷款要实现“一二五”目标，即“在新增的公司类贷款中，大型银行对民营企业的贷款不低于</w:t>
      </w:r>
      <w:r w:rsidRPr="00DC3A0D">
        <w:t>1/3</w:t>
      </w:r>
      <w:r w:rsidRPr="00DC3A0D">
        <w:t>，中小型银行不低于</w:t>
      </w:r>
      <w:r w:rsidRPr="00DC3A0D">
        <w:t>2/3</w:t>
      </w:r>
      <w:r w:rsidRPr="00DC3A0D">
        <w:t>，争取</w:t>
      </w:r>
      <w:r w:rsidRPr="00DC3A0D">
        <w:t>3</w:t>
      </w:r>
      <w:r w:rsidRPr="00DC3A0D">
        <w:t>年以后，银行业对民营企业的贷款占新增公司类贷款的比例不低于</w:t>
      </w:r>
      <w:r w:rsidRPr="00DC3A0D">
        <w:t>50%</w:t>
      </w:r>
      <w:r w:rsidRPr="00DC3A0D">
        <w:rPr>
          <w:rFonts w:hint="eastAsia"/>
        </w:rPr>
        <w:t>”</w:t>
      </w:r>
      <w:r w:rsidR="0041762B" w:rsidRPr="00F51C9C">
        <w:rPr>
          <w:highlight w:val="yellow"/>
          <w:vertAlign w:val="superscript"/>
        </w:rPr>
        <w:footnoteReference w:id="9"/>
      </w:r>
      <w:r w:rsidRPr="00DC3A0D">
        <w:rPr>
          <w:rFonts w:hint="eastAsia"/>
        </w:rPr>
        <w:t>。</w:t>
      </w:r>
    </w:p>
    <w:p w14:paraId="634F4BD2" w14:textId="57218958" w:rsidR="00A3383D" w:rsidRPr="00DC3A0D" w:rsidRDefault="00B768F4" w:rsidP="00713B93">
      <w:pPr>
        <w:ind w:firstLineChars="200" w:firstLine="420"/>
      </w:pPr>
      <w:r w:rsidRPr="00DC3A0D">
        <w:rPr>
          <w:rFonts w:hint="eastAsia"/>
        </w:rPr>
        <w:t>第三，</w:t>
      </w:r>
      <w:r w:rsidR="00CB1A22" w:rsidRPr="00DC3A0D">
        <w:rPr>
          <w:rFonts w:hint="eastAsia"/>
        </w:rPr>
        <w:t>广义</w:t>
      </w:r>
      <w:r w:rsidR="00A3383D" w:rsidRPr="00DC3A0D">
        <w:rPr>
          <w:rFonts w:hint="eastAsia"/>
        </w:rPr>
        <w:t>政府部门成为日益重要的融资主体。根据资金流量表金融交易</w:t>
      </w:r>
      <w:r w:rsidR="005C4582" w:rsidRPr="00DC3A0D">
        <w:rPr>
          <w:rFonts w:hint="eastAsia"/>
        </w:rPr>
        <w:t>部分</w:t>
      </w:r>
      <w:r w:rsidR="008F422A" w:rsidRPr="00DC3A0D">
        <w:rPr>
          <w:rFonts w:hint="eastAsia"/>
        </w:rPr>
        <w:t>的</w:t>
      </w:r>
      <w:r w:rsidR="00A3383D" w:rsidRPr="00DC3A0D">
        <w:rPr>
          <w:rFonts w:hint="eastAsia"/>
        </w:rPr>
        <w:t>统计数据，政府部门在上世纪</w:t>
      </w:r>
      <w:r w:rsidR="00A3383D" w:rsidRPr="00DC3A0D">
        <w:rPr>
          <w:rFonts w:hint="eastAsia"/>
        </w:rPr>
        <w:t>9</w:t>
      </w:r>
      <w:r w:rsidR="00A3383D" w:rsidRPr="00DC3A0D">
        <w:t>0</w:t>
      </w:r>
      <w:r w:rsidR="00A3383D" w:rsidRPr="00DC3A0D">
        <w:rPr>
          <w:rFonts w:hint="eastAsia"/>
        </w:rPr>
        <w:t>年代初到</w:t>
      </w:r>
      <w:r w:rsidR="00A3383D" w:rsidRPr="00DC3A0D">
        <w:rPr>
          <w:rFonts w:hint="eastAsia"/>
        </w:rPr>
        <w:t>2</w:t>
      </w:r>
      <w:r w:rsidR="00A3383D" w:rsidRPr="00DC3A0D">
        <w:t>004</w:t>
      </w:r>
      <w:r w:rsidR="00A3383D" w:rsidRPr="00DC3A0D">
        <w:rPr>
          <w:rFonts w:hint="eastAsia"/>
        </w:rPr>
        <w:t>年期间是资金净融入部门，</w:t>
      </w:r>
      <w:r w:rsidR="00A3383D" w:rsidRPr="00DC3A0D">
        <w:rPr>
          <w:rFonts w:hint="eastAsia"/>
        </w:rPr>
        <w:t>2</w:t>
      </w:r>
      <w:r w:rsidR="00A3383D" w:rsidRPr="00DC3A0D">
        <w:t>005</w:t>
      </w:r>
      <w:r w:rsidR="00A3383D" w:rsidRPr="00DC3A0D">
        <w:rPr>
          <w:rFonts w:hint="eastAsia"/>
        </w:rPr>
        <w:t>-</w:t>
      </w:r>
      <w:r w:rsidR="00A3383D" w:rsidRPr="00DC3A0D">
        <w:t>2014</w:t>
      </w:r>
      <w:r w:rsidR="00A3383D" w:rsidRPr="00DC3A0D">
        <w:rPr>
          <w:rFonts w:hint="eastAsia"/>
        </w:rPr>
        <w:t>年的大部分时间里是资金净融出部门</w:t>
      </w:r>
      <w:r w:rsidR="00344F6D">
        <w:rPr>
          <w:rFonts w:hint="eastAsia"/>
        </w:rPr>
        <w:t>。</w:t>
      </w:r>
      <w:r w:rsidR="00A3383D" w:rsidRPr="00DC3A0D">
        <w:rPr>
          <w:rFonts w:hint="eastAsia"/>
        </w:rPr>
        <w:t>2</w:t>
      </w:r>
      <w:r w:rsidR="00A3383D" w:rsidRPr="00DC3A0D">
        <w:t>015</w:t>
      </w:r>
      <w:r w:rsidR="00A3383D" w:rsidRPr="00DC3A0D">
        <w:rPr>
          <w:rFonts w:hint="eastAsia"/>
        </w:rPr>
        <w:t>年之后，由于政府一般债券、专项债券发行规模的上升以及地方政府部分隐性债务的显性化，政府部门资金融入增长较快，呈现出再度成为净融入部门的趋势。据测算，“广义政府部门”融资</w:t>
      </w:r>
      <w:r w:rsidR="00A3383D" w:rsidRPr="00F51C9C">
        <w:rPr>
          <w:highlight w:val="yellow"/>
          <w:vertAlign w:val="superscript"/>
        </w:rPr>
        <w:footnoteReference w:id="10"/>
      </w:r>
      <w:r w:rsidR="00A3383D" w:rsidRPr="00DC3A0D">
        <w:rPr>
          <w:rFonts w:hint="eastAsia"/>
        </w:rPr>
        <w:t>在</w:t>
      </w:r>
      <w:r w:rsidR="00A3383D" w:rsidRPr="00DC3A0D">
        <w:rPr>
          <w:rFonts w:hint="eastAsia"/>
        </w:rPr>
        <w:t>2</w:t>
      </w:r>
      <w:r w:rsidR="00A3383D" w:rsidRPr="00DC3A0D">
        <w:t>018</w:t>
      </w:r>
      <w:r w:rsidR="00A3383D" w:rsidRPr="00DC3A0D">
        <w:rPr>
          <w:rFonts w:hint="eastAsia"/>
        </w:rPr>
        <w:t>年社会融资规模增量中的占比已经达到</w:t>
      </w:r>
      <w:r w:rsidR="00A3383D" w:rsidRPr="00DC3A0D">
        <w:rPr>
          <w:rFonts w:hint="eastAsia"/>
        </w:rPr>
        <w:t>3</w:t>
      </w:r>
      <w:r w:rsidR="00A3383D" w:rsidRPr="00DC3A0D">
        <w:t>1.2</w:t>
      </w:r>
      <w:r w:rsidR="00A3383D" w:rsidRPr="00DC3A0D">
        <w:rPr>
          <w:rFonts w:hint="eastAsia"/>
        </w:rPr>
        <w:t>%</w:t>
      </w:r>
      <w:r w:rsidR="00A3383D" w:rsidRPr="00DC3A0D">
        <w:rPr>
          <w:rFonts w:hint="eastAsia"/>
        </w:rPr>
        <w:t>，与住户部门和非企业部门</w:t>
      </w:r>
      <w:r w:rsidR="00EA2E0B">
        <w:rPr>
          <w:rFonts w:hint="eastAsia"/>
        </w:rPr>
        <w:t>大体上</w:t>
      </w:r>
      <w:r w:rsidR="00A3383D" w:rsidRPr="00DC3A0D">
        <w:rPr>
          <w:rFonts w:hint="eastAsia"/>
        </w:rPr>
        <w:t>形成“三分天下”之势。</w:t>
      </w:r>
    </w:p>
    <w:p w14:paraId="1CD302C6" w14:textId="3C9EE417" w:rsidR="00A3383D" w:rsidRPr="00DC3A0D" w:rsidRDefault="00A3383D" w:rsidP="0046501C">
      <w:pPr>
        <w:ind w:firstLineChars="200" w:firstLine="420"/>
        <w:rPr>
          <w:rFonts w:ascii="宋体" w:hAnsi="宋体"/>
        </w:rPr>
      </w:pPr>
      <w:r w:rsidRPr="00DC3A0D">
        <w:rPr>
          <w:rFonts w:hint="eastAsia"/>
        </w:rPr>
        <w:t>除了上述三大部门</w:t>
      </w:r>
      <w:r w:rsidR="00514C10">
        <w:rPr>
          <w:rFonts w:hint="eastAsia"/>
        </w:rPr>
        <w:t>以</w:t>
      </w:r>
      <w:r w:rsidRPr="00DC3A0D">
        <w:rPr>
          <w:rFonts w:hint="eastAsia"/>
        </w:rPr>
        <w:t>外，金融机构部门在过去十年间扩张较快，</w:t>
      </w:r>
      <w:r w:rsidR="00781744">
        <w:rPr>
          <w:rFonts w:hint="eastAsia"/>
        </w:rPr>
        <w:t>在国民经济资金流量体系中</w:t>
      </w:r>
      <w:r w:rsidRPr="00DC3A0D">
        <w:rPr>
          <w:rFonts w:hint="eastAsia"/>
        </w:rPr>
        <w:t>成为资金净融入部门。</w:t>
      </w:r>
      <w:r w:rsidR="00053449" w:rsidRPr="00DC3A0D">
        <w:rPr>
          <w:rFonts w:hint="eastAsia"/>
        </w:rPr>
        <w:t>但</w:t>
      </w:r>
      <w:r w:rsidRPr="00DC3A0D">
        <w:rPr>
          <w:rFonts w:hint="eastAsia"/>
        </w:rPr>
        <w:t>这种局面在</w:t>
      </w:r>
      <w:r w:rsidRPr="00DC3A0D">
        <w:rPr>
          <w:rFonts w:hint="eastAsia"/>
        </w:rPr>
        <w:t>2</w:t>
      </w:r>
      <w:r w:rsidRPr="00DC3A0D">
        <w:t>017</w:t>
      </w:r>
      <w:r w:rsidRPr="00DC3A0D">
        <w:rPr>
          <w:rFonts w:hint="eastAsia"/>
        </w:rPr>
        <w:t>年金融去杠杆、监管强化之后得到一定程度改变。在经常项目顺差大幅收窄的同时，国外部门的资金净融入率也由全球金融危机前</w:t>
      </w:r>
      <w:r w:rsidRPr="00DC3A0D">
        <w:rPr>
          <w:rFonts w:hint="eastAsia"/>
        </w:rPr>
        <w:t>9</w:t>
      </w:r>
      <w:r w:rsidRPr="00DC3A0D">
        <w:t>.8</w:t>
      </w:r>
      <w:r w:rsidRPr="00DC3A0D">
        <w:rPr>
          <w:rFonts w:hint="eastAsia"/>
        </w:rPr>
        <w:t>%</w:t>
      </w:r>
      <w:r w:rsidRPr="00DC3A0D">
        <w:rPr>
          <w:rFonts w:hint="eastAsia"/>
        </w:rPr>
        <w:t>的高点降至</w:t>
      </w:r>
      <w:r w:rsidRPr="00DC3A0D">
        <w:rPr>
          <w:rFonts w:hint="eastAsia"/>
        </w:rPr>
        <w:t>2%</w:t>
      </w:r>
      <w:r w:rsidRPr="00DC3A0D">
        <w:rPr>
          <w:rFonts w:hint="eastAsia"/>
        </w:rPr>
        <w:t>以内。</w:t>
      </w:r>
    </w:p>
    <w:p w14:paraId="0F7891E4" w14:textId="6BAC91E3" w:rsidR="00EA46A2" w:rsidRPr="00DC3A0D" w:rsidRDefault="00EA46A2" w:rsidP="00EA46A2">
      <w:pPr>
        <w:jc w:val="center"/>
        <w:rPr>
          <w:rFonts w:ascii="宋体" w:hAnsi="宋体"/>
        </w:rPr>
      </w:pPr>
    </w:p>
    <w:p w14:paraId="59093A1A" w14:textId="5C3E25B2" w:rsidR="00ED2B41" w:rsidRPr="00DC3A0D" w:rsidRDefault="00C025CD" w:rsidP="00EA46A2">
      <w:pPr>
        <w:jc w:val="center"/>
        <w:rPr>
          <w:rFonts w:ascii="宋体" w:hAnsi="宋体"/>
        </w:rPr>
      </w:pPr>
      <w:r w:rsidRPr="00DC3A0D">
        <w:rPr>
          <w:rFonts w:ascii="宋体" w:hAnsi="宋体"/>
          <w:noProof/>
        </w:rPr>
        <w:lastRenderedPageBreak/>
        <w:drawing>
          <wp:inline distT="0" distB="0" distL="0" distR="0" wp14:anchorId="22A5D565" wp14:editId="52C35F3F">
            <wp:extent cx="3367940" cy="190627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89370" cy="1918400"/>
                    </a:xfrm>
                    <a:prstGeom prst="rect">
                      <a:avLst/>
                    </a:prstGeom>
                    <a:noFill/>
                  </pic:spPr>
                </pic:pic>
              </a:graphicData>
            </a:graphic>
          </wp:inline>
        </w:drawing>
      </w:r>
    </w:p>
    <w:p w14:paraId="1F819F50" w14:textId="1A429201" w:rsidR="00EA46A2" w:rsidRPr="00DC3A0D" w:rsidRDefault="00EA46A2" w:rsidP="00EA46A2">
      <w:pPr>
        <w:jc w:val="center"/>
        <w:rPr>
          <w:rFonts w:ascii="楷体" w:eastAsia="楷体" w:hAnsi="楷体"/>
        </w:rPr>
      </w:pPr>
      <w:r w:rsidRPr="00DC3A0D">
        <w:rPr>
          <w:rFonts w:ascii="楷体" w:eastAsia="楷体" w:hAnsi="楷体" w:hint="eastAsia"/>
        </w:rPr>
        <w:t>图</w:t>
      </w:r>
      <w:r w:rsidR="00551612" w:rsidRPr="00DC3A0D">
        <w:rPr>
          <w:rFonts w:ascii="楷体" w:eastAsia="楷体" w:hAnsi="楷体" w:hint="eastAsia"/>
        </w:rPr>
        <w:t>2</w:t>
      </w:r>
      <w:r w:rsidR="00181149">
        <w:rPr>
          <w:rFonts w:ascii="楷体" w:eastAsia="楷体" w:hAnsi="楷体"/>
        </w:rPr>
        <w:t xml:space="preserve">  </w:t>
      </w:r>
      <w:r w:rsidRPr="00DC3A0D">
        <w:rPr>
          <w:rFonts w:ascii="楷体" w:eastAsia="楷体" w:hAnsi="楷体" w:hint="eastAsia"/>
        </w:rPr>
        <w:t>各部门资金净融入率</w:t>
      </w:r>
    </w:p>
    <w:p w14:paraId="2F05F3ED" w14:textId="7EA09E34" w:rsidR="00EA46A2" w:rsidRPr="00F51C9C" w:rsidRDefault="00301490" w:rsidP="00EA46A2">
      <w:pPr>
        <w:jc w:val="center"/>
        <w:rPr>
          <w:rFonts w:ascii="楷体" w:eastAsia="楷体" w:hAnsi="楷体"/>
          <w:sz w:val="15"/>
          <w:szCs w:val="15"/>
        </w:rPr>
      </w:pPr>
      <w:r>
        <w:rPr>
          <w:rFonts w:ascii="楷体" w:eastAsia="楷体" w:hAnsi="楷体" w:hint="eastAsia"/>
          <w:sz w:val="15"/>
          <w:szCs w:val="15"/>
        </w:rPr>
        <w:t xml:space="preserve"> </w:t>
      </w:r>
      <w:r>
        <w:rPr>
          <w:rFonts w:ascii="楷体" w:eastAsia="楷体" w:hAnsi="楷体"/>
          <w:sz w:val="15"/>
          <w:szCs w:val="15"/>
        </w:rPr>
        <w:t xml:space="preserve"> </w:t>
      </w:r>
      <w:r w:rsidR="00486537" w:rsidRPr="00F51C9C">
        <w:rPr>
          <w:rFonts w:ascii="楷体" w:eastAsia="楷体" w:hAnsi="楷体" w:hint="eastAsia"/>
          <w:sz w:val="15"/>
          <w:szCs w:val="15"/>
        </w:rPr>
        <w:t>注：（</w:t>
      </w:r>
      <w:r w:rsidR="00486537" w:rsidRPr="00F51C9C">
        <w:rPr>
          <w:rFonts w:ascii="楷体" w:eastAsia="楷体" w:hAnsi="楷体"/>
          <w:sz w:val="15"/>
          <w:szCs w:val="15"/>
        </w:rPr>
        <w:t>1）图中为三年移动平均线；</w:t>
      </w:r>
      <w:r w:rsidR="00A20F0D" w:rsidRPr="00F51C9C">
        <w:rPr>
          <w:rFonts w:ascii="楷体" w:eastAsia="楷体" w:hAnsi="楷体" w:hint="eastAsia"/>
          <w:sz w:val="15"/>
          <w:szCs w:val="15"/>
        </w:rPr>
        <w:t>（</w:t>
      </w:r>
      <w:r w:rsidR="00A20F0D" w:rsidRPr="00F51C9C">
        <w:rPr>
          <w:rFonts w:ascii="楷体" w:eastAsia="楷体" w:hAnsi="楷体"/>
          <w:sz w:val="15"/>
          <w:szCs w:val="15"/>
        </w:rPr>
        <w:t>2）</w:t>
      </w:r>
      <w:r w:rsidR="00EA46A2" w:rsidRPr="00F51C9C">
        <w:rPr>
          <w:rFonts w:ascii="楷体" w:eastAsia="楷体" w:hAnsi="楷体" w:hint="eastAsia"/>
          <w:sz w:val="15"/>
          <w:szCs w:val="15"/>
        </w:rPr>
        <w:t>数据来源</w:t>
      </w:r>
      <w:r w:rsidR="00A20F0D" w:rsidRPr="00F51C9C">
        <w:rPr>
          <w:rFonts w:ascii="楷体" w:eastAsia="楷体" w:hAnsi="楷体" w:hint="eastAsia"/>
          <w:sz w:val="15"/>
          <w:szCs w:val="15"/>
        </w:rPr>
        <w:t>为</w:t>
      </w:r>
      <w:r w:rsidR="00EA46A2" w:rsidRPr="00F51C9C">
        <w:rPr>
          <w:rFonts w:ascii="楷体" w:eastAsia="楷体" w:hAnsi="楷体" w:hint="eastAsia"/>
          <w:sz w:val="15"/>
          <w:szCs w:val="15"/>
        </w:rPr>
        <w:t>作者根据国家统计局</w:t>
      </w:r>
      <w:r w:rsidR="0013145C">
        <w:rPr>
          <w:rFonts w:ascii="楷体" w:eastAsia="楷体" w:hAnsi="楷体" w:hint="eastAsia"/>
          <w:sz w:val="15"/>
          <w:szCs w:val="15"/>
        </w:rPr>
        <w:t>历年</w:t>
      </w:r>
      <w:r w:rsidR="00EA46A2" w:rsidRPr="00F51C9C">
        <w:rPr>
          <w:rFonts w:ascii="楷体" w:eastAsia="楷体" w:hAnsi="楷体" w:hint="eastAsia"/>
          <w:sz w:val="15"/>
          <w:szCs w:val="15"/>
        </w:rPr>
        <w:t>《资金流量表（金融交易）》计算</w:t>
      </w:r>
      <w:r w:rsidR="001B105C" w:rsidRPr="00F51C9C">
        <w:rPr>
          <w:rStyle w:val="aa"/>
          <w:rFonts w:ascii="楷体" w:eastAsia="楷体" w:hAnsi="楷体"/>
          <w:sz w:val="15"/>
          <w:szCs w:val="15"/>
          <w:highlight w:val="yellow"/>
        </w:rPr>
        <w:footnoteReference w:id="11"/>
      </w:r>
      <w:r w:rsidR="00EA46A2" w:rsidRPr="00F51C9C">
        <w:rPr>
          <w:rFonts w:ascii="楷体" w:eastAsia="楷体" w:hAnsi="楷体" w:hint="eastAsia"/>
          <w:sz w:val="15"/>
          <w:szCs w:val="15"/>
        </w:rPr>
        <w:t>。</w:t>
      </w:r>
    </w:p>
    <w:p w14:paraId="2C2CAA24" w14:textId="77777777" w:rsidR="00EA46A2" w:rsidRPr="00DC3A0D" w:rsidRDefault="00EA46A2" w:rsidP="00EA46A2">
      <w:pPr>
        <w:jc w:val="center"/>
        <w:rPr>
          <w:rFonts w:ascii="楷体" w:eastAsia="楷体" w:hAnsi="楷体"/>
        </w:rPr>
      </w:pPr>
    </w:p>
    <w:p w14:paraId="0B67C0BD" w14:textId="1A28D6CC" w:rsidR="00BD3D64" w:rsidRPr="00DC3A0D" w:rsidRDefault="00BD3D64" w:rsidP="00E65477">
      <w:pPr>
        <w:jc w:val="center"/>
        <w:rPr>
          <w:rFonts w:ascii="宋体" w:hAnsi="宋体"/>
        </w:rPr>
      </w:pPr>
      <w:r w:rsidRPr="00DC3A0D">
        <w:rPr>
          <w:rFonts w:ascii="宋体" w:hAnsi="宋体"/>
          <w:noProof/>
        </w:rPr>
        <w:drawing>
          <wp:inline distT="0" distB="0" distL="0" distR="0" wp14:anchorId="60BC6803" wp14:editId="2C29C735">
            <wp:extent cx="2602524" cy="1514589"/>
            <wp:effectExtent l="0" t="0" r="762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20021" cy="1524772"/>
                    </a:xfrm>
                    <a:prstGeom prst="rect">
                      <a:avLst/>
                    </a:prstGeom>
                    <a:noFill/>
                  </pic:spPr>
                </pic:pic>
              </a:graphicData>
            </a:graphic>
          </wp:inline>
        </w:drawing>
      </w:r>
      <w:r w:rsidRPr="00DC3A0D">
        <w:rPr>
          <w:rFonts w:ascii="宋体" w:hAnsi="宋体"/>
          <w:noProof/>
        </w:rPr>
        <w:drawing>
          <wp:inline distT="0" distB="0" distL="0" distR="0" wp14:anchorId="463C99C3" wp14:editId="59CC157E">
            <wp:extent cx="2588455" cy="1502442"/>
            <wp:effectExtent l="0" t="0" r="2540" b="254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640293" cy="1532531"/>
                    </a:xfrm>
                    <a:prstGeom prst="rect">
                      <a:avLst/>
                    </a:prstGeom>
                    <a:noFill/>
                  </pic:spPr>
                </pic:pic>
              </a:graphicData>
            </a:graphic>
          </wp:inline>
        </w:drawing>
      </w:r>
    </w:p>
    <w:p w14:paraId="5288A5A2" w14:textId="06E8026A" w:rsidR="00A3383D" w:rsidRPr="00DC3A0D" w:rsidRDefault="00A3383D" w:rsidP="00E65477">
      <w:pPr>
        <w:jc w:val="center"/>
        <w:rPr>
          <w:rFonts w:ascii="楷体" w:eastAsia="楷体" w:hAnsi="楷体"/>
        </w:rPr>
      </w:pPr>
      <w:r w:rsidRPr="00DC3A0D">
        <w:rPr>
          <w:rFonts w:ascii="楷体" w:eastAsia="楷体" w:hAnsi="楷体" w:hint="eastAsia"/>
        </w:rPr>
        <w:t>图</w:t>
      </w:r>
      <w:r w:rsidR="00551612" w:rsidRPr="00DC3A0D">
        <w:rPr>
          <w:rFonts w:ascii="楷体" w:eastAsia="楷体" w:hAnsi="楷体" w:hint="eastAsia"/>
        </w:rPr>
        <w:t>3</w:t>
      </w:r>
      <w:r w:rsidR="00181149">
        <w:rPr>
          <w:rFonts w:ascii="楷体" w:eastAsia="楷体" w:hAnsi="楷体"/>
        </w:rPr>
        <w:t xml:space="preserve">  </w:t>
      </w:r>
      <w:r w:rsidRPr="00DC3A0D">
        <w:rPr>
          <w:rFonts w:ascii="楷体" w:eastAsia="楷体" w:hAnsi="楷体"/>
        </w:rPr>
        <w:t>住户贷款占比和非金融企业及机关团体贷款占比</w:t>
      </w:r>
    </w:p>
    <w:p w14:paraId="5F47222C" w14:textId="02D3A13D" w:rsidR="00A3383D" w:rsidRPr="00F51C9C" w:rsidRDefault="00A3383D" w:rsidP="00F51C9C">
      <w:pPr>
        <w:ind w:firstLineChars="200" w:firstLine="300"/>
        <w:rPr>
          <w:rFonts w:ascii="楷体" w:eastAsia="楷体" w:hAnsi="楷体"/>
          <w:sz w:val="15"/>
          <w:szCs w:val="15"/>
        </w:rPr>
      </w:pPr>
      <w:r w:rsidRPr="00F51C9C">
        <w:rPr>
          <w:rFonts w:ascii="楷体" w:eastAsia="楷体" w:hAnsi="楷体" w:hint="eastAsia"/>
          <w:sz w:val="15"/>
          <w:szCs w:val="15"/>
        </w:rPr>
        <w:t>注：（</w:t>
      </w:r>
      <w:r w:rsidRPr="00F51C9C">
        <w:rPr>
          <w:rFonts w:ascii="楷体" w:eastAsia="楷体" w:hAnsi="楷体"/>
          <w:sz w:val="15"/>
          <w:szCs w:val="15"/>
        </w:rPr>
        <w:t>1）虚线为各段时期的均值线；（2）数据来源：中国人民银行</w:t>
      </w:r>
      <w:r w:rsidR="005875D2" w:rsidRPr="00F51C9C">
        <w:rPr>
          <w:rFonts w:ascii="楷体" w:eastAsia="楷体" w:hAnsi="楷体" w:hint="eastAsia"/>
          <w:sz w:val="15"/>
          <w:szCs w:val="15"/>
        </w:rPr>
        <w:t>“金融机构信贷收支统计”</w:t>
      </w:r>
      <w:r w:rsidRPr="00F51C9C">
        <w:rPr>
          <w:rFonts w:ascii="楷体" w:eastAsia="楷体" w:hAnsi="楷体"/>
          <w:sz w:val="15"/>
          <w:szCs w:val="15"/>
        </w:rPr>
        <w:t>。</w:t>
      </w:r>
    </w:p>
    <w:p w14:paraId="54CD9F58" w14:textId="77777777" w:rsidR="009A454A" w:rsidRDefault="009A454A" w:rsidP="009A454A">
      <w:pPr>
        <w:rPr>
          <w:rFonts w:ascii="黑体" w:eastAsia="黑体" w:hAnsi="黑体"/>
        </w:rPr>
      </w:pPr>
    </w:p>
    <w:p w14:paraId="59E94C06" w14:textId="75499A71" w:rsidR="00F91FFD" w:rsidRPr="009A454A" w:rsidRDefault="00F91FFD" w:rsidP="009A454A">
      <w:pPr>
        <w:ind w:firstLineChars="200" w:firstLine="420"/>
        <w:rPr>
          <w:rFonts w:ascii="黑体" w:eastAsia="黑体" w:hAnsi="黑体"/>
        </w:rPr>
      </w:pPr>
      <w:r w:rsidRPr="009A454A">
        <w:rPr>
          <w:rFonts w:ascii="黑体" w:eastAsia="黑体" w:hAnsi="黑体" w:hint="eastAsia"/>
        </w:rPr>
        <w:t>（</w:t>
      </w:r>
      <w:r w:rsidR="00F52EEF" w:rsidRPr="009A454A">
        <w:rPr>
          <w:rFonts w:ascii="黑体" w:eastAsia="黑体" w:hAnsi="黑体" w:hint="eastAsia"/>
        </w:rPr>
        <w:t>二</w:t>
      </w:r>
      <w:r w:rsidRPr="009A454A">
        <w:rPr>
          <w:rFonts w:ascii="黑体" w:eastAsia="黑体" w:hAnsi="黑体" w:hint="eastAsia"/>
        </w:rPr>
        <w:t>）</w:t>
      </w:r>
      <w:r w:rsidR="0003713F" w:rsidRPr="009A454A">
        <w:rPr>
          <w:rFonts w:ascii="黑体" w:eastAsia="黑体" w:hAnsi="黑体" w:hint="eastAsia"/>
        </w:rPr>
        <w:t>国民经济</w:t>
      </w:r>
      <w:r w:rsidRPr="009A454A">
        <w:rPr>
          <w:rFonts w:ascii="黑体" w:eastAsia="黑体" w:hAnsi="黑体" w:hint="eastAsia"/>
        </w:rPr>
        <w:t>储蓄投资</w:t>
      </w:r>
      <w:r w:rsidR="00FB7006">
        <w:rPr>
          <w:rFonts w:ascii="黑体" w:eastAsia="黑体" w:hAnsi="黑体" w:hint="eastAsia"/>
        </w:rPr>
        <w:t>结构</w:t>
      </w:r>
      <w:r w:rsidRPr="009A454A">
        <w:rPr>
          <w:rFonts w:ascii="黑体" w:eastAsia="黑体" w:hAnsi="黑体" w:hint="eastAsia"/>
        </w:rPr>
        <w:t>变化</w:t>
      </w:r>
      <w:r w:rsidR="00BE7E9A">
        <w:rPr>
          <w:rFonts w:ascii="黑体" w:eastAsia="黑体" w:hAnsi="黑体" w:hint="eastAsia"/>
        </w:rPr>
        <w:t>构成</w:t>
      </w:r>
      <w:r w:rsidRPr="009A454A">
        <w:rPr>
          <w:rFonts w:ascii="黑体" w:eastAsia="黑体" w:hAnsi="黑体" w:hint="eastAsia"/>
        </w:rPr>
        <w:t>理解融资</w:t>
      </w:r>
      <w:r w:rsidR="00D93D6B" w:rsidRPr="009A454A">
        <w:rPr>
          <w:rFonts w:ascii="黑体" w:eastAsia="黑体" w:hAnsi="黑体" w:hint="eastAsia"/>
        </w:rPr>
        <w:t>主体</w:t>
      </w:r>
      <w:r w:rsidRPr="009A454A">
        <w:rPr>
          <w:rFonts w:ascii="黑体" w:eastAsia="黑体" w:hAnsi="黑体" w:hint="eastAsia"/>
        </w:rPr>
        <w:t>结构转型的基本背景</w:t>
      </w:r>
    </w:p>
    <w:p w14:paraId="6616781D" w14:textId="36A10825" w:rsidR="00F91FFD" w:rsidRPr="00DC3A0D" w:rsidRDefault="00F91FFD" w:rsidP="00F91FFD">
      <w:pPr>
        <w:ind w:firstLineChars="200" w:firstLine="420"/>
      </w:pPr>
      <w:r w:rsidRPr="00DC3A0D">
        <w:rPr>
          <w:rFonts w:hint="eastAsia"/>
        </w:rPr>
        <w:t>金融在储蓄与投资之间发挥着桥梁作用。过去十余年间，我国国民经济的储蓄和投资格局不论</w:t>
      </w:r>
      <w:r w:rsidR="00EC4A9C">
        <w:rPr>
          <w:rFonts w:hint="eastAsia"/>
        </w:rPr>
        <w:t>在</w:t>
      </w:r>
      <w:r w:rsidRPr="00DC3A0D">
        <w:rPr>
          <w:rFonts w:hint="eastAsia"/>
        </w:rPr>
        <w:t>总量层面还是</w:t>
      </w:r>
      <w:r w:rsidR="00EC4A9C">
        <w:rPr>
          <w:rFonts w:hint="eastAsia"/>
        </w:rPr>
        <w:t>在</w:t>
      </w:r>
      <w:r w:rsidR="008B55CA" w:rsidRPr="00DC3A0D">
        <w:rPr>
          <w:rFonts w:hint="eastAsia"/>
        </w:rPr>
        <w:t>部门</w:t>
      </w:r>
      <w:r w:rsidRPr="00DC3A0D">
        <w:rPr>
          <w:rFonts w:hint="eastAsia"/>
        </w:rPr>
        <w:t>结构层面</w:t>
      </w:r>
      <w:r w:rsidR="00BE7E9A">
        <w:rPr>
          <w:rFonts w:hint="eastAsia"/>
        </w:rPr>
        <w:t>，</w:t>
      </w:r>
      <w:r w:rsidRPr="00DC3A0D">
        <w:rPr>
          <w:rFonts w:hint="eastAsia"/>
        </w:rPr>
        <w:t>都发生了明显变化，这些变化构成</w:t>
      </w:r>
      <w:r w:rsidR="00EC4A9C">
        <w:rPr>
          <w:rFonts w:hint="eastAsia"/>
        </w:rPr>
        <w:t>了</w:t>
      </w:r>
      <w:r w:rsidRPr="00DC3A0D">
        <w:rPr>
          <w:rFonts w:hint="eastAsia"/>
        </w:rPr>
        <w:t>理解宏观融资结构转型的基本背景。</w:t>
      </w:r>
    </w:p>
    <w:p w14:paraId="070AECFF" w14:textId="0D65A813" w:rsidR="00F91FFD" w:rsidRPr="00DC3A0D" w:rsidRDefault="00F91FFD" w:rsidP="00F91FFD">
      <w:pPr>
        <w:ind w:firstLineChars="200" w:firstLine="420"/>
      </w:pPr>
      <w:r w:rsidRPr="00DC3A0D">
        <w:rPr>
          <w:rFonts w:hint="eastAsia"/>
        </w:rPr>
        <w:t>首先，</w:t>
      </w:r>
      <w:r w:rsidR="00803E05" w:rsidRPr="00DC3A0D">
        <w:rPr>
          <w:rFonts w:hint="eastAsia"/>
        </w:rPr>
        <w:t>在总量层面，</w:t>
      </w:r>
      <w:r w:rsidRPr="00DC3A0D">
        <w:rPr>
          <w:rFonts w:hint="eastAsia"/>
        </w:rPr>
        <w:t>国民储蓄率和投资率由升转降</w:t>
      </w:r>
      <w:r w:rsidR="00D665D9">
        <w:rPr>
          <w:rFonts w:hint="eastAsia"/>
        </w:rPr>
        <w:t>。</w:t>
      </w:r>
      <w:r w:rsidRPr="00DC3A0D">
        <w:rPr>
          <w:rFonts w:hint="eastAsia"/>
        </w:rPr>
        <w:t>宏观层面资金供求格局发生转变，资金供给方与需求方之间匹配难度有所上升。储蓄和投资分别对应着资金市场上的供给和需求</w:t>
      </w:r>
      <w:r w:rsidRPr="00F51C9C">
        <w:rPr>
          <w:highlight w:val="yellow"/>
          <w:vertAlign w:val="superscript"/>
        </w:rPr>
        <w:footnoteReference w:id="12"/>
      </w:r>
      <w:r w:rsidRPr="00DC3A0D">
        <w:rPr>
          <w:rFonts w:hint="eastAsia"/>
        </w:rPr>
        <w:t>，并决定着资金市场的均衡价格即利率。高储蓄和高投资曾被广泛地认为是中国经济的典型特征，尤其是在</w:t>
      </w:r>
      <w:r w:rsidRPr="00DC3A0D">
        <w:rPr>
          <w:rFonts w:hint="eastAsia"/>
        </w:rPr>
        <w:t>2</w:t>
      </w:r>
      <w:r w:rsidRPr="00DC3A0D">
        <w:t>000</w:t>
      </w:r>
      <w:r w:rsidRPr="00DC3A0D">
        <w:rPr>
          <w:rFonts w:hint="eastAsia"/>
        </w:rPr>
        <w:t>年之后的十年里</w:t>
      </w:r>
      <w:r w:rsidR="00EC4A9C">
        <w:rPr>
          <w:rFonts w:hint="eastAsia"/>
        </w:rPr>
        <w:t>，</w:t>
      </w:r>
      <w:r w:rsidRPr="00DC3A0D">
        <w:rPr>
          <w:rFonts w:hint="eastAsia"/>
        </w:rPr>
        <w:t>储蓄率和投资率持续攀升，在</w:t>
      </w:r>
      <w:r w:rsidRPr="00DC3A0D">
        <w:rPr>
          <w:rFonts w:hint="eastAsia"/>
        </w:rPr>
        <w:t>2</w:t>
      </w:r>
      <w:r w:rsidRPr="00DC3A0D">
        <w:t>010</w:t>
      </w:r>
      <w:r w:rsidRPr="00DC3A0D">
        <w:rPr>
          <w:rFonts w:hint="eastAsia"/>
        </w:rPr>
        <w:t>年最高点时曾分别达到</w:t>
      </w:r>
      <w:r w:rsidRPr="00DC3A0D">
        <w:rPr>
          <w:rFonts w:hint="eastAsia"/>
        </w:rPr>
        <w:t>5</w:t>
      </w:r>
      <w:r w:rsidRPr="00DC3A0D">
        <w:t>0.7</w:t>
      </w:r>
      <w:r w:rsidRPr="00DC3A0D">
        <w:rPr>
          <w:rFonts w:hint="eastAsia"/>
        </w:rPr>
        <w:t>%</w:t>
      </w:r>
      <w:r w:rsidRPr="00DC3A0D">
        <w:rPr>
          <w:rFonts w:hint="eastAsia"/>
        </w:rPr>
        <w:t>和</w:t>
      </w:r>
      <w:r w:rsidRPr="00DC3A0D">
        <w:rPr>
          <w:rFonts w:hint="eastAsia"/>
        </w:rPr>
        <w:t>4</w:t>
      </w:r>
      <w:r w:rsidRPr="00DC3A0D">
        <w:t>7.0</w:t>
      </w:r>
      <w:r w:rsidRPr="00DC3A0D">
        <w:rPr>
          <w:rFonts w:hint="eastAsia"/>
        </w:rPr>
        <w:t>%</w:t>
      </w:r>
      <w:r w:rsidRPr="00DC3A0D">
        <w:rPr>
          <w:rFonts w:hint="eastAsia"/>
        </w:rPr>
        <w:t>。然而，储蓄率和投资率自</w:t>
      </w:r>
      <w:r w:rsidRPr="00DC3A0D">
        <w:rPr>
          <w:rFonts w:hint="eastAsia"/>
        </w:rPr>
        <w:t>2</w:t>
      </w:r>
      <w:r w:rsidRPr="00DC3A0D">
        <w:t>011</w:t>
      </w:r>
      <w:r w:rsidRPr="00DC3A0D">
        <w:rPr>
          <w:rFonts w:hint="eastAsia"/>
        </w:rPr>
        <w:t>年由升转降，在此后的十年间呈下降趋势，到</w:t>
      </w:r>
      <w:r w:rsidRPr="00DC3A0D">
        <w:rPr>
          <w:rFonts w:hint="eastAsia"/>
        </w:rPr>
        <w:t>2</w:t>
      </w:r>
      <w:r w:rsidRPr="00DC3A0D">
        <w:t>019</w:t>
      </w:r>
      <w:r w:rsidRPr="00DC3A0D">
        <w:rPr>
          <w:rFonts w:hint="eastAsia"/>
        </w:rPr>
        <w:t>年储蓄率下降至</w:t>
      </w:r>
      <w:r w:rsidRPr="00DC3A0D">
        <w:rPr>
          <w:rFonts w:hint="eastAsia"/>
        </w:rPr>
        <w:t>4</w:t>
      </w:r>
      <w:r w:rsidRPr="00DC3A0D">
        <w:t>4.6</w:t>
      </w:r>
      <w:r w:rsidRPr="00DC3A0D">
        <w:rPr>
          <w:rFonts w:hint="eastAsia"/>
        </w:rPr>
        <w:t>%</w:t>
      </w:r>
      <w:r w:rsidRPr="00DC3A0D">
        <w:rPr>
          <w:rFonts w:hint="eastAsia"/>
        </w:rPr>
        <w:t>，投资率下降至</w:t>
      </w:r>
      <w:r w:rsidRPr="00DC3A0D">
        <w:rPr>
          <w:rFonts w:hint="eastAsia"/>
        </w:rPr>
        <w:t>4</w:t>
      </w:r>
      <w:r w:rsidRPr="00DC3A0D">
        <w:t>3.1</w:t>
      </w:r>
      <w:r w:rsidRPr="00DC3A0D">
        <w:rPr>
          <w:rFonts w:hint="eastAsia"/>
        </w:rPr>
        <w:t>%</w:t>
      </w:r>
      <w:r w:rsidRPr="00DC3A0D">
        <w:rPr>
          <w:rFonts w:hint="eastAsia"/>
        </w:rPr>
        <w:t>，分别比</w:t>
      </w:r>
      <w:r w:rsidRPr="00DC3A0D">
        <w:rPr>
          <w:rFonts w:hint="eastAsia"/>
        </w:rPr>
        <w:t>2</w:t>
      </w:r>
      <w:r w:rsidRPr="00DC3A0D">
        <w:t>010</w:t>
      </w:r>
      <w:r w:rsidRPr="00DC3A0D">
        <w:rPr>
          <w:rFonts w:hint="eastAsia"/>
        </w:rPr>
        <w:t>年</w:t>
      </w:r>
      <w:r w:rsidR="00EC4A9C">
        <w:rPr>
          <w:rFonts w:hint="eastAsia"/>
        </w:rPr>
        <w:t>的</w:t>
      </w:r>
      <w:r w:rsidRPr="00DC3A0D">
        <w:rPr>
          <w:rFonts w:hint="eastAsia"/>
        </w:rPr>
        <w:t>高点降低了</w:t>
      </w:r>
      <w:r w:rsidRPr="00DC3A0D">
        <w:rPr>
          <w:rFonts w:hint="eastAsia"/>
        </w:rPr>
        <w:t>6</w:t>
      </w:r>
      <w:r w:rsidRPr="00DC3A0D">
        <w:t>.1</w:t>
      </w:r>
      <w:r w:rsidRPr="00DC3A0D">
        <w:rPr>
          <w:rFonts w:hint="eastAsia"/>
        </w:rPr>
        <w:t>和</w:t>
      </w:r>
      <w:r w:rsidRPr="00DC3A0D">
        <w:rPr>
          <w:rFonts w:hint="eastAsia"/>
        </w:rPr>
        <w:t>3</w:t>
      </w:r>
      <w:r w:rsidRPr="00DC3A0D">
        <w:t>.9</w:t>
      </w:r>
      <w:r w:rsidRPr="00DC3A0D">
        <w:rPr>
          <w:rFonts w:hint="eastAsia"/>
        </w:rPr>
        <w:t>个百分点</w:t>
      </w:r>
      <w:r w:rsidRPr="00F51C9C">
        <w:rPr>
          <w:rStyle w:val="aa"/>
          <w:highlight w:val="yellow"/>
        </w:rPr>
        <w:footnoteReference w:id="13"/>
      </w:r>
      <w:r w:rsidRPr="00DC3A0D">
        <w:rPr>
          <w:rFonts w:hint="eastAsia"/>
        </w:rPr>
        <w:t>。储蓄率和投资率的双双下降意味着宏观层面资金供求的基本格局在发生转变，前者代表资金供给的相对减少，后者代表融资需求</w:t>
      </w:r>
      <w:r w:rsidR="00D665D9">
        <w:rPr>
          <w:rFonts w:hint="eastAsia"/>
        </w:rPr>
        <w:t>尤其是</w:t>
      </w:r>
      <w:r w:rsidR="009C5AD3">
        <w:rPr>
          <w:rFonts w:hint="eastAsia"/>
        </w:rPr>
        <w:t>高</w:t>
      </w:r>
      <w:r w:rsidR="00D665D9">
        <w:rPr>
          <w:rFonts w:hint="eastAsia"/>
        </w:rPr>
        <w:t>回报</w:t>
      </w:r>
      <w:r w:rsidRPr="00DC3A0D">
        <w:rPr>
          <w:rFonts w:hint="eastAsia"/>
        </w:rPr>
        <w:t>投资机会的相对减少。根据“搜寻</w:t>
      </w:r>
      <w:r w:rsidRPr="00DC3A0D">
        <w:rPr>
          <w:rFonts w:hint="eastAsia"/>
        </w:rPr>
        <w:t>-</w:t>
      </w:r>
      <w:r w:rsidRPr="00DC3A0D">
        <w:rPr>
          <w:rFonts w:hint="eastAsia"/>
        </w:rPr>
        <w:t>匹配理论”，在供给和需求同时相对收缩的情况下，资金供给者寻找合适投资机会</w:t>
      </w:r>
      <w:r w:rsidR="00515EA7">
        <w:rPr>
          <w:rFonts w:hint="eastAsia"/>
        </w:rPr>
        <w:t>和</w:t>
      </w:r>
      <w:r w:rsidRPr="00DC3A0D">
        <w:rPr>
          <w:rFonts w:hint="eastAsia"/>
        </w:rPr>
        <w:t>资金需求者寻求合适融资来源的困难程度都会上升。这时，新均衡状态下的“量”会确定性地相对减少，而“价”的升降则同时取决于供需</w:t>
      </w:r>
      <w:r w:rsidR="00515EA7" w:rsidRPr="00DC3A0D">
        <w:rPr>
          <w:rFonts w:hint="eastAsia"/>
        </w:rPr>
        <w:t>各自</w:t>
      </w:r>
      <w:r w:rsidRPr="00DC3A0D">
        <w:rPr>
          <w:rFonts w:hint="eastAsia"/>
        </w:rPr>
        <w:t>变化的幅度及利率弹性。</w:t>
      </w:r>
    </w:p>
    <w:p w14:paraId="0AF14AA5" w14:textId="2518B99B" w:rsidR="00803E05" w:rsidRPr="00DC3A0D" w:rsidRDefault="00C161DB" w:rsidP="00803E05">
      <w:pPr>
        <w:ind w:firstLineChars="200" w:firstLine="420"/>
      </w:pPr>
      <w:r w:rsidRPr="00DC3A0D">
        <w:rPr>
          <w:rFonts w:hint="eastAsia"/>
        </w:rPr>
        <w:t>其次，在结构层面，</w:t>
      </w:r>
      <w:r w:rsidR="00803E05" w:rsidRPr="00DC3A0D">
        <w:rPr>
          <w:rFonts w:hint="eastAsia"/>
        </w:rPr>
        <w:t>国民经济中</w:t>
      </w:r>
      <w:r w:rsidR="00FE4B72" w:rsidRPr="00DC3A0D">
        <w:rPr>
          <w:rFonts w:hint="eastAsia"/>
        </w:rPr>
        <w:t>三大部门的</w:t>
      </w:r>
      <w:r w:rsidR="00803E05" w:rsidRPr="00DC3A0D">
        <w:rPr>
          <w:rFonts w:hint="eastAsia"/>
        </w:rPr>
        <w:t>储蓄和投资</w:t>
      </w:r>
      <w:r w:rsidR="00824A45" w:rsidRPr="00DC3A0D">
        <w:rPr>
          <w:rFonts w:hint="eastAsia"/>
        </w:rPr>
        <w:t>格局</w:t>
      </w:r>
      <w:r w:rsidR="00C25FFD" w:rsidRPr="00DC3A0D">
        <w:rPr>
          <w:rFonts w:hint="eastAsia"/>
        </w:rPr>
        <w:t>在过去十余年间</w:t>
      </w:r>
      <w:r w:rsidR="006D60E9" w:rsidRPr="00DC3A0D">
        <w:rPr>
          <w:rFonts w:hint="eastAsia"/>
        </w:rPr>
        <w:t>也</w:t>
      </w:r>
      <w:r w:rsidR="00803E05" w:rsidRPr="00DC3A0D">
        <w:rPr>
          <w:rFonts w:hint="eastAsia"/>
        </w:rPr>
        <w:t>发生了</w:t>
      </w:r>
      <w:r w:rsidR="00D40A08">
        <w:rPr>
          <w:rFonts w:hint="eastAsia"/>
        </w:rPr>
        <w:t>明显</w:t>
      </w:r>
      <w:r w:rsidR="00803E05" w:rsidRPr="00DC3A0D">
        <w:rPr>
          <w:rFonts w:hint="eastAsia"/>
        </w:rPr>
        <w:t>变化</w:t>
      </w:r>
      <w:r w:rsidR="00372EF3" w:rsidRPr="00DC3A0D">
        <w:rPr>
          <w:rFonts w:hint="eastAsia"/>
        </w:rPr>
        <w:t>。</w:t>
      </w:r>
      <w:r w:rsidR="00367FA6" w:rsidRPr="00DC3A0D">
        <w:rPr>
          <w:rFonts w:hint="eastAsia"/>
        </w:rPr>
        <w:lastRenderedPageBreak/>
        <w:t>在储蓄端</w:t>
      </w:r>
      <w:r w:rsidR="00803E05" w:rsidRPr="00DC3A0D">
        <w:rPr>
          <w:rFonts w:hint="eastAsia"/>
        </w:rPr>
        <w:t>，根据资金流量表（实物交易）数据</w:t>
      </w:r>
      <w:r w:rsidR="00515EA7">
        <w:rPr>
          <w:rFonts w:hint="eastAsia"/>
        </w:rPr>
        <w:t>可</w:t>
      </w:r>
      <w:r w:rsidR="00803E05" w:rsidRPr="00DC3A0D">
        <w:rPr>
          <w:rFonts w:hint="eastAsia"/>
        </w:rPr>
        <w:t>计算</w:t>
      </w:r>
      <w:r w:rsidR="000D389C">
        <w:rPr>
          <w:rFonts w:hint="eastAsia"/>
        </w:rPr>
        <w:t>得出</w:t>
      </w:r>
      <w:r w:rsidR="00E9639F" w:rsidRPr="00F51C9C">
        <w:rPr>
          <w:rStyle w:val="aa"/>
          <w:highlight w:val="yellow"/>
        </w:rPr>
        <w:footnoteReference w:id="14"/>
      </w:r>
      <w:r w:rsidR="00803E05" w:rsidRPr="00DC3A0D">
        <w:rPr>
          <w:rFonts w:hint="eastAsia"/>
        </w:rPr>
        <w:t>，</w:t>
      </w:r>
      <w:r w:rsidR="00803E05" w:rsidRPr="00DC3A0D">
        <w:rPr>
          <w:rFonts w:hint="eastAsia"/>
        </w:rPr>
        <w:t>2008-2018</w:t>
      </w:r>
      <w:r w:rsidR="00803E05" w:rsidRPr="00DC3A0D">
        <w:rPr>
          <w:rFonts w:hint="eastAsia"/>
        </w:rPr>
        <w:t>年</w:t>
      </w:r>
      <w:r w:rsidR="00EE590F" w:rsidRPr="00DC3A0D">
        <w:rPr>
          <w:rFonts w:hint="eastAsia"/>
        </w:rPr>
        <w:t>期间</w:t>
      </w:r>
      <w:r w:rsidR="00803E05" w:rsidRPr="00DC3A0D">
        <w:rPr>
          <w:rFonts w:hint="eastAsia"/>
        </w:rPr>
        <w:t>住户部门储蓄率下降了</w:t>
      </w:r>
      <w:r w:rsidR="00803E05" w:rsidRPr="00DC3A0D">
        <w:rPr>
          <w:rFonts w:hint="eastAsia"/>
        </w:rPr>
        <w:t>2.7</w:t>
      </w:r>
      <w:r w:rsidR="00803E05" w:rsidRPr="00DC3A0D">
        <w:rPr>
          <w:rFonts w:hint="eastAsia"/>
        </w:rPr>
        <w:t>个百分点，非金融企业部门储蓄率下降了</w:t>
      </w:r>
      <w:r w:rsidR="00803E05" w:rsidRPr="00DC3A0D">
        <w:rPr>
          <w:rFonts w:hint="eastAsia"/>
        </w:rPr>
        <w:t>1.6</w:t>
      </w:r>
      <w:r w:rsidR="00803E05" w:rsidRPr="00DC3A0D">
        <w:rPr>
          <w:rFonts w:hint="eastAsia"/>
        </w:rPr>
        <w:t>个百分点，政府部门储蓄率下降了</w:t>
      </w:r>
      <w:r w:rsidR="00803E05" w:rsidRPr="00DC3A0D">
        <w:rPr>
          <w:rFonts w:hint="eastAsia"/>
        </w:rPr>
        <w:t>3.8</w:t>
      </w:r>
      <w:r w:rsidR="00803E05" w:rsidRPr="00DC3A0D">
        <w:rPr>
          <w:rFonts w:hint="eastAsia"/>
        </w:rPr>
        <w:t>个百分点</w:t>
      </w:r>
      <w:r w:rsidR="00A07839" w:rsidRPr="00DC3A0D">
        <w:rPr>
          <w:rFonts w:hint="eastAsia"/>
        </w:rPr>
        <w:t>（</w:t>
      </w:r>
      <w:r w:rsidR="000C1FF7" w:rsidRPr="00DC3A0D">
        <w:rPr>
          <w:rFonts w:hint="eastAsia"/>
        </w:rPr>
        <w:t>表</w:t>
      </w:r>
      <w:r w:rsidR="000C1FF7" w:rsidRPr="00DC3A0D">
        <w:rPr>
          <w:rFonts w:hint="eastAsia"/>
        </w:rPr>
        <w:t>1</w:t>
      </w:r>
      <w:r w:rsidR="00A07839" w:rsidRPr="00DC3A0D">
        <w:rPr>
          <w:rFonts w:hint="eastAsia"/>
        </w:rPr>
        <w:t>）</w:t>
      </w:r>
      <w:r w:rsidR="00803E05" w:rsidRPr="00DC3A0D">
        <w:rPr>
          <w:rFonts w:hint="eastAsia"/>
        </w:rPr>
        <w:t>。</w:t>
      </w:r>
      <w:r w:rsidR="00367FA6" w:rsidRPr="00DC3A0D">
        <w:rPr>
          <w:rFonts w:hint="eastAsia"/>
        </w:rPr>
        <w:t>在投资端</w:t>
      </w:r>
      <w:r w:rsidR="00803E05" w:rsidRPr="00DC3A0D">
        <w:rPr>
          <w:rFonts w:hint="eastAsia"/>
        </w:rPr>
        <w:t>，</w:t>
      </w:r>
      <w:r w:rsidR="00803E05" w:rsidRPr="00DC3A0D">
        <w:rPr>
          <w:rFonts w:hint="eastAsia"/>
        </w:rPr>
        <w:t>2010-2018</w:t>
      </w:r>
      <w:r w:rsidR="00803E05" w:rsidRPr="00DC3A0D">
        <w:rPr>
          <w:rFonts w:hint="eastAsia"/>
        </w:rPr>
        <w:t>年</w:t>
      </w:r>
      <w:r w:rsidR="00837E8E" w:rsidRPr="00DC3A0D">
        <w:rPr>
          <w:rFonts w:hint="eastAsia"/>
        </w:rPr>
        <w:t>期间</w:t>
      </w:r>
      <w:r w:rsidR="006A4BDF" w:rsidRPr="00DC3A0D">
        <w:rPr>
          <w:rFonts w:hint="eastAsia"/>
        </w:rPr>
        <w:t>，</w:t>
      </w:r>
      <w:r w:rsidR="00803E05" w:rsidRPr="00DC3A0D">
        <w:rPr>
          <w:rFonts w:hint="eastAsia"/>
        </w:rPr>
        <w:t>住户部门投资率上升了</w:t>
      </w:r>
      <w:r w:rsidR="00803E05" w:rsidRPr="00DC3A0D">
        <w:rPr>
          <w:rFonts w:hint="eastAsia"/>
        </w:rPr>
        <w:t>2.6</w:t>
      </w:r>
      <w:r w:rsidR="00803E05" w:rsidRPr="00DC3A0D">
        <w:rPr>
          <w:rFonts w:hint="eastAsia"/>
        </w:rPr>
        <w:t>个百分点，非金融企业部门投资率下降了</w:t>
      </w:r>
      <w:r w:rsidR="00803E05" w:rsidRPr="00DC3A0D">
        <w:rPr>
          <w:rFonts w:hint="eastAsia"/>
        </w:rPr>
        <w:t>5.3</w:t>
      </w:r>
      <w:r w:rsidR="00803E05" w:rsidRPr="00DC3A0D">
        <w:rPr>
          <w:rFonts w:hint="eastAsia"/>
        </w:rPr>
        <w:t>个百分点，政府部门投资率上升了</w:t>
      </w:r>
      <w:r w:rsidR="00803E05" w:rsidRPr="00DC3A0D">
        <w:rPr>
          <w:rFonts w:hint="eastAsia"/>
        </w:rPr>
        <w:t>3.0</w:t>
      </w:r>
      <w:r w:rsidR="00803E05" w:rsidRPr="00DC3A0D">
        <w:rPr>
          <w:rFonts w:hint="eastAsia"/>
        </w:rPr>
        <w:t>个百分点。</w:t>
      </w:r>
      <w:r w:rsidR="00372EF3" w:rsidRPr="00DC3A0D">
        <w:rPr>
          <w:rFonts w:hint="eastAsia"/>
        </w:rPr>
        <w:t>理论上</w:t>
      </w:r>
      <w:r w:rsidR="00BD3AF1" w:rsidRPr="00DC3A0D">
        <w:rPr>
          <w:rFonts w:hint="eastAsia"/>
        </w:rPr>
        <w:t>，</w:t>
      </w:r>
      <w:r w:rsidR="00372EF3" w:rsidRPr="00DC3A0D">
        <w:rPr>
          <w:rFonts w:hint="eastAsia"/>
        </w:rPr>
        <w:t>部门资金净融出</w:t>
      </w:r>
      <w:r w:rsidR="00372EF3" w:rsidRPr="00DC3A0D">
        <w:rPr>
          <w:rFonts w:hint="eastAsia"/>
        </w:rPr>
        <w:t>=</w:t>
      </w:r>
      <w:r w:rsidR="00372EF3" w:rsidRPr="00DC3A0D">
        <w:rPr>
          <w:rFonts w:hint="eastAsia"/>
        </w:rPr>
        <w:t>部门储蓄</w:t>
      </w:r>
      <w:r w:rsidR="00372EF3" w:rsidRPr="00DC3A0D">
        <w:rPr>
          <w:rFonts w:hint="eastAsia"/>
        </w:rPr>
        <w:t>-</w:t>
      </w:r>
      <w:r w:rsidR="00372EF3" w:rsidRPr="00DC3A0D">
        <w:rPr>
          <w:rFonts w:hint="eastAsia"/>
        </w:rPr>
        <w:t>部门投资，因而当一个部门的储蓄下降超过投资下降时，该部门</w:t>
      </w:r>
      <w:r w:rsidR="00D756D2">
        <w:rPr>
          <w:rFonts w:hint="eastAsia"/>
        </w:rPr>
        <w:t>会发生</w:t>
      </w:r>
      <w:r w:rsidR="00372EF3" w:rsidRPr="00DC3A0D">
        <w:rPr>
          <w:rFonts w:hint="eastAsia"/>
        </w:rPr>
        <w:t>资金净融入增加或净融出减少</w:t>
      </w:r>
      <w:r w:rsidR="00515EA7">
        <w:rPr>
          <w:rFonts w:hint="eastAsia"/>
        </w:rPr>
        <w:t>，</w:t>
      </w:r>
      <w:r w:rsidR="00372EF3" w:rsidRPr="00DC3A0D">
        <w:rPr>
          <w:rFonts w:hint="eastAsia"/>
        </w:rPr>
        <w:t>反之</w:t>
      </w:r>
      <w:r w:rsidR="00515EA7">
        <w:rPr>
          <w:rFonts w:hint="eastAsia"/>
        </w:rPr>
        <w:t>反是</w:t>
      </w:r>
      <w:r w:rsidR="00372EF3" w:rsidRPr="00DC3A0D">
        <w:rPr>
          <w:rFonts w:hint="eastAsia"/>
        </w:rPr>
        <w:t>。</w:t>
      </w:r>
      <w:r w:rsidR="00803E05" w:rsidRPr="00DC3A0D">
        <w:rPr>
          <w:rFonts w:hint="eastAsia"/>
        </w:rPr>
        <w:t>在储蓄</w:t>
      </w:r>
      <w:r w:rsidR="00230981" w:rsidRPr="00DC3A0D">
        <w:rPr>
          <w:rFonts w:hint="eastAsia"/>
        </w:rPr>
        <w:t>端</w:t>
      </w:r>
      <w:r w:rsidR="00803E05" w:rsidRPr="00DC3A0D">
        <w:rPr>
          <w:rFonts w:hint="eastAsia"/>
        </w:rPr>
        <w:t>和投资</w:t>
      </w:r>
      <w:r w:rsidR="00230981" w:rsidRPr="00DC3A0D">
        <w:rPr>
          <w:rFonts w:hint="eastAsia"/>
        </w:rPr>
        <w:t>端</w:t>
      </w:r>
      <w:r w:rsidR="00803E05" w:rsidRPr="00DC3A0D">
        <w:rPr>
          <w:rFonts w:hint="eastAsia"/>
        </w:rPr>
        <w:t>两方面因素</w:t>
      </w:r>
      <w:r w:rsidR="003561B2" w:rsidRPr="00DC3A0D">
        <w:rPr>
          <w:rFonts w:hint="eastAsia"/>
        </w:rPr>
        <w:t>变动</w:t>
      </w:r>
      <w:r w:rsidR="00803E05" w:rsidRPr="00DC3A0D">
        <w:rPr>
          <w:rFonts w:hint="eastAsia"/>
        </w:rPr>
        <w:t>的综合作用下，</w:t>
      </w:r>
      <w:r w:rsidR="00803E05" w:rsidRPr="00DC3A0D">
        <w:rPr>
          <w:rFonts w:hint="eastAsia"/>
        </w:rPr>
        <w:t>2010-2018</w:t>
      </w:r>
      <w:r w:rsidR="00803E05" w:rsidRPr="00DC3A0D">
        <w:rPr>
          <w:rFonts w:hint="eastAsia"/>
        </w:rPr>
        <w:t>年期间</w:t>
      </w:r>
      <w:r w:rsidR="00515EA7">
        <w:rPr>
          <w:rFonts w:hint="eastAsia"/>
        </w:rPr>
        <w:t>，</w:t>
      </w:r>
      <w:r w:rsidR="00803E05" w:rsidRPr="00DC3A0D">
        <w:rPr>
          <w:rFonts w:hint="eastAsia"/>
        </w:rPr>
        <w:t>住户部门</w:t>
      </w:r>
      <w:r w:rsidR="00803EFC" w:rsidRPr="00DC3A0D">
        <w:rPr>
          <w:rFonts w:hint="eastAsia"/>
        </w:rPr>
        <w:t>由于</w:t>
      </w:r>
      <w:r w:rsidR="00803E05" w:rsidRPr="00DC3A0D">
        <w:rPr>
          <w:rFonts w:hint="eastAsia"/>
        </w:rPr>
        <w:t>储蓄率下降、投资率上升，</w:t>
      </w:r>
      <w:r w:rsidR="00515EA7">
        <w:rPr>
          <w:rFonts w:hint="eastAsia"/>
        </w:rPr>
        <w:t>致使</w:t>
      </w:r>
      <w:r w:rsidR="008530B4" w:rsidRPr="00DC3A0D">
        <w:rPr>
          <w:rFonts w:hint="eastAsia"/>
        </w:rPr>
        <w:t>其</w:t>
      </w:r>
      <w:r w:rsidR="00803E05" w:rsidRPr="00DC3A0D">
        <w:rPr>
          <w:rFonts w:hint="eastAsia"/>
        </w:rPr>
        <w:t>资金净融出率下降</w:t>
      </w:r>
      <w:r w:rsidR="006A53AC" w:rsidRPr="00DC3A0D">
        <w:rPr>
          <w:rFonts w:hint="eastAsia"/>
        </w:rPr>
        <w:t>了</w:t>
      </w:r>
      <w:r w:rsidR="00803E05" w:rsidRPr="00DC3A0D">
        <w:rPr>
          <w:rFonts w:hint="eastAsia"/>
        </w:rPr>
        <w:t>5.3</w:t>
      </w:r>
      <w:r w:rsidR="00803E05" w:rsidRPr="00DC3A0D">
        <w:rPr>
          <w:rFonts w:hint="eastAsia"/>
        </w:rPr>
        <w:t>个百分点</w:t>
      </w:r>
      <w:r w:rsidR="006A53AC" w:rsidRPr="00DC3A0D">
        <w:rPr>
          <w:rFonts w:hint="eastAsia"/>
        </w:rPr>
        <w:t>；</w:t>
      </w:r>
      <w:r w:rsidR="00803E05" w:rsidRPr="00DC3A0D">
        <w:rPr>
          <w:rFonts w:hint="eastAsia"/>
        </w:rPr>
        <w:t>非金融企业部门</w:t>
      </w:r>
      <w:r w:rsidR="00803EFC" w:rsidRPr="00DC3A0D">
        <w:rPr>
          <w:rFonts w:hint="eastAsia"/>
        </w:rPr>
        <w:t>由于</w:t>
      </w:r>
      <w:r w:rsidR="00FD77A5" w:rsidRPr="00DC3A0D">
        <w:rPr>
          <w:rFonts w:hint="eastAsia"/>
        </w:rPr>
        <w:t>投资率下降幅度超过了</w:t>
      </w:r>
      <w:r w:rsidR="00803E05" w:rsidRPr="00DC3A0D">
        <w:rPr>
          <w:rFonts w:hint="eastAsia"/>
        </w:rPr>
        <w:t>储蓄率下降</w:t>
      </w:r>
      <w:r w:rsidR="00FD77A5" w:rsidRPr="00DC3A0D">
        <w:rPr>
          <w:rFonts w:hint="eastAsia"/>
        </w:rPr>
        <w:t>幅度，</w:t>
      </w:r>
      <w:r w:rsidR="00515EA7">
        <w:rPr>
          <w:rFonts w:hint="eastAsia"/>
        </w:rPr>
        <w:t>致使</w:t>
      </w:r>
      <w:r w:rsidR="00FD77A5" w:rsidRPr="00DC3A0D">
        <w:rPr>
          <w:rFonts w:hint="eastAsia"/>
        </w:rPr>
        <w:t>其</w:t>
      </w:r>
      <w:r w:rsidR="00803E05" w:rsidRPr="00DC3A0D">
        <w:rPr>
          <w:rFonts w:hint="eastAsia"/>
        </w:rPr>
        <w:t>资金净融入率下降</w:t>
      </w:r>
      <w:r w:rsidR="00803E05" w:rsidRPr="00DC3A0D">
        <w:rPr>
          <w:rFonts w:hint="eastAsia"/>
        </w:rPr>
        <w:t>3.7</w:t>
      </w:r>
      <w:r w:rsidR="00803E05" w:rsidRPr="00DC3A0D">
        <w:rPr>
          <w:rFonts w:hint="eastAsia"/>
        </w:rPr>
        <w:t>个百分点</w:t>
      </w:r>
      <w:r w:rsidR="00956219" w:rsidRPr="00DC3A0D">
        <w:rPr>
          <w:rFonts w:hint="eastAsia"/>
        </w:rPr>
        <w:t>；</w:t>
      </w:r>
      <w:r w:rsidR="00803E05" w:rsidRPr="00DC3A0D">
        <w:rPr>
          <w:rFonts w:hint="eastAsia"/>
        </w:rPr>
        <w:t>政府部门</w:t>
      </w:r>
      <w:r w:rsidR="00803EFC" w:rsidRPr="00DC3A0D">
        <w:rPr>
          <w:rFonts w:hint="eastAsia"/>
        </w:rPr>
        <w:t>由于</w:t>
      </w:r>
      <w:r w:rsidR="00803E05" w:rsidRPr="00DC3A0D">
        <w:rPr>
          <w:rFonts w:hint="eastAsia"/>
        </w:rPr>
        <w:t>储蓄率下降、投资率上升，</w:t>
      </w:r>
      <w:r w:rsidR="00515EA7">
        <w:rPr>
          <w:rFonts w:hint="eastAsia"/>
        </w:rPr>
        <w:t>致使</w:t>
      </w:r>
      <w:r w:rsidR="00515EA7" w:rsidRPr="00DC3A0D">
        <w:rPr>
          <w:rFonts w:hint="eastAsia"/>
        </w:rPr>
        <w:t>其</w:t>
      </w:r>
      <w:r w:rsidR="00803E05" w:rsidRPr="00DC3A0D">
        <w:rPr>
          <w:rFonts w:hint="eastAsia"/>
        </w:rPr>
        <w:t>资金净融入率上升</w:t>
      </w:r>
      <w:r w:rsidR="000E19CF" w:rsidRPr="00DC3A0D">
        <w:rPr>
          <w:rFonts w:hint="eastAsia"/>
        </w:rPr>
        <w:t>了</w:t>
      </w:r>
      <w:r w:rsidR="00803E05" w:rsidRPr="00DC3A0D">
        <w:rPr>
          <w:rFonts w:hint="eastAsia"/>
        </w:rPr>
        <w:t>6.7</w:t>
      </w:r>
      <w:r w:rsidR="00803E05" w:rsidRPr="00DC3A0D">
        <w:rPr>
          <w:rFonts w:hint="eastAsia"/>
        </w:rPr>
        <w:t>个百分点。</w:t>
      </w:r>
    </w:p>
    <w:p w14:paraId="2856ED28" w14:textId="0DB14C04" w:rsidR="00F91FFD" w:rsidRPr="00DC3A0D" w:rsidRDefault="00F91FFD" w:rsidP="00F91FFD">
      <w:pPr>
        <w:jc w:val="center"/>
        <w:rPr>
          <w:rFonts w:ascii="楷体" w:eastAsia="楷体" w:hAnsi="楷体"/>
        </w:rPr>
      </w:pPr>
      <w:r w:rsidRPr="00DC3A0D">
        <w:rPr>
          <w:rFonts w:ascii="楷体" w:eastAsia="楷体" w:hAnsi="楷体" w:hint="eastAsia"/>
        </w:rPr>
        <w:t>表</w:t>
      </w:r>
      <w:r w:rsidR="00681B39" w:rsidRPr="00DC3A0D">
        <w:rPr>
          <w:rFonts w:ascii="楷体" w:eastAsia="楷体" w:hAnsi="楷体"/>
        </w:rPr>
        <w:t>1</w:t>
      </w:r>
      <w:r w:rsidR="00181149">
        <w:rPr>
          <w:rFonts w:ascii="楷体" w:eastAsia="楷体" w:hAnsi="楷体"/>
        </w:rPr>
        <w:t xml:space="preserve">  </w:t>
      </w:r>
      <w:r w:rsidR="00201A90" w:rsidRPr="00DC3A0D">
        <w:rPr>
          <w:rFonts w:ascii="楷体" w:eastAsia="楷体" w:hAnsi="楷体" w:hint="eastAsia"/>
        </w:rPr>
        <w:t>三大部门储蓄率与投资率变化</w:t>
      </w:r>
    </w:p>
    <w:tbl>
      <w:tblPr>
        <w:tblStyle w:val="a7"/>
        <w:tblW w:w="7548" w:type="dxa"/>
        <w:jc w:val="center"/>
        <w:tblLook w:val="04A0" w:firstRow="1" w:lastRow="0" w:firstColumn="1" w:lastColumn="0" w:noHBand="0" w:noVBand="1"/>
      </w:tblPr>
      <w:tblGrid>
        <w:gridCol w:w="1476"/>
        <w:gridCol w:w="1936"/>
        <w:gridCol w:w="1056"/>
        <w:gridCol w:w="1056"/>
        <w:gridCol w:w="2024"/>
      </w:tblGrid>
      <w:tr w:rsidR="00DC3A0D" w:rsidRPr="00DC3A0D" w14:paraId="09CD9DD2" w14:textId="77777777" w:rsidTr="009A49D8">
        <w:trPr>
          <w:trHeight w:val="280"/>
          <w:jc w:val="center"/>
        </w:trPr>
        <w:tc>
          <w:tcPr>
            <w:tcW w:w="1476" w:type="dxa"/>
            <w:noWrap/>
            <w:vAlign w:val="center"/>
            <w:hideMark/>
          </w:tcPr>
          <w:p w14:paraId="40BFF29F" w14:textId="77777777" w:rsidR="00201A90" w:rsidRPr="00F51C9C" w:rsidRDefault="00201A90" w:rsidP="00F51C9C">
            <w:pPr>
              <w:widowControl/>
              <w:jc w:val="center"/>
              <w:rPr>
                <w:rFonts w:ascii="宋体" w:hAnsi="宋体" w:cs="宋体"/>
                <w:kern w:val="0"/>
                <w:szCs w:val="21"/>
              </w:rPr>
            </w:pPr>
            <w:bookmarkStart w:id="2" w:name="_Hlk76484159"/>
          </w:p>
        </w:tc>
        <w:tc>
          <w:tcPr>
            <w:tcW w:w="1936" w:type="dxa"/>
            <w:noWrap/>
            <w:vAlign w:val="center"/>
            <w:hideMark/>
          </w:tcPr>
          <w:p w14:paraId="1ECB8C84" w14:textId="77777777" w:rsidR="00201A90" w:rsidRPr="00F51C9C" w:rsidRDefault="00201A90" w:rsidP="00F51C9C">
            <w:pPr>
              <w:widowControl/>
              <w:jc w:val="center"/>
              <w:rPr>
                <w:rFonts w:eastAsia="Times New Roman" w:cs="Times New Roman"/>
                <w:kern w:val="0"/>
                <w:szCs w:val="21"/>
              </w:rPr>
            </w:pPr>
          </w:p>
        </w:tc>
        <w:tc>
          <w:tcPr>
            <w:tcW w:w="1056" w:type="dxa"/>
            <w:noWrap/>
            <w:vAlign w:val="center"/>
            <w:hideMark/>
          </w:tcPr>
          <w:p w14:paraId="01DA53C3" w14:textId="77777777" w:rsidR="00201A90" w:rsidRPr="00F51C9C" w:rsidRDefault="00201A90" w:rsidP="00F51C9C">
            <w:pPr>
              <w:widowControl/>
              <w:jc w:val="center"/>
              <w:rPr>
                <w:rFonts w:ascii="宋体" w:hAnsi="宋体" w:cs="宋体"/>
                <w:kern w:val="0"/>
                <w:szCs w:val="21"/>
              </w:rPr>
            </w:pPr>
            <w:r w:rsidRPr="00F51C9C">
              <w:rPr>
                <w:rFonts w:ascii="宋体" w:hAnsi="宋体" w:cs="宋体"/>
                <w:kern w:val="0"/>
                <w:szCs w:val="21"/>
              </w:rPr>
              <w:t>2008年</w:t>
            </w:r>
          </w:p>
        </w:tc>
        <w:tc>
          <w:tcPr>
            <w:tcW w:w="1056" w:type="dxa"/>
            <w:noWrap/>
            <w:vAlign w:val="center"/>
            <w:hideMark/>
          </w:tcPr>
          <w:p w14:paraId="2FCC0EF9" w14:textId="77777777" w:rsidR="00201A90" w:rsidRPr="00F51C9C" w:rsidRDefault="00201A90" w:rsidP="00F51C9C">
            <w:pPr>
              <w:widowControl/>
              <w:jc w:val="center"/>
              <w:rPr>
                <w:rFonts w:ascii="宋体" w:hAnsi="宋体" w:cs="宋体"/>
                <w:kern w:val="0"/>
                <w:szCs w:val="21"/>
              </w:rPr>
            </w:pPr>
            <w:r w:rsidRPr="00F51C9C">
              <w:rPr>
                <w:rFonts w:ascii="宋体" w:hAnsi="宋体" w:cs="宋体"/>
                <w:kern w:val="0"/>
                <w:szCs w:val="21"/>
              </w:rPr>
              <w:t>2018年</w:t>
            </w:r>
          </w:p>
        </w:tc>
        <w:tc>
          <w:tcPr>
            <w:tcW w:w="2024" w:type="dxa"/>
            <w:noWrap/>
            <w:vAlign w:val="center"/>
            <w:hideMark/>
          </w:tcPr>
          <w:p w14:paraId="4267239A" w14:textId="77777777" w:rsidR="00201A90" w:rsidRPr="00F51C9C" w:rsidRDefault="00201A90" w:rsidP="00F51C9C">
            <w:pPr>
              <w:widowControl/>
              <w:jc w:val="center"/>
              <w:rPr>
                <w:rFonts w:ascii="宋体" w:hAnsi="宋体" w:cs="宋体"/>
                <w:kern w:val="0"/>
                <w:szCs w:val="21"/>
              </w:rPr>
            </w:pPr>
            <w:r w:rsidRPr="00F51C9C">
              <w:rPr>
                <w:rFonts w:ascii="宋体" w:hAnsi="宋体" w:cs="宋体"/>
                <w:kern w:val="0"/>
                <w:szCs w:val="21"/>
              </w:rPr>
              <w:t>2008-2018年变化</w:t>
            </w:r>
          </w:p>
        </w:tc>
      </w:tr>
      <w:tr w:rsidR="00DC3A0D" w:rsidRPr="00DC3A0D" w14:paraId="48AEA182" w14:textId="77777777" w:rsidTr="009A49D8">
        <w:trPr>
          <w:trHeight w:val="280"/>
          <w:jc w:val="center"/>
        </w:trPr>
        <w:tc>
          <w:tcPr>
            <w:tcW w:w="1476" w:type="dxa"/>
            <w:vMerge w:val="restart"/>
            <w:noWrap/>
            <w:vAlign w:val="center"/>
            <w:hideMark/>
          </w:tcPr>
          <w:p w14:paraId="302C30B8"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储蓄率</w:t>
            </w:r>
          </w:p>
        </w:tc>
        <w:tc>
          <w:tcPr>
            <w:tcW w:w="1936" w:type="dxa"/>
            <w:noWrap/>
            <w:vAlign w:val="center"/>
            <w:hideMark/>
          </w:tcPr>
          <w:p w14:paraId="2A55DBDC"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非金融企业部门</w:t>
            </w:r>
          </w:p>
        </w:tc>
        <w:tc>
          <w:tcPr>
            <w:tcW w:w="1056" w:type="dxa"/>
            <w:noWrap/>
            <w:vAlign w:val="center"/>
            <w:hideMark/>
          </w:tcPr>
          <w:p w14:paraId="3AE058AB"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20.50%</w:t>
            </w:r>
          </w:p>
        </w:tc>
        <w:tc>
          <w:tcPr>
            <w:tcW w:w="1056" w:type="dxa"/>
            <w:noWrap/>
            <w:vAlign w:val="center"/>
            <w:hideMark/>
          </w:tcPr>
          <w:p w14:paraId="4BB6787A"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18.92%</w:t>
            </w:r>
          </w:p>
        </w:tc>
        <w:tc>
          <w:tcPr>
            <w:tcW w:w="2024" w:type="dxa"/>
            <w:noWrap/>
            <w:vAlign w:val="center"/>
            <w:hideMark/>
          </w:tcPr>
          <w:p w14:paraId="3238D0CA"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-1.58%</w:t>
            </w:r>
          </w:p>
        </w:tc>
      </w:tr>
      <w:tr w:rsidR="00DC3A0D" w:rsidRPr="00DC3A0D" w14:paraId="32A678B2" w14:textId="77777777" w:rsidTr="009A49D8">
        <w:trPr>
          <w:trHeight w:val="280"/>
          <w:jc w:val="center"/>
        </w:trPr>
        <w:tc>
          <w:tcPr>
            <w:tcW w:w="1476" w:type="dxa"/>
            <w:vMerge/>
            <w:noWrap/>
            <w:vAlign w:val="center"/>
            <w:hideMark/>
          </w:tcPr>
          <w:p w14:paraId="6E76E70B" w14:textId="77777777" w:rsidR="00201A90" w:rsidRPr="00F51C9C" w:rsidRDefault="00201A90" w:rsidP="00F51C9C">
            <w:pPr>
              <w:widowControl/>
              <w:jc w:val="center"/>
              <w:rPr>
                <w:rFonts w:ascii="宋体" w:hAnsi="宋体" w:cs="宋体"/>
                <w:kern w:val="0"/>
                <w:szCs w:val="21"/>
              </w:rPr>
            </w:pPr>
          </w:p>
        </w:tc>
        <w:tc>
          <w:tcPr>
            <w:tcW w:w="1936" w:type="dxa"/>
            <w:noWrap/>
            <w:vAlign w:val="center"/>
            <w:hideMark/>
          </w:tcPr>
          <w:p w14:paraId="628A83A2"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政府部门</w:t>
            </w:r>
          </w:p>
        </w:tc>
        <w:tc>
          <w:tcPr>
            <w:tcW w:w="1056" w:type="dxa"/>
            <w:noWrap/>
            <w:vAlign w:val="center"/>
            <w:hideMark/>
          </w:tcPr>
          <w:p w14:paraId="76E8DAC1"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5.89%</w:t>
            </w:r>
          </w:p>
        </w:tc>
        <w:tc>
          <w:tcPr>
            <w:tcW w:w="1056" w:type="dxa"/>
            <w:noWrap/>
            <w:vAlign w:val="center"/>
            <w:hideMark/>
          </w:tcPr>
          <w:p w14:paraId="5E1D1672"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2.09%</w:t>
            </w:r>
          </w:p>
        </w:tc>
        <w:tc>
          <w:tcPr>
            <w:tcW w:w="2024" w:type="dxa"/>
            <w:noWrap/>
            <w:vAlign w:val="center"/>
            <w:hideMark/>
          </w:tcPr>
          <w:p w14:paraId="1CF308D4"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-3.79%</w:t>
            </w:r>
          </w:p>
        </w:tc>
      </w:tr>
      <w:tr w:rsidR="00DC3A0D" w:rsidRPr="00DC3A0D" w14:paraId="211D4671" w14:textId="77777777" w:rsidTr="009A49D8">
        <w:trPr>
          <w:trHeight w:val="280"/>
          <w:jc w:val="center"/>
        </w:trPr>
        <w:tc>
          <w:tcPr>
            <w:tcW w:w="1476" w:type="dxa"/>
            <w:vMerge/>
            <w:noWrap/>
            <w:vAlign w:val="center"/>
            <w:hideMark/>
          </w:tcPr>
          <w:p w14:paraId="377109AD" w14:textId="77777777" w:rsidR="00201A90" w:rsidRPr="00F51C9C" w:rsidRDefault="00201A90" w:rsidP="00F51C9C">
            <w:pPr>
              <w:widowControl/>
              <w:jc w:val="center"/>
              <w:rPr>
                <w:rFonts w:ascii="宋体" w:hAnsi="宋体" w:cs="宋体"/>
                <w:kern w:val="0"/>
                <w:szCs w:val="21"/>
              </w:rPr>
            </w:pPr>
          </w:p>
        </w:tc>
        <w:tc>
          <w:tcPr>
            <w:tcW w:w="1936" w:type="dxa"/>
            <w:noWrap/>
            <w:vAlign w:val="center"/>
            <w:hideMark/>
          </w:tcPr>
          <w:p w14:paraId="068CF07E"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住户部门</w:t>
            </w:r>
          </w:p>
        </w:tc>
        <w:tc>
          <w:tcPr>
            <w:tcW w:w="1056" w:type="dxa"/>
            <w:noWrap/>
            <w:vAlign w:val="center"/>
            <w:hideMark/>
          </w:tcPr>
          <w:p w14:paraId="67F2BF8D"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23.26%</w:t>
            </w:r>
          </w:p>
        </w:tc>
        <w:tc>
          <w:tcPr>
            <w:tcW w:w="1056" w:type="dxa"/>
            <w:noWrap/>
            <w:vAlign w:val="center"/>
            <w:hideMark/>
          </w:tcPr>
          <w:p w14:paraId="66AB83C0"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20.58%</w:t>
            </w:r>
          </w:p>
        </w:tc>
        <w:tc>
          <w:tcPr>
            <w:tcW w:w="2024" w:type="dxa"/>
            <w:noWrap/>
            <w:vAlign w:val="center"/>
            <w:hideMark/>
          </w:tcPr>
          <w:p w14:paraId="5CEA3C6F"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-2.68%</w:t>
            </w:r>
          </w:p>
        </w:tc>
      </w:tr>
      <w:tr w:rsidR="00DC3A0D" w:rsidRPr="00DC3A0D" w14:paraId="1FDEA835" w14:textId="77777777" w:rsidTr="009A49D8">
        <w:trPr>
          <w:trHeight w:val="280"/>
          <w:jc w:val="center"/>
        </w:trPr>
        <w:tc>
          <w:tcPr>
            <w:tcW w:w="1476" w:type="dxa"/>
            <w:vMerge w:val="restart"/>
            <w:noWrap/>
            <w:vAlign w:val="center"/>
            <w:hideMark/>
          </w:tcPr>
          <w:p w14:paraId="7B2427E7"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投资率</w:t>
            </w:r>
          </w:p>
        </w:tc>
        <w:tc>
          <w:tcPr>
            <w:tcW w:w="1936" w:type="dxa"/>
            <w:noWrap/>
            <w:vAlign w:val="center"/>
            <w:hideMark/>
          </w:tcPr>
          <w:p w14:paraId="351BB45E"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非金融企业部门</w:t>
            </w:r>
          </w:p>
        </w:tc>
        <w:tc>
          <w:tcPr>
            <w:tcW w:w="1056" w:type="dxa"/>
            <w:noWrap/>
            <w:vAlign w:val="center"/>
            <w:hideMark/>
          </w:tcPr>
          <w:p w14:paraId="02E33FE9"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29.96%</w:t>
            </w:r>
          </w:p>
        </w:tc>
        <w:tc>
          <w:tcPr>
            <w:tcW w:w="1056" w:type="dxa"/>
            <w:noWrap/>
            <w:vAlign w:val="center"/>
            <w:hideMark/>
          </w:tcPr>
          <w:p w14:paraId="6317853D"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24.71%</w:t>
            </w:r>
          </w:p>
        </w:tc>
        <w:tc>
          <w:tcPr>
            <w:tcW w:w="2024" w:type="dxa"/>
            <w:noWrap/>
            <w:vAlign w:val="center"/>
            <w:hideMark/>
          </w:tcPr>
          <w:p w14:paraId="185F6CD3"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-5.25%</w:t>
            </w:r>
          </w:p>
        </w:tc>
      </w:tr>
      <w:tr w:rsidR="00DC3A0D" w:rsidRPr="00DC3A0D" w14:paraId="0F63FAB9" w14:textId="77777777" w:rsidTr="009A49D8">
        <w:trPr>
          <w:trHeight w:val="280"/>
          <w:jc w:val="center"/>
        </w:trPr>
        <w:tc>
          <w:tcPr>
            <w:tcW w:w="1476" w:type="dxa"/>
            <w:vMerge/>
            <w:noWrap/>
            <w:vAlign w:val="center"/>
            <w:hideMark/>
          </w:tcPr>
          <w:p w14:paraId="3BE7ACA8" w14:textId="77777777" w:rsidR="00201A90" w:rsidRPr="00F51C9C" w:rsidRDefault="00201A90" w:rsidP="00F51C9C">
            <w:pPr>
              <w:widowControl/>
              <w:jc w:val="center"/>
              <w:rPr>
                <w:rFonts w:ascii="宋体" w:hAnsi="宋体" w:cs="宋体"/>
                <w:kern w:val="0"/>
                <w:szCs w:val="21"/>
              </w:rPr>
            </w:pPr>
          </w:p>
        </w:tc>
        <w:tc>
          <w:tcPr>
            <w:tcW w:w="1936" w:type="dxa"/>
            <w:noWrap/>
            <w:vAlign w:val="center"/>
            <w:hideMark/>
          </w:tcPr>
          <w:p w14:paraId="41D773BC"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政府部门</w:t>
            </w:r>
          </w:p>
        </w:tc>
        <w:tc>
          <w:tcPr>
            <w:tcW w:w="1056" w:type="dxa"/>
            <w:noWrap/>
            <w:vAlign w:val="center"/>
            <w:hideMark/>
          </w:tcPr>
          <w:p w14:paraId="017FD0D0"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4.72%</w:t>
            </w:r>
          </w:p>
        </w:tc>
        <w:tc>
          <w:tcPr>
            <w:tcW w:w="1056" w:type="dxa"/>
            <w:noWrap/>
            <w:vAlign w:val="center"/>
            <w:hideMark/>
          </w:tcPr>
          <w:p w14:paraId="1F7A630D"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7.67%</w:t>
            </w:r>
          </w:p>
        </w:tc>
        <w:tc>
          <w:tcPr>
            <w:tcW w:w="2024" w:type="dxa"/>
            <w:noWrap/>
            <w:vAlign w:val="center"/>
            <w:hideMark/>
          </w:tcPr>
          <w:p w14:paraId="3536B900"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2.95%</w:t>
            </w:r>
          </w:p>
        </w:tc>
      </w:tr>
      <w:tr w:rsidR="00DC3A0D" w:rsidRPr="00DC3A0D" w14:paraId="33F36CE7" w14:textId="77777777" w:rsidTr="009A49D8">
        <w:trPr>
          <w:trHeight w:val="280"/>
          <w:jc w:val="center"/>
        </w:trPr>
        <w:tc>
          <w:tcPr>
            <w:tcW w:w="1476" w:type="dxa"/>
            <w:vMerge/>
            <w:noWrap/>
            <w:vAlign w:val="center"/>
            <w:hideMark/>
          </w:tcPr>
          <w:p w14:paraId="09965281" w14:textId="77777777" w:rsidR="00201A90" w:rsidRPr="00F51C9C" w:rsidRDefault="00201A90" w:rsidP="00F51C9C">
            <w:pPr>
              <w:widowControl/>
              <w:jc w:val="center"/>
              <w:rPr>
                <w:rFonts w:ascii="宋体" w:hAnsi="宋体" w:cs="宋体"/>
                <w:kern w:val="0"/>
                <w:szCs w:val="21"/>
              </w:rPr>
            </w:pPr>
          </w:p>
        </w:tc>
        <w:tc>
          <w:tcPr>
            <w:tcW w:w="1936" w:type="dxa"/>
            <w:noWrap/>
            <w:vAlign w:val="center"/>
            <w:hideMark/>
          </w:tcPr>
          <w:p w14:paraId="66E7DF0A"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住户部门</w:t>
            </w:r>
          </w:p>
        </w:tc>
        <w:tc>
          <w:tcPr>
            <w:tcW w:w="1056" w:type="dxa"/>
            <w:noWrap/>
            <w:vAlign w:val="center"/>
            <w:hideMark/>
          </w:tcPr>
          <w:p w14:paraId="68645F5B"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8.59%</w:t>
            </w:r>
          </w:p>
        </w:tc>
        <w:tc>
          <w:tcPr>
            <w:tcW w:w="1056" w:type="dxa"/>
            <w:noWrap/>
            <w:vAlign w:val="center"/>
            <w:hideMark/>
          </w:tcPr>
          <w:p w14:paraId="6DAB0A9C"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11.19%</w:t>
            </w:r>
          </w:p>
        </w:tc>
        <w:tc>
          <w:tcPr>
            <w:tcW w:w="2024" w:type="dxa"/>
            <w:noWrap/>
            <w:vAlign w:val="center"/>
            <w:hideMark/>
          </w:tcPr>
          <w:p w14:paraId="55C2F9BB"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2.60%</w:t>
            </w:r>
          </w:p>
        </w:tc>
      </w:tr>
      <w:tr w:rsidR="00DC3A0D" w:rsidRPr="00DC3A0D" w14:paraId="166EE152" w14:textId="77777777" w:rsidTr="009A49D8">
        <w:trPr>
          <w:trHeight w:val="280"/>
          <w:jc w:val="center"/>
        </w:trPr>
        <w:tc>
          <w:tcPr>
            <w:tcW w:w="1476" w:type="dxa"/>
            <w:vMerge w:val="restart"/>
            <w:noWrap/>
            <w:vAlign w:val="center"/>
            <w:hideMark/>
          </w:tcPr>
          <w:p w14:paraId="1CA597F6"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资金净融出率</w:t>
            </w:r>
          </w:p>
        </w:tc>
        <w:tc>
          <w:tcPr>
            <w:tcW w:w="1936" w:type="dxa"/>
            <w:noWrap/>
            <w:vAlign w:val="center"/>
            <w:hideMark/>
          </w:tcPr>
          <w:p w14:paraId="17C37B22"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非金融企业部门</w:t>
            </w:r>
          </w:p>
        </w:tc>
        <w:tc>
          <w:tcPr>
            <w:tcW w:w="1056" w:type="dxa"/>
            <w:noWrap/>
            <w:vAlign w:val="center"/>
            <w:hideMark/>
          </w:tcPr>
          <w:p w14:paraId="415774C2"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-9.46%</w:t>
            </w:r>
          </w:p>
        </w:tc>
        <w:tc>
          <w:tcPr>
            <w:tcW w:w="1056" w:type="dxa"/>
            <w:noWrap/>
            <w:vAlign w:val="center"/>
            <w:hideMark/>
          </w:tcPr>
          <w:p w14:paraId="53271329"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-5.79%</w:t>
            </w:r>
          </w:p>
        </w:tc>
        <w:tc>
          <w:tcPr>
            <w:tcW w:w="2024" w:type="dxa"/>
            <w:noWrap/>
            <w:vAlign w:val="center"/>
            <w:hideMark/>
          </w:tcPr>
          <w:p w14:paraId="1D170030"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3.66%</w:t>
            </w:r>
          </w:p>
        </w:tc>
      </w:tr>
      <w:tr w:rsidR="00DC3A0D" w:rsidRPr="00DC3A0D" w14:paraId="4A1107A3" w14:textId="77777777" w:rsidTr="009A49D8">
        <w:trPr>
          <w:trHeight w:val="280"/>
          <w:jc w:val="center"/>
        </w:trPr>
        <w:tc>
          <w:tcPr>
            <w:tcW w:w="1476" w:type="dxa"/>
            <w:vMerge/>
            <w:noWrap/>
            <w:vAlign w:val="center"/>
            <w:hideMark/>
          </w:tcPr>
          <w:p w14:paraId="36C6BCE3" w14:textId="77777777" w:rsidR="00201A90" w:rsidRPr="00F51C9C" w:rsidRDefault="00201A90" w:rsidP="00F51C9C">
            <w:pPr>
              <w:widowControl/>
              <w:jc w:val="center"/>
              <w:rPr>
                <w:rFonts w:ascii="宋体" w:hAnsi="宋体" w:cs="宋体"/>
                <w:kern w:val="0"/>
                <w:szCs w:val="21"/>
              </w:rPr>
            </w:pPr>
          </w:p>
        </w:tc>
        <w:tc>
          <w:tcPr>
            <w:tcW w:w="1936" w:type="dxa"/>
            <w:noWrap/>
            <w:vAlign w:val="center"/>
            <w:hideMark/>
          </w:tcPr>
          <w:p w14:paraId="01492FDA"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政府部门</w:t>
            </w:r>
          </w:p>
        </w:tc>
        <w:tc>
          <w:tcPr>
            <w:tcW w:w="1056" w:type="dxa"/>
            <w:noWrap/>
            <w:vAlign w:val="center"/>
            <w:hideMark/>
          </w:tcPr>
          <w:p w14:paraId="6FBD7A6F"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1.17%</w:t>
            </w:r>
          </w:p>
        </w:tc>
        <w:tc>
          <w:tcPr>
            <w:tcW w:w="1056" w:type="dxa"/>
            <w:noWrap/>
            <w:vAlign w:val="center"/>
            <w:hideMark/>
          </w:tcPr>
          <w:p w14:paraId="530EF607"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-5.58%</w:t>
            </w:r>
          </w:p>
        </w:tc>
        <w:tc>
          <w:tcPr>
            <w:tcW w:w="2024" w:type="dxa"/>
            <w:noWrap/>
            <w:vAlign w:val="center"/>
            <w:hideMark/>
          </w:tcPr>
          <w:p w14:paraId="000139BF"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-6.74%</w:t>
            </w:r>
          </w:p>
        </w:tc>
      </w:tr>
      <w:tr w:rsidR="00DC3A0D" w:rsidRPr="00DC3A0D" w14:paraId="253B9369" w14:textId="77777777" w:rsidTr="009A49D8">
        <w:trPr>
          <w:trHeight w:val="280"/>
          <w:jc w:val="center"/>
        </w:trPr>
        <w:tc>
          <w:tcPr>
            <w:tcW w:w="1476" w:type="dxa"/>
            <w:vMerge/>
            <w:noWrap/>
            <w:vAlign w:val="center"/>
            <w:hideMark/>
          </w:tcPr>
          <w:p w14:paraId="0A5EDB5A" w14:textId="77777777" w:rsidR="00201A90" w:rsidRPr="00F51C9C" w:rsidRDefault="00201A90" w:rsidP="00F51C9C">
            <w:pPr>
              <w:widowControl/>
              <w:jc w:val="center"/>
              <w:rPr>
                <w:rFonts w:ascii="宋体" w:hAnsi="宋体" w:cs="宋体"/>
                <w:kern w:val="0"/>
                <w:szCs w:val="21"/>
              </w:rPr>
            </w:pPr>
          </w:p>
        </w:tc>
        <w:tc>
          <w:tcPr>
            <w:tcW w:w="1936" w:type="dxa"/>
            <w:noWrap/>
            <w:vAlign w:val="center"/>
            <w:hideMark/>
          </w:tcPr>
          <w:p w14:paraId="7411B295" w14:textId="77777777" w:rsidR="00201A90" w:rsidRPr="00F51C9C" w:rsidRDefault="00201A90" w:rsidP="00F51C9C">
            <w:pPr>
              <w:widowControl/>
              <w:jc w:val="center"/>
              <w:rPr>
                <w:rFonts w:ascii="宋体" w:hAnsi="宋体" w:cs="宋体"/>
                <w:kern w:val="0"/>
                <w:szCs w:val="21"/>
              </w:rPr>
            </w:pPr>
            <w:r w:rsidRPr="00F51C9C">
              <w:rPr>
                <w:rFonts w:ascii="宋体" w:hAnsi="宋体" w:cs="宋体" w:hint="eastAsia"/>
                <w:kern w:val="0"/>
                <w:szCs w:val="21"/>
              </w:rPr>
              <w:t>住户部门</w:t>
            </w:r>
          </w:p>
        </w:tc>
        <w:tc>
          <w:tcPr>
            <w:tcW w:w="1056" w:type="dxa"/>
            <w:noWrap/>
            <w:vAlign w:val="center"/>
            <w:hideMark/>
          </w:tcPr>
          <w:p w14:paraId="65FCE262"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14.67%</w:t>
            </w:r>
          </w:p>
        </w:tc>
        <w:tc>
          <w:tcPr>
            <w:tcW w:w="1056" w:type="dxa"/>
            <w:noWrap/>
            <w:vAlign w:val="center"/>
            <w:hideMark/>
          </w:tcPr>
          <w:p w14:paraId="3185A4F1" w14:textId="77777777" w:rsidR="00201A90" w:rsidRPr="00F51C9C" w:rsidRDefault="00201A90" w:rsidP="00130424">
            <w:pPr>
              <w:widowControl/>
              <w:jc w:val="center"/>
              <w:rPr>
                <w:rFonts w:ascii="宋体" w:hAnsi="宋体" w:cs="宋体"/>
                <w:kern w:val="0"/>
                <w:szCs w:val="21"/>
              </w:rPr>
            </w:pPr>
            <w:r w:rsidRPr="00F51C9C">
              <w:rPr>
                <w:rFonts w:ascii="宋体" w:hAnsi="宋体" w:cs="宋体"/>
                <w:kern w:val="0"/>
                <w:szCs w:val="21"/>
              </w:rPr>
              <w:t>9.39%</w:t>
            </w:r>
          </w:p>
        </w:tc>
        <w:tc>
          <w:tcPr>
            <w:tcW w:w="2024" w:type="dxa"/>
            <w:noWrap/>
            <w:vAlign w:val="center"/>
            <w:hideMark/>
          </w:tcPr>
          <w:p w14:paraId="6F157522" w14:textId="77777777" w:rsidR="00201A90" w:rsidRPr="00F51C9C" w:rsidRDefault="00201A90" w:rsidP="002748F9">
            <w:pPr>
              <w:widowControl/>
              <w:jc w:val="center"/>
              <w:rPr>
                <w:rFonts w:ascii="宋体" w:hAnsi="宋体" w:cs="宋体"/>
                <w:kern w:val="0"/>
                <w:szCs w:val="21"/>
              </w:rPr>
            </w:pPr>
            <w:r w:rsidRPr="00F51C9C">
              <w:rPr>
                <w:rFonts w:ascii="宋体" w:hAnsi="宋体" w:cs="宋体"/>
                <w:kern w:val="0"/>
                <w:szCs w:val="21"/>
              </w:rPr>
              <w:t>-5.28%</w:t>
            </w:r>
          </w:p>
        </w:tc>
      </w:tr>
    </w:tbl>
    <w:bookmarkEnd w:id="2"/>
    <w:p w14:paraId="55C7F5B7" w14:textId="40954241" w:rsidR="00F91FFD" w:rsidRPr="00F51C9C" w:rsidRDefault="00F91FFD" w:rsidP="00F51C9C">
      <w:pPr>
        <w:ind w:firstLineChars="300" w:firstLine="450"/>
        <w:rPr>
          <w:rFonts w:ascii="宋体" w:hAnsi="宋体"/>
          <w:sz w:val="15"/>
          <w:szCs w:val="15"/>
        </w:rPr>
      </w:pPr>
      <w:r w:rsidRPr="00F51C9C">
        <w:rPr>
          <w:rFonts w:ascii="楷体" w:eastAsia="楷体" w:hAnsi="楷体" w:hint="eastAsia"/>
          <w:sz w:val="15"/>
          <w:szCs w:val="15"/>
        </w:rPr>
        <w:t>数据来源：</w:t>
      </w:r>
      <w:r w:rsidR="00201A90" w:rsidRPr="00F51C9C">
        <w:rPr>
          <w:rFonts w:ascii="楷体" w:eastAsia="楷体" w:hAnsi="楷体" w:hint="eastAsia"/>
          <w:sz w:val="15"/>
          <w:szCs w:val="15"/>
        </w:rPr>
        <w:t>作者根据</w:t>
      </w:r>
      <w:r w:rsidR="000139E6">
        <w:rPr>
          <w:rFonts w:ascii="楷体" w:eastAsia="楷体" w:hAnsi="楷体" w:hint="eastAsia"/>
          <w:sz w:val="15"/>
          <w:szCs w:val="15"/>
        </w:rPr>
        <w:t>相关</w:t>
      </w:r>
      <w:r w:rsidR="00087A56">
        <w:rPr>
          <w:rFonts w:ascii="楷体" w:eastAsia="楷体" w:hAnsi="楷体" w:hint="eastAsia"/>
          <w:sz w:val="15"/>
          <w:szCs w:val="15"/>
        </w:rPr>
        <w:t>历年</w:t>
      </w:r>
      <w:r w:rsidR="00201A90" w:rsidRPr="00F51C9C">
        <w:rPr>
          <w:rFonts w:ascii="楷体" w:eastAsia="楷体" w:hAnsi="楷体" w:hint="eastAsia"/>
          <w:sz w:val="15"/>
          <w:szCs w:val="15"/>
        </w:rPr>
        <w:t>《中国统计年鉴》</w:t>
      </w:r>
      <w:r w:rsidR="00515EA7">
        <w:rPr>
          <w:rFonts w:ascii="楷体" w:eastAsia="楷体" w:hAnsi="楷体" w:hint="eastAsia"/>
          <w:sz w:val="15"/>
          <w:szCs w:val="15"/>
        </w:rPr>
        <w:t>中的</w:t>
      </w:r>
      <w:r w:rsidR="00201A90" w:rsidRPr="00F51C9C">
        <w:rPr>
          <w:rFonts w:ascii="楷体" w:eastAsia="楷体" w:hAnsi="楷体" w:hint="eastAsia"/>
          <w:sz w:val="15"/>
          <w:szCs w:val="15"/>
        </w:rPr>
        <w:t>《资金流量表（实物交易）》计算。</w:t>
      </w:r>
    </w:p>
    <w:p w14:paraId="1BC885BB" w14:textId="7DF45DB9" w:rsidR="00F91FFD" w:rsidRPr="00DC3A0D" w:rsidRDefault="00F91FFD" w:rsidP="00F91FFD">
      <w:pPr>
        <w:jc w:val="center"/>
        <w:rPr>
          <w:rFonts w:ascii="楷体" w:eastAsia="楷体" w:hAnsi="楷体"/>
        </w:rPr>
      </w:pPr>
    </w:p>
    <w:p w14:paraId="4F002EA0" w14:textId="01322783" w:rsidR="00F52EEF" w:rsidRPr="009A454A" w:rsidRDefault="00F52EEF" w:rsidP="009A454A">
      <w:pPr>
        <w:ind w:firstLineChars="200" w:firstLine="420"/>
        <w:rPr>
          <w:rFonts w:ascii="黑体" w:eastAsia="黑体" w:hAnsi="黑体"/>
        </w:rPr>
      </w:pPr>
      <w:r w:rsidRPr="009A454A">
        <w:rPr>
          <w:rFonts w:ascii="黑体" w:eastAsia="黑体" w:hAnsi="黑体" w:hint="eastAsia"/>
        </w:rPr>
        <w:t>（三）融资主体结构转型</w:t>
      </w:r>
      <w:r w:rsidR="00611A7A" w:rsidRPr="009A454A">
        <w:rPr>
          <w:rFonts w:ascii="黑体" w:eastAsia="黑体" w:hAnsi="黑体" w:hint="eastAsia"/>
        </w:rPr>
        <w:t>引发</w:t>
      </w:r>
      <w:r w:rsidRPr="009A454A">
        <w:rPr>
          <w:rFonts w:ascii="黑体" w:eastAsia="黑体" w:hAnsi="黑体" w:hint="eastAsia"/>
        </w:rPr>
        <w:t>宏观负债结构变化</w:t>
      </w:r>
    </w:p>
    <w:p w14:paraId="550984A5" w14:textId="7217FBC4" w:rsidR="00F52EEF" w:rsidRPr="00DC3A0D" w:rsidRDefault="00F52EEF" w:rsidP="00F52EEF">
      <w:pPr>
        <w:ind w:firstLineChars="200" w:firstLine="420"/>
      </w:pPr>
      <w:r w:rsidRPr="00DC3A0D">
        <w:rPr>
          <w:rFonts w:hint="eastAsia"/>
        </w:rPr>
        <w:t>如上文所述，</w:t>
      </w:r>
      <w:r w:rsidR="00AD733F" w:rsidRPr="00DC3A0D">
        <w:rPr>
          <w:rFonts w:hint="eastAsia"/>
        </w:rPr>
        <w:t>由于</w:t>
      </w:r>
      <w:r w:rsidRPr="00DC3A0D">
        <w:rPr>
          <w:rFonts w:hint="eastAsia"/>
        </w:rPr>
        <w:t>住户部门和广义政府部门在过去十余年间成为</w:t>
      </w:r>
      <w:r w:rsidR="00515EA7">
        <w:rPr>
          <w:rFonts w:hint="eastAsia"/>
        </w:rPr>
        <w:t>了</w:t>
      </w:r>
      <w:r w:rsidRPr="00DC3A0D">
        <w:rPr>
          <w:rFonts w:hint="eastAsia"/>
        </w:rPr>
        <w:t>更重要的融资主体，</w:t>
      </w:r>
      <w:r w:rsidR="00723FA1" w:rsidRPr="00DC3A0D">
        <w:rPr>
          <w:rFonts w:hint="eastAsia"/>
        </w:rPr>
        <w:t>且</w:t>
      </w:r>
      <w:r w:rsidR="00E21DD6" w:rsidRPr="00DC3A0D">
        <w:rPr>
          <w:rFonts w:hint="eastAsia"/>
        </w:rPr>
        <w:t>其</w:t>
      </w:r>
      <w:r w:rsidR="009C3599" w:rsidRPr="00DC3A0D">
        <w:rPr>
          <w:rFonts w:hint="eastAsia"/>
        </w:rPr>
        <w:t>融资以</w:t>
      </w:r>
      <w:r w:rsidRPr="00DC3A0D">
        <w:rPr>
          <w:rFonts w:hint="eastAsia"/>
        </w:rPr>
        <w:t>债务融资</w:t>
      </w:r>
      <w:r w:rsidR="009C3599" w:rsidRPr="00DC3A0D">
        <w:rPr>
          <w:rFonts w:hint="eastAsia"/>
        </w:rPr>
        <w:t>为主</w:t>
      </w:r>
      <w:r w:rsidRPr="00DC3A0D">
        <w:rPr>
          <w:rFonts w:hint="eastAsia"/>
        </w:rPr>
        <w:t>，因而这两个部门的杠杆率在过去十年间也上升较快，债务负担</w:t>
      </w:r>
      <w:r w:rsidR="001B39F8">
        <w:rPr>
          <w:rFonts w:hint="eastAsia"/>
        </w:rPr>
        <w:t>持续</w:t>
      </w:r>
      <w:r w:rsidRPr="00DC3A0D">
        <w:rPr>
          <w:rFonts w:hint="eastAsia"/>
        </w:rPr>
        <w:t>累</w:t>
      </w:r>
      <w:r w:rsidR="001B39F8" w:rsidRPr="00DC3A0D">
        <w:rPr>
          <w:rFonts w:hint="eastAsia"/>
        </w:rPr>
        <w:t>积</w:t>
      </w:r>
      <w:r w:rsidRPr="00DC3A0D">
        <w:rPr>
          <w:rFonts w:hint="eastAsia"/>
        </w:rPr>
        <w:t>。</w:t>
      </w:r>
    </w:p>
    <w:p w14:paraId="69328395" w14:textId="71AE4DCD" w:rsidR="00F52EEF" w:rsidRPr="00DC3A0D" w:rsidRDefault="00EE5F2B" w:rsidP="00F52EEF">
      <w:pPr>
        <w:ind w:firstLineChars="200" w:firstLine="420"/>
      </w:pPr>
      <w:r w:rsidRPr="00DC3A0D">
        <w:rPr>
          <w:rFonts w:hint="eastAsia"/>
        </w:rPr>
        <w:t>第一，</w:t>
      </w:r>
      <w:r w:rsidR="00F52EEF" w:rsidRPr="00DC3A0D">
        <w:rPr>
          <w:rFonts w:hint="eastAsia"/>
        </w:rPr>
        <w:t>以住房抵押贷款为主的</w:t>
      </w:r>
      <w:r w:rsidR="00D9060E" w:rsidRPr="00DC3A0D">
        <w:rPr>
          <w:rFonts w:hint="eastAsia"/>
        </w:rPr>
        <w:t>住户部门</w:t>
      </w:r>
      <w:r w:rsidR="00F52EEF" w:rsidRPr="00DC3A0D">
        <w:rPr>
          <w:rFonts w:hint="eastAsia"/>
        </w:rPr>
        <w:t>融资增长导致</w:t>
      </w:r>
      <w:r w:rsidR="00D9060E" w:rsidRPr="00DC3A0D">
        <w:rPr>
          <w:rFonts w:hint="eastAsia"/>
        </w:rPr>
        <w:t>住户部门</w:t>
      </w:r>
      <w:r w:rsidR="00F52EEF" w:rsidRPr="00DC3A0D">
        <w:rPr>
          <w:rFonts w:hint="eastAsia"/>
        </w:rPr>
        <w:t>杠杆率快速攀升。</w:t>
      </w:r>
      <w:r w:rsidR="00F52EEF" w:rsidRPr="00DC3A0D">
        <w:rPr>
          <w:rFonts w:hint="eastAsia"/>
        </w:rPr>
        <w:t>2</w:t>
      </w:r>
      <w:r w:rsidR="00F52EEF" w:rsidRPr="00DC3A0D">
        <w:t>007</w:t>
      </w:r>
      <w:r w:rsidR="00F52EEF" w:rsidRPr="00DC3A0D">
        <w:rPr>
          <w:rFonts w:hint="eastAsia"/>
        </w:rPr>
        <w:t>年末</w:t>
      </w:r>
      <w:r w:rsidR="00D9060E" w:rsidRPr="00DC3A0D">
        <w:rPr>
          <w:rFonts w:hint="eastAsia"/>
        </w:rPr>
        <w:t>住户部门</w:t>
      </w:r>
      <w:r w:rsidR="00F52EEF" w:rsidRPr="00DC3A0D">
        <w:rPr>
          <w:rFonts w:hint="eastAsia"/>
        </w:rPr>
        <w:t>债务余额为</w:t>
      </w:r>
      <w:r w:rsidR="00F52EEF" w:rsidRPr="00DC3A0D">
        <w:t>5.08</w:t>
      </w:r>
      <w:r w:rsidR="00F52EEF" w:rsidRPr="00DC3A0D">
        <w:rPr>
          <w:rFonts w:hint="eastAsia"/>
        </w:rPr>
        <w:t>万亿元，到</w:t>
      </w:r>
      <w:r w:rsidR="00F52EEF" w:rsidRPr="00DC3A0D">
        <w:rPr>
          <w:rFonts w:hint="eastAsia"/>
        </w:rPr>
        <w:t>2</w:t>
      </w:r>
      <w:r w:rsidR="00F52EEF" w:rsidRPr="00DC3A0D">
        <w:t>019</w:t>
      </w:r>
      <w:r w:rsidR="00F52EEF" w:rsidRPr="00DC3A0D">
        <w:rPr>
          <w:rFonts w:hint="eastAsia"/>
        </w:rPr>
        <w:t>年末该数值上升到</w:t>
      </w:r>
      <w:r w:rsidR="00F52EEF" w:rsidRPr="00DC3A0D">
        <w:rPr>
          <w:rFonts w:hint="eastAsia"/>
        </w:rPr>
        <w:t>5</w:t>
      </w:r>
      <w:r w:rsidR="00F52EEF" w:rsidRPr="00DC3A0D">
        <w:t>5.3</w:t>
      </w:r>
      <w:r w:rsidR="00F52EEF" w:rsidRPr="00DC3A0D">
        <w:rPr>
          <w:rFonts w:hint="eastAsia"/>
        </w:rPr>
        <w:t>万亿元，十年间增长了将近</w:t>
      </w:r>
      <w:r w:rsidR="00F52EEF" w:rsidRPr="00DC3A0D">
        <w:rPr>
          <w:rFonts w:hint="eastAsia"/>
        </w:rPr>
        <w:t>1</w:t>
      </w:r>
      <w:r w:rsidR="00F52EEF" w:rsidRPr="00DC3A0D">
        <w:t>0</w:t>
      </w:r>
      <w:r w:rsidR="00F52EEF" w:rsidRPr="00DC3A0D">
        <w:rPr>
          <w:rFonts w:hint="eastAsia"/>
        </w:rPr>
        <w:t>倍。</w:t>
      </w:r>
      <w:r w:rsidR="00F52EEF" w:rsidRPr="00DC3A0D">
        <w:rPr>
          <w:rFonts w:hint="eastAsia"/>
        </w:rPr>
        <w:t>2</w:t>
      </w:r>
      <w:r w:rsidR="00F52EEF" w:rsidRPr="00DC3A0D">
        <w:t>001</w:t>
      </w:r>
      <w:r w:rsidR="00F52EEF" w:rsidRPr="00DC3A0D">
        <w:rPr>
          <w:rFonts w:hint="eastAsia"/>
        </w:rPr>
        <w:t>-</w:t>
      </w:r>
      <w:r w:rsidR="00F52EEF" w:rsidRPr="00DC3A0D">
        <w:t>2007</w:t>
      </w:r>
      <w:r w:rsidR="00F52EEF" w:rsidRPr="00DC3A0D">
        <w:rPr>
          <w:rFonts w:hint="eastAsia"/>
        </w:rPr>
        <w:t>年</w:t>
      </w:r>
      <w:r w:rsidR="00D9060E" w:rsidRPr="00DC3A0D">
        <w:rPr>
          <w:rFonts w:hint="eastAsia"/>
        </w:rPr>
        <w:t>住户部门</w:t>
      </w:r>
      <w:r w:rsidR="00F52EEF" w:rsidRPr="00DC3A0D">
        <w:rPr>
          <w:rFonts w:hint="eastAsia"/>
        </w:rPr>
        <w:t>杠杆率的年均升幅仅为</w:t>
      </w:r>
      <w:r w:rsidR="00F52EEF" w:rsidRPr="00DC3A0D">
        <w:rPr>
          <w:rFonts w:hint="eastAsia"/>
        </w:rPr>
        <w:t>0</w:t>
      </w:r>
      <w:r w:rsidR="00F52EEF" w:rsidRPr="00DC3A0D">
        <w:t>.8</w:t>
      </w:r>
      <w:r w:rsidR="00F52EEF" w:rsidRPr="00DC3A0D">
        <w:rPr>
          <w:rFonts w:hint="eastAsia"/>
        </w:rPr>
        <w:t>个百分点，而到</w:t>
      </w:r>
      <w:r w:rsidR="00F52EEF" w:rsidRPr="00DC3A0D">
        <w:rPr>
          <w:rFonts w:hint="eastAsia"/>
        </w:rPr>
        <w:t>2</w:t>
      </w:r>
      <w:r w:rsidR="00F52EEF" w:rsidRPr="00DC3A0D">
        <w:t>008</w:t>
      </w:r>
      <w:r w:rsidR="00F52EEF" w:rsidRPr="00DC3A0D">
        <w:rPr>
          <w:rFonts w:hint="eastAsia"/>
        </w:rPr>
        <w:t>-</w:t>
      </w:r>
      <w:r w:rsidR="00F52EEF" w:rsidRPr="00DC3A0D">
        <w:t>2019</w:t>
      </w:r>
      <w:r w:rsidR="00F52EEF" w:rsidRPr="00DC3A0D">
        <w:rPr>
          <w:rFonts w:hint="eastAsia"/>
        </w:rPr>
        <w:t>年则跃升至年均</w:t>
      </w:r>
      <w:r w:rsidR="00F52EEF" w:rsidRPr="00DC3A0D">
        <w:rPr>
          <w:rFonts w:hint="eastAsia"/>
        </w:rPr>
        <w:t>3</w:t>
      </w:r>
      <w:r w:rsidR="00F52EEF" w:rsidRPr="00DC3A0D">
        <w:t>.1</w:t>
      </w:r>
      <w:r w:rsidR="00F52EEF" w:rsidRPr="00DC3A0D">
        <w:rPr>
          <w:rFonts w:hint="eastAsia"/>
        </w:rPr>
        <w:t>个百分点。截至</w:t>
      </w:r>
      <w:r w:rsidR="00F52EEF" w:rsidRPr="00DC3A0D">
        <w:rPr>
          <w:rFonts w:hint="eastAsia"/>
        </w:rPr>
        <w:t>2</w:t>
      </w:r>
      <w:r w:rsidR="00F52EEF" w:rsidRPr="00DC3A0D">
        <w:t>019</w:t>
      </w:r>
      <w:r w:rsidR="00F52EEF" w:rsidRPr="00DC3A0D">
        <w:rPr>
          <w:rFonts w:hint="eastAsia"/>
        </w:rPr>
        <w:t>年，我国</w:t>
      </w:r>
      <w:r w:rsidR="00D9060E" w:rsidRPr="00DC3A0D">
        <w:rPr>
          <w:rFonts w:hint="eastAsia"/>
        </w:rPr>
        <w:t>住户部门</w:t>
      </w:r>
      <w:r w:rsidR="00F52EEF" w:rsidRPr="00DC3A0D">
        <w:rPr>
          <w:rFonts w:hint="eastAsia"/>
        </w:rPr>
        <w:t>杠杆率已经由全球金融危机前的</w:t>
      </w:r>
      <w:r w:rsidR="00F52EEF" w:rsidRPr="00DC3A0D">
        <w:rPr>
          <w:rFonts w:hint="eastAsia"/>
        </w:rPr>
        <w:t>1</w:t>
      </w:r>
      <w:r w:rsidR="00F52EEF" w:rsidRPr="00DC3A0D">
        <w:t>8.8</w:t>
      </w:r>
      <w:r w:rsidR="00F52EEF" w:rsidRPr="00DC3A0D">
        <w:rPr>
          <w:rFonts w:hint="eastAsia"/>
        </w:rPr>
        <w:t>%</w:t>
      </w:r>
      <w:r w:rsidR="00F52EEF" w:rsidRPr="00DC3A0D">
        <w:rPr>
          <w:rFonts w:hint="eastAsia"/>
        </w:rPr>
        <w:t>攀升至</w:t>
      </w:r>
      <w:r w:rsidR="00F52EEF" w:rsidRPr="00DC3A0D">
        <w:rPr>
          <w:rFonts w:hint="eastAsia"/>
        </w:rPr>
        <w:t>5</w:t>
      </w:r>
      <w:r w:rsidR="00F52EEF" w:rsidRPr="00DC3A0D">
        <w:t>5.8</w:t>
      </w:r>
      <w:r w:rsidR="00F52EEF" w:rsidRPr="00DC3A0D">
        <w:rPr>
          <w:rFonts w:hint="eastAsia"/>
        </w:rPr>
        <w:t>%</w:t>
      </w:r>
      <w:r w:rsidR="00F52EEF" w:rsidRPr="00DC3A0D">
        <w:rPr>
          <w:rFonts w:hint="eastAsia"/>
        </w:rPr>
        <w:t>；更严峻的是，由于我国宏观收入分配结构中劳动报酬份额偏低，从而以“</w:t>
      </w:r>
      <w:r w:rsidR="00D9060E" w:rsidRPr="00DC3A0D">
        <w:rPr>
          <w:rFonts w:hint="eastAsia"/>
        </w:rPr>
        <w:t>住户部门</w:t>
      </w:r>
      <w:r w:rsidR="00F52EEF" w:rsidRPr="00DC3A0D">
        <w:rPr>
          <w:rFonts w:hint="eastAsia"/>
        </w:rPr>
        <w:t>债务余额</w:t>
      </w:r>
      <w:r w:rsidR="00F52EEF" w:rsidRPr="00DC3A0D">
        <w:rPr>
          <w:rFonts w:hint="eastAsia"/>
        </w:rPr>
        <w:t>/</w:t>
      </w:r>
      <w:r w:rsidR="00F52EEF" w:rsidRPr="00DC3A0D">
        <w:rPr>
          <w:rFonts w:hint="eastAsia"/>
        </w:rPr>
        <w:t>居民可支配收入”和“</w:t>
      </w:r>
      <w:r w:rsidR="00D9060E" w:rsidRPr="00DC3A0D">
        <w:rPr>
          <w:rFonts w:hint="eastAsia"/>
        </w:rPr>
        <w:t>住户部门</w:t>
      </w:r>
      <w:r w:rsidR="00F52EEF" w:rsidRPr="00DC3A0D">
        <w:rPr>
          <w:rFonts w:hint="eastAsia"/>
        </w:rPr>
        <w:t>债务</w:t>
      </w:r>
      <w:r w:rsidR="00F52EEF" w:rsidRPr="00DC3A0D">
        <w:rPr>
          <w:rFonts w:hint="eastAsia"/>
        </w:rPr>
        <w:t>/</w:t>
      </w:r>
      <w:r w:rsidR="00D9060E" w:rsidRPr="00DC3A0D">
        <w:rPr>
          <w:rFonts w:hint="eastAsia"/>
        </w:rPr>
        <w:t>住户部门</w:t>
      </w:r>
      <w:r w:rsidR="00F52EEF" w:rsidRPr="00DC3A0D">
        <w:rPr>
          <w:rFonts w:hint="eastAsia"/>
        </w:rPr>
        <w:t>储蓄”衡量的偿债能力指标恶化较为严重——前者由</w:t>
      </w:r>
      <w:r w:rsidR="00F52EEF" w:rsidRPr="00DC3A0D">
        <w:rPr>
          <w:rFonts w:hint="eastAsia"/>
        </w:rPr>
        <w:t>2</w:t>
      </w:r>
      <w:r w:rsidR="00F52EEF" w:rsidRPr="00DC3A0D">
        <w:t>007</w:t>
      </w:r>
      <w:r w:rsidR="00F52EEF" w:rsidRPr="00DC3A0D">
        <w:rPr>
          <w:rFonts w:hint="eastAsia"/>
        </w:rPr>
        <w:t>年底的</w:t>
      </w:r>
      <w:r w:rsidR="008B659B" w:rsidRPr="00DC3A0D">
        <w:t>33.4</w:t>
      </w:r>
      <w:r w:rsidR="00F52EEF" w:rsidRPr="00DC3A0D">
        <w:rPr>
          <w:rFonts w:hint="eastAsia"/>
        </w:rPr>
        <w:t>%</w:t>
      </w:r>
      <w:r w:rsidR="00F52EEF" w:rsidRPr="00DC3A0D">
        <w:rPr>
          <w:rFonts w:hint="eastAsia"/>
        </w:rPr>
        <w:t>攀升至</w:t>
      </w:r>
      <w:r w:rsidR="00F52EEF" w:rsidRPr="00DC3A0D">
        <w:rPr>
          <w:rFonts w:hint="eastAsia"/>
        </w:rPr>
        <w:t>2</w:t>
      </w:r>
      <w:r w:rsidR="00F52EEF" w:rsidRPr="00DC3A0D">
        <w:t>01</w:t>
      </w:r>
      <w:r w:rsidR="008B659B" w:rsidRPr="00DC3A0D">
        <w:t>8</w:t>
      </w:r>
      <w:r w:rsidR="00F52EEF" w:rsidRPr="00DC3A0D">
        <w:rPr>
          <w:rFonts w:hint="eastAsia"/>
        </w:rPr>
        <w:t>年底的</w:t>
      </w:r>
      <w:r w:rsidR="00F52EEF" w:rsidRPr="00DC3A0D">
        <w:rPr>
          <w:rFonts w:hint="eastAsia"/>
        </w:rPr>
        <w:t>8</w:t>
      </w:r>
      <w:r w:rsidR="008B659B" w:rsidRPr="00DC3A0D">
        <w:t>8</w:t>
      </w:r>
      <w:r w:rsidR="00F52EEF" w:rsidRPr="00DC3A0D">
        <w:t>.</w:t>
      </w:r>
      <w:r w:rsidR="008B659B" w:rsidRPr="00DC3A0D">
        <w:t>2</w:t>
      </w:r>
      <w:r w:rsidR="00F52EEF" w:rsidRPr="00DC3A0D">
        <w:rPr>
          <w:rFonts w:hint="eastAsia"/>
        </w:rPr>
        <w:t>%</w:t>
      </w:r>
      <w:r w:rsidR="00F52EEF" w:rsidRPr="00DC3A0D">
        <w:rPr>
          <w:rFonts w:hint="eastAsia"/>
        </w:rPr>
        <w:t>，后者由</w:t>
      </w:r>
      <w:r w:rsidR="00F52EEF" w:rsidRPr="00DC3A0D">
        <w:rPr>
          <w:rFonts w:hint="eastAsia"/>
        </w:rPr>
        <w:t>2</w:t>
      </w:r>
      <w:r w:rsidR="00F52EEF" w:rsidRPr="00DC3A0D">
        <w:t>007</w:t>
      </w:r>
      <w:r w:rsidR="00F52EEF" w:rsidRPr="00DC3A0D">
        <w:rPr>
          <w:rFonts w:hint="eastAsia"/>
        </w:rPr>
        <w:t>年底的</w:t>
      </w:r>
      <w:r w:rsidR="008B659B" w:rsidRPr="00DC3A0D">
        <w:t>94.0</w:t>
      </w:r>
      <w:r w:rsidR="00F52EEF" w:rsidRPr="00DC3A0D">
        <w:rPr>
          <w:rFonts w:hint="eastAsia"/>
        </w:rPr>
        <w:t>%</w:t>
      </w:r>
      <w:r w:rsidR="00F52EEF" w:rsidRPr="00DC3A0D">
        <w:rPr>
          <w:rFonts w:hint="eastAsia"/>
        </w:rPr>
        <w:t>攀升至</w:t>
      </w:r>
      <w:r w:rsidR="00F52EEF" w:rsidRPr="00DC3A0D">
        <w:rPr>
          <w:rFonts w:hint="eastAsia"/>
        </w:rPr>
        <w:t>2</w:t>
      </w:r>
      <w:r w:rsidR="00F52EEF" w:rsidRPr="00DC3A0D">
        <w:t>017</w:t>
      </w:r>
      <w:r w:rsidR="00F52EEF" w:rsidRPr="00DC3A0D">
        <w:rPr>
          <w:rFonts w:hint="eastAsia"/>
        </w:rPr>
        <w:t>年底的</w:t>
      </w:r>
      <w:r w:rsidR="008B659B" w:rsidRPr="00DC3A0D">
        <w:t>253.2</w:t>
      </w:r>
      <w:r w:rsidR="00F52EEF" w:rsidRPr="00DC3A0D">
        <w:rPr>
          <w:rFonts w:hint="eastAsia"/>
        </w:rPr>
        <w:t>%</w:t>
      </w:r>
      <w:r w:rsidR="00F52EEF" w:rsidRPr="00DC3A0D">
        <w:rPr>
          <w:rFonts w:hint="eastAsia"/>
        </w:rPr>
        <w:t>（表</w:t>
      </w:r>
      <w:r w:rsidR="00B93651" w:rsidRPr="00DC3A0D">
        <w:t>2</w:t>
      </w:r>
      <w:r w:rsidR="00F52EEF" w:rsidRPr="00DC3A0D">
        <w:rPr>
          <w:rFonts w:hint="eastAsia"/>
        </w:rPr>
        <w:t>）。这意味着，</w:t>
      </w:r>
      <w:r w:rsidR="00F52EEF" w:rsidRPr="00DC3A0D">
        <w:rPr>
          <w:rFonts w:hint="eastAsia"/>
        </w:rPr>
        <w:t>2</w:t>
      </w:r>
      <w:r w:rsidR="00F52EEF" w:rsidRPr="00DC3A0D">
        <w:t>007</w:t>
      </w:r>
      <w:r w:rsidR="00F52EEF" w:rsidRPr="00DC3A0D">
        <w:rPr>
          <w:rFonts w:hint="eastAsia"/>
        </w:rPr>
        <w:t>年时</w:t>
      </w:r>
      <w:r w:rsidR="00D9060E" w:rsidRPr="00DC3A0D">
        <w:rPr>
          <w:rFonts w:hint="eastAsia"/>
        </w:rPr>
        <w:t>住户部门</w:t>
      </w:r>
      <w:r w:rsidR="00F52EEF" w:rsidRPr="00DC3A0D">
        <w:rPr>
          <w:rFonts w:hint="eastAsia"/>
        </w:rPr>
        <w:t>当年的储蓄能够覆盖</w:t>
      </w:r>
      <w:r w:rsidR="00F52EEF" w:rsidRPr="00DC3A0D">
        <w:rPr>
          <w:rFonts w:hint="eastAsia"/>
        </w:rPr>
        <w:t>1</w:t>
      </w:r>
      <w:r w:rsidR="00F52EEF" w:rsidRPr="00DC3A0D">
        <w:t>.</w:t>
      </w:r>
      <w:r w:rsidR="00FB1242" w:rsidRPr="00DC3A0D">
        <w:t>1</w:t>
      </w:r>
      <w:r w:rsidR="00F52EEF" w:rsidRPr="00DC3A0D">
        <w:rPr>
          <w:rFonts w:hint="eastAsia"/>
        </w:rPr>
        <w:t>倍的债务，而到</w:t>
      </w:r>
      <w:r w:rsidR="00F52EEF" w:rsidRPr="00DC3A0D">
        <w:rPr>
          <w:rFonts w:hint="eastAsia"/>
        </w:rPr>
        <w:t>2</w:t>
      </w:r>
      <w:r w:rsidR="00F52EEF" w:rsidRPr="00DC3A0D">
        <w:t>01</w:t>
      </w:r>
      <w:r w:rsidR="00FB1242" w:rsidRPr="00DC3A0D">
        <w:t>8</w:t>
      </w:r>
      <w:r w:rsidR="00F52EEF" w:rsidRPr="00DC3A0D">
        <w:rPr>
          <w:rFonts w:hint="eastAsia"/>
        </w:rPr>
        <w:t>年</w:t>
      </w:r>
      <w:r w:rsidR="000139E6">
        <w:rPr>
          <w:rFonts w:hint="eastAsia"/>
        </w:rPr>
        <w:t>则</w:t>
      </w:r>
      <w:r w:rsidR="00F52EEF" w:rsidRPr="00DC3A0D">
        <w:rPr>
          <w:rFonts w:hint="eastAsia"/>
        </w:rPr>
        <w:t>仅能覆盖</w:t>
      </w:r>
      <w:r w:rsidR="00AA3086" w:rsidRPr="00DC3A0D">
        <w:rPr>
          <w:rFonts w:hint="eastAsia"/>
        </w:rPr>
        <w:t>大约</w:t>
      </w:r>
      <w:r w:rsidR="00810F30" w:rsidRPr="00DC3A0D">
        <w:rPr>
          <w:rFonts w:hint="eastAsia"/>
        </w:rPr>
        <w:t>四成</w:t>
      </w:r>
      <w:r w:rsidR="00F52EEF" w:rsidRPr="00DC3A0D">
        <w:rPr>
          <w:rFonts w:hint="eastAsia"/>
        </w:rPr>
        <w:t>的债务。</w:t>
      </w:r>
    </w:p>
    <w:p w14:paraId="51EEDC92" w14:textId="225C89CB" w:rsidR="00F52EEF" w:rsidRPr="00DC3A0D" w:rsidRDefault="00EE5F2B" w:rsidP="00F52EEF">
      <w:pPr>
        <w:ind w:firstLineChars="200" w:firstLine="420"/>
      </w:pPr>
      <w:r w:rsidRPr="00DC3A0D">
        <w:rPr>
          <w:rFonts w:hint="eastAsia"/>
        </w:rPr>
        <w:t>第二，</w:t>
      </w:r>
      <w:r w:rsidR="00EB4B3E" w:rsidRPr="00DC3A0D">
        <w:rPr>
          <w:rFonts w:hint="eastAsia"/>
        </w:rPr>
        <w:t>以城投公司为主的</w:t>
      </w:r>
      <w:r w:rsidR="0096637B" w:rsidRPr="00DC3A0D">
        <w:rPr>
          <w:rFonts w:hint="eastAsia"/>
        </w:rPr>
        <w:t>广义公共部门债务</w:t>
      </w:r>
      <w:r w:rsidR="00D32EFC" w:rsidRPr="00DC3A0D">
        <w:rPr>
          <w:rFonts w:hint="eastAsia"/>
        </w:rPr>
        <w:t>导致</w:t>
      </w:r>
      <w:r w:rsidR="00BC266C" w:rsidRPr="00DC3A0D">
        <w:rPr>
          <w:rFonts w:hint="eastAsia"/>
        </w:rPr>
        <w:t>地方政府隐性债务</w:t>
      </w:r>
      <w:r w:rsidR="000F1796">
        <w:rPr>
          <w:rFonts w:hint="eastAsia"/>
        </w:rPr>
        <w:t>较快积累</w:t>
      </w:r>
      <w:r w:rsidR="00F52EEF" w:rsidRPr="00DC3A0D">
        <w:rPr>
          <w:rFonts w:hint="eastAsia"/>
        </w:rPr>
        <w:t>。仅考虑中央政府和地方政府正规债务的“狭义政府部门杠杆率”由</w:t>
      </w:r>
      <w:r w:rsidR="00F52EEF" w:rsidRPr="00DC3A0D">
        <w:rPr>
          <w:rFonts w:hint="eastAsia"/>
        </w:rPr>
        <w:t>2</w:t>
      </w:r>
      <w:r w:rsidR="00F52EEF" w:rsidRPr="00DC3A0D">
        <w:t>011</w:t>
      </w:r>
      <w:r w:rsidR="00F52EEF" w:rsidRPr="00DC3A0D">
        <w:rPr>
          <w:rFonts w:hint="eastAsia"/>
        </w:rPr>
        <w:t>年的</w:t>
      </w:r>
      <w:r w:rsidR="00F52EEF" w:rsidRPr="00DC3A0D">
        <w:rPr>
          <w:rFonts w:hint="eastAsia"/>
        </w:rPr>
        <w:t>3</w:t>
      </w:r>
      <w:r w:rsidR="00F52EEF" w:rsidRPr="00DC3A0D">
        <w:t>1.6</w:t>
      </w:r>
      <w:r w:rsidR="00F52EEF" w:rsidRPr="00DC3A0D">
        <w:rPr>
          <w:rFonts w:hint="eastAsia"/>
        </w:rPr>
        <w:t>%</w:t>
      </w:r>
      <w:r w:rsidR="00F52EEF" w:rsidRPr="00DC3A0D">
        <w:rPr>
          <w:rFonts w:hint="eastAsia"/>
        </w:rPr>
        <w:t>上升至</w:t>
      </w:r>
      <w:r w:rsidR="00F52EEF" w:rsidRPr="00DC3A0D">
        <w:rPr>
          <w:rFonts w:hint="eastAsia"/>
        </w:rPr>
        <w:t>2</w:t>
      </w:r>
      <w:r w:rsidR="00F52EEF" w:rsidRPr="00DC3A0D">
        <w:t>019</w:t>
      </w:r>
      <w:r w:rsidR="00F52EEF" w:rsidRPr="00DC3A0D">
        <w:rPr>
          <w:rFonts w:hint="eastAsia"/>
        </w:rPr>
        <w:t>年的</w:t>
      </w:r>
      <w:r w:rsidR="00F52EEF" w:rsidRPr="00DC3A0D">
        <w:rPr>
          <w:rFonts w:hint="eastAsia"/>
        </w:rPr>
        <w:t>3</w:t>
      </w:r>
      <w:r w:rsidR="00F52EEF" w:rsidRPr="00DC3A0D">
        <w:t>8.3</w:t>
      </w:r>
      <w:r w:rsidR="00F52EEF" w:rsidRPr="00DC3A0D">
        <w:rPr>
          <w:rFonts w:hint="eastAsia"/>
        </w:rPr>
        <w:t>%</w:t>
      </w:r>
      <w:r w:rsidR="000139E6">
        <w:rPr>
          <w:rFonts w:hint="eastAsia"/>
        </w:rPr>
        <w:t>。</w:t>
      </w:r>
      <w:r w:rsidR="00F52EEF" w:rsidRPr="00DC3A0D">
        <w:rPr>
          <w:rFonts w:hint="eastAsia"/>
        </w:rPr>
        <w:t>尽管有所上升，但从国际横向比较来看仍处于较低水平。然而，在正规的政府债券之外，各级地方政府在过去十余年间组建了名目繁多的“融资平台”</w:t>
      </w:r>
      <w:r w:rsidR="000139E6">
        <w:rPr>
          <w:rFonts w:hint="eastAsia"/>
        </w:rPr>
        <w:t>，</w:t>
      </w:r>
      <w:r w:rsidR="00F52EEF" w:rsidRPr="00DC3A0D">
        <w:rPr>
          <w:rFonts w:hint="eastAsia"/>
        </w:rPr>
        <w:t>成为现阶段我国金融体系中颇具影响力的一类融资主体。城投债余额</w:t>
      </w:r>
      <w:r w:rsidR="000139E6">
        <w:rPr>
          <w:rFonts w:hint="eastAsia"/>
        </w:rPr>
        <w:t>与</w:t>
      </w:r>
      <w:r w:rsidR="00F52EEF" w:rsidRPr="00DC3A0D">
        <w:rPr>
          <w:rFonts w:hint="eastAsia"/>
        </w:rPr>
        <w:t>当年</w:t>
      </w:r>
      <w:r w:rsidR="00F52EEF" w:rsidRPr="00DC3A0D">
        <w:rPr>
          <w:rFonts w:hint="eastAsia"/>
        </w:rPr>
        <w:t>G</w:t>
      </w:r>
      <w:r w:rsidR="00F52EEF" w:rsidRPr="00DC3A0D">
        <w:t>DP</w:t>
      </w:r>
      <w:r w:rsidR="00F52EEF" w:rsidRPr="00DC3A0D">
        <w:rPr>
          <w:rFonts w:hint="eastAsia"/>
        </w:rPr>
        <w:t>的</w:t>
      </w:r>
      <w:r w:rsidR="000139E6">
        <w:rPr>
          <w:rFonts w:hint="eastAsia"/>
        </w:rPr>
        <w:t>比值</w:t>
      </w:r>
      <w:r w:rsidR="00F52EEF" w:rsidRPr="00DC3A0D">
        <w:rPr>
          <w:rFonts w:hint="eastAsia"/>
        </w:rPr>
        <w:t>已经由</w:t>
      </w:r>
      <w:r w:rsidR="00F52EEF" w:rsidRPr="00DC3A0D">
        <w:rPr>
          <w:rFonts w:hint="eastAsia"/>
        </w:rPr>
        <w:t>2</w:t>
      </w:r>
      <w:r w:rsidR="00F52EEF" w:rsidRPr="00DC3A0D">
        <w:t>011</w:t>
      </w:r>
      <w:r w:rsidR="00F52EEF" w:rsidRPr="00DC3A0D">
        <w:rPr>
          <w:rFonts w:hint="eastAsia"/>
        </w:rPr>
        <w:t>年的</w:t>
      </w:r>
      <w:r w:rsidR="00F52EEF" w:rsidRPr="00DC3A0D">
        <w:rPr>
          <w:rFonts w:hint="eastAsia"/>
        </w:rPr>
        <w:t>2</w:t>
      </w:r>
      <w:r w:rsidR="00F52EEF" w:rsidRPr="00DC3A0D">
        <w:t>.1</w:t>
      </w:r>
      <w:r w:rsidR="00F52EEF" w:rsidRPr="00DC3A0D">
        <w:rPr>
          <w:rFonts w:hint="eastAsia"/>
        </w:rPr>
        <w:t>%</w:t>
      </w:r>
      <w:r w:rsidR="00F52EEF" w:rsidRPr="00DC3A0D">
        <w:rPr>
          <w:rFonts w:hint="eastAsia"/>
        </w:rPr>
        <w:t>攀升至</w:t>
      </w:r>
      <w:r w:rsidR="00F52EEF" w:rsidRPr="00DC3A0D">
        <w:rPr>
          <w:rFonts w:hint="eastAsia"/>
        </w:rPr>
        <w:t>2</w:t>
      </w:r>
      <w:r w:rsidR="00F52EEF" w:rsidRPr="00DC3A0D">
        <w:t>019</w:t>
      </w:r>
      <w:r w:rsidR="00F52EEF" w:rsidRPr="00DC3A0D">
        <w:rPr>
          <w:rFonts w:hint="eastAsia"/>
        </w:rPr>
        <w:t>年的</w:t>
      </w:r>
      <w:r w:rsidR="00F52EEF" w:rsidRPr="00DC3A0D">
        <w:rPr>
          <w:rFonts w:hint="eastAsia"/>
        </w:rPr>
        <w:t>9</w:t>
      </w:r>
      <w:r w:rsidR="00F52EEF" w:rsidRPr="00DC3A0D">
        <w:t>.1</w:t>
      </w:r>
      <w:r w:rsidR="00F52EEF" w:rsidRPr="00DC3A0D">
        <w:rPr>
          <w:rFonts w:hint="eastAsia"/>
        </w:rPr>
        <w:t>%</w:t>
      </w:r>
      <w:r w:rsidR="00F52EEF" w:rsidRPr="00DC3A0D">
        <w:rPr>
          <w:rFonts w:hint="eastAsia"/>
        </w:rPr>
        <w:t>，升幅甚至超过了狭义政府部门杠杆率的升幅。如果将这部分债务纳入广义政府部门债务的话，那么“广义政府部门杠杆率”到</w:t>
      </w:r>
      <w:r w:rsidR="00F52EEF" w:rsidRPr="00DC3A0D">
        <w:rPr>
          <w:rFonts w:hint="eastAsia"/>
        </w:rPr>
        <w:t>2</w:t>
      </w:r>
      <w:r w:rsidR="00F52EEF" w:rsidRPr="00DC3A0D">
        <w:t>019</w:t>
      </w:r>
      <w:r w:rsidR="00F52EEF" w:rsidRPr="00DC3A0D">
        <w:rPr>
          <w:rFonts w:hint="eastAsia"/>
        </w:rPr>
        <w:t>年末已经达到</w:t>
      </w:r>
      <w:r w:rsidR="000139E6">
        <w:rPr>
          <w:rFonts w:hint="eastAsia"/>
        </w:rPr>
        <w:t>了</w:t>
      </w:r>
      <w:r w:rsidR="00F52EEF" w:rsidRPr="00DC3A0D">
        <w:rPr>
          <w:rFonts w:hint="eastAsia"/>
        </w:rPr>
        <w:t>4</w:t>
      </w:r>
      <w:r w:rsidR="00F52EEF" w:rsidRPr="00DC3A0D">
        <w:t>7.4</w:t>
      </w:r>
      <w:r w:rsidR="00F52EEF" w:rsidRPr="00DC3A0D">
        <w:rPr>
          <w:rFonts w:hint="eastAsia"/>
        </w:rPr>
        <w:t>%</w:t>
      </w:r>
      <w:r w:rsidR="00F52EEF" w:rsidRPr="00DC3A0D">
        <w:rPr>
          <w:rFonts w:hint="eastAsia"/>
        </w:rPr>
        <w:t>（图</w:t>
      </w:r>
      <w:r w:rsidR="00551612" w:rsidRPr="00DC3A0D">
        <w:t>4</w:t>
      </w:r>
      <w:r w:rsidR="00F52EEF" w:rsidRPr="00DC3A0D">
        <w:rPr>
          <w:rFonts w:hint="eastAsia"/>
        </w:rPr>
        <w:t>）</w:t>
      </w:r>
      <w:r w:rsidR="00F52EEF" w:rsidRPr="00F51C9C">
        <w:rPr>
          <w:rStyle w:val="aa"/>
          <w:rFonts w:ascii="宋体" w:hAnsi="宋体"/>
          <w:highlight w:val="yellow"/>
        </w:rPr>
        <w:footnoteReference w:id="15"/>
      </w:r>
      <w:r w:rsidR="00F52EEF" w:rsidRPr="00DC3A0D">
        <w:rPr>
          <w:rFonts w:hint="eastAsia"/>
        </w:rPr>
        <w:t>。</w:t>
      </w:r>
      <w:r w:rsidR="00F52EEF" w:rsidRPr="00DC3A0D">
        <w:rPr>
          <w:rFonts w:hint="eastAsia"/>
        </w:rPr>
        <w:t>2</w:t>
      </w:r>
      <w:r w:rsidR="00F52EEF" w:rsidRPr="00DC3A0D">
        <w:t>020</w:t>
      </w:r>
      <w:r w:rsidR="00F52EEF" w:rsidRPr="00DC3A0D">
        <w:rPr>
          <w:rFonts w:hint="eastAsia"/>
        </w:rPr>
        <w:t>年，为了应对新冠肺炎疫情的冲击，</w:t>
      </w:r>
      <w:r w:rsidR="00F52EEF" w:rsidRPr="00DC3A0D">
        <w:rPr>
          <w:rFonts w:hint="eastAsia"/>
        </w:rPr>
        <w:lastRenderedPageBreak/>
        <w:t>政府提高了预算赤字率，增加了地方政府专项债发行额度，并决定发行抗疫特别国债，加之分母端名义</w:t>
      </w:r>
      <w:r w:rsidR="00F52EEF" w:rsidRPr="00DC3A0D">
        <w:rPr>
          <w:rFonts w:hint="eastAsia"/>
        </w:rPr>
        <w:t>G</w:t>
      </w:r>
      <w:r w:rsidR="00F52EEF" w:rsidRPr="00DC3A0D">
        <w:t>DP</w:t>
      </w:r>
      <w:r w:rsidR="00F52EEF" w:rsidRPr="00DC3A0D">
        <w:rPr>
          <w:rFonts w:hint="eastAsia"/>
        </w:rPr>
        <w:t>增速的放缓，因而政府部门杠杆率再度出现较大幅度</w:t>
      </w:r>
      <w:r w:rsidR="000139E6">
        <w:rPr>
          <w:rFonts w:hint="eastAsia"/>
        </w:rPr>
        <w:t>的</w:t>
      </w:r>
      <w:r w:rsidR="00F52EEF" w:rsidRPr="00DC3A0D">
        <w:rPr>
          <w:rFonts w:hint="eastAsia"/>
        </w:rPr>
        <w:t>上升。</w:t>
      </w:r>
    </w:p>
    <w:p w14:paraId="6F649726" w14:textId="22E8B19F" w:rsidR="00F52EEF" w:rsidRPr="00DC3A0D" w:rsidRDefault="00F52EEF" w:rsidP="00F52EEF">
      <w:pPr>
        <w:jc w:val="center"/>
        <w:rPr>
          <w:rFonts w:ascii="楷体" w:eastAsia="楷体" w:hAnsi="楷体"/>
        </w:rPr>
      </w:pPr>
      <w:r w:rsidRPr="00DC3A0D">
        <w:rPr>
          <w:rFonts w:ascii="楷体" w:eastAsia="楷体" w:hAnsi="楷体" w:hint="eastAsia"/>
        </w:rPr>
        <w:t>表</w:t>
      </w:r>
      <w:r w:rsidR="0031701E" w:rsidRPr="00DC3A0D">
        <w:rPr>
          <w:rFonts w:ascii="楷体" w:eastAsia="楷体" w:hAnsi="楷体"/>
        </w:rPr>
        <w:t>2</w:t>
      </w:r>
      <w:r w:rsidR="00181149">
        <w:rPr>
          <w:rFonts w:ascii="楷体" w:eastAsia="楷体" w:hAnsi="楷体"/>
        </w:rPr>
        <w:t xml:space="preserve">  </w:t>
      </w:r>
      <w:r w:rsidR="00D9060E" w:rsidRPr="00DC3A0D">
        <w:rPr>
          <w:rFonts w:ascii="楷体" w:eastAsia="楷体" w:hAnsi="楷体" w:hint="eastAsia"/>
        </w:rPr>
        <w:t>住户部门</w:t>
      </w:r>
      <w:r w:rsidRPr="00DC3A0D">
        <w:rPr>
          <w:rFonts w:ascii="楷体" w:eastAsia="楷体" w:hAnsi="楷体" w:hint="eastAsia"/>
        </w:rPr>
        <w:t>债务及偿债能力</w:t>
      </w:r>
    </w:p>
    <w:tbl>
      <w:tblPr>
        <w:tblStyle w:val="a7"/>
        <w:tblW w:w="8650" w:type="dxa"/>
        <w:tblLook w:val="04A0" w:firstRow="1" w:lastRow="0" w:firstColumn="1" w:lastColumn="0" w:noHBand="0" w:noVBand="1"/>
      </w:tblPr>
      <w:tblGrid>
        <w:gridCol w:w="1048"/>
        <w:gridCol w:w="1787"/>
        <w:gridCol w:w="1560"/>
        <w:gridCol w:w="2220"/>
        <w:gridCol w:w="2035"/>
      </w:tblGrid>
      <w:tr w:rsidR="00DC3A0D" w:rsidRPr="00DC3A0D" w14:paraId="0DCA4C1B" w14:textId="77777777" w:rsidTr="009A49D8">
        <w:trPr>
          <w:trHeight w:val="674"/>
        </w:trPr>
        <w:tc>
          <w:tcPr>
            <w:tcW w:w="1048" w:type="dxa"/>
            <w:noWrap/>
            <w:hideMark/>
          </w:tcPr>
          <w:p w14:paraId="01078452" w14:textId="77777777" w:rsidR="00F52EEF" w:rsidRPr="00F51C9C" w:rsidRDefault="00F52EEF" w:rsidP="00605F55">
            <w:pPr>
              <w:widowControl/>
              <w:jc w:val="center"/>
              <w:rPr>
                <w:rFonts w:ascii="宋体" w:hAnsi="宋体" w:cs="宋体"/>
                <w:kern w:val="0"/>
                <w:szCs w:val="21"/>
              </w:rPr>
            </w:pPr>
            <w:r w:rsidRPr="00F51C9C">
              <w:rPr>
                <w:rFonts w:ascii="宋体" w:hAnsi="宋体" w:cs="宋体" w:hint="eastAsia"/>
                <w:kern w:val="0"/>
                <w:szCs w:val="21"/>
              </w:rPr>
              <w:t>年份</w:t>
            </w:r>
          </w:p>
        </w:tc>
        <w:tc>
          <w:tcPr>
            <w:tcW w:w="1787" w:type="dxa"/>
          </w:tcPr>
          <w:p w14:paraId="186BE67A" w14:textId="410CB73F" w:rsidR="00F52EEF" w:rsidRPr="00F51C9C" w:rsidRDefault="00D9060E" w:rsidP="00605F55">
            <w:pPr>
              <w:widowControl/>
              <w:jc w:val="center"/>
              <w:rPr>
                <w:rFonts w:ascii="宋体" w:hAnsi="宋体" w:cs="宋体"/>
                <w:kern w:val="0"/>
                <w:szCs w:val="21"/>
              </w:rPr>
            </w:pPr>
            <w:r w:rsidRPr="00F51C9C">
              <w:rPr>
                <w:rFonts w:ascii="宋体" w:hAnsi="宋体" w:cs="宋体" w:hint="eastAsia"/>
                <w:kern w:val="0"/>
                <w:szCs w:val="21"/>
              </w:rPr>
              <w:t>住户部门</w:t>
            </w:r>
            <w:r w:rsidR="00F52EEF" w:rsidRPr="00F51C9C">
              <w:rPr>
                <w:rFonts w:ascii="宋体" w:hAnsi="宋体" w:cs="宋体" w:hint="eastAsia"/>
                <w:kern w:val="0"/>
                <w:szCs w:val="21"/>
              </w:rPr>
              <w:t>债务余额（亿元）</w:t>
            </w:r>
          </w:p>
        </w:tc>
        <w:tc>
          <w:tcPr>
            <w:tcW w:w="1560" w:type="dxa"/>
            <w:hideMark/>
          </w:tcPr>
          <w:p w14:paraId="7E75A1FF" w14:textId="4279498B" w:rsidR="00F52EEF" w:rsidRPr="00F51C9C" w:rsidRDefault="00D9060E" w:rsidP="00605F55">
            <w:pPr>
              <w:widowControl/>
              <w:jc w:val="center"/>
              <w:rPr>
                <w:rFonts w:ascii="宋体" w:hAnsi="宋体" w:cs="宋体"/>
                <w:kern w:val="0"/>
                <w:szCs w:val="21"/>
              </w:rPr>
            </w:pPr>
            <w:r w:rsidRPr="00F51C9C">
              <w:rPr>
                <w:rFonts w:ascii="宋体" w:hAnsi="宋体" w:cs="宋体" w:hint="eastAsia"/>
                <w:kern w:val="0"/>
                <w:szCs w:val="21"/>
              </w:rPr>
              <w:t>住户部门</w:t>
            </w:r>
            <w:r w:rsidR="00F52EEF" w:rsidRPr="00F51C9C">
              <w:rPr>
                <w:rFonts w:ascii="宋体" w:hAnsi="宋体" w:cs="宋体" w:hint="eastAsia"/>
                <w:kern w:val="0"/>
                <w:szCs w:val="21"/>
              </w:rPr>
              <w:t>杠杆率（</w:t>
            </w:r>
            <w:r w:rsidR="00F52EEF" w:rsidRPr="00F51C9C">
              <w:rPr>
                <w:rFonts w:ascii="宋体" w:hAnsi="宋体" w:cs="宋体"/>
                <w:kern w:val="0"/>
                <w:szCs w:val="21"/>
              </w:rPr>
              <w:t>%）</w:t>
            </w:r>
          </w:p>
        </w:tc>
        <w:tc>
          <w:tcPr>
            <w:tcW w:w="2220" w:type="dxa"/>
            <w:hideMark/>
          </w:tcPr>
          <w:p w14:paraId="01D4AA84" w14:textId="263E3EF7" w:rsidR="00F52EEF" w:rsidRPr="00F51C9C" w:rsidRDefault="00D9060E" w:rsidP="00605F55">
            <w:pPr>
              <w:widowControl/>
              <w:jc w:val="center"/>
              <w:rPr>
                <w:rFonts w:ascii="宋体" w:hAnsi="宋体" w:cs="宋体"/>
                <w:kern w:val="0"/>
                <w:szCs w:val="21"/>
              </w:rPr>
            </w:pPr>
            <w:r w:rsidRPr="00F51C9C">
              <w:rPr>
                <w:rFonts w:ascii="宋体" w:hAnsi="宋体" w:cs="宋体" w:hint="eastAsia"/>
                <w:kern w:val="0"/>
                <w:szCs w:val="21"/>
              </w:rPr>
              <w:t>住户部门</w:t>
            </w:r>
            <w:r w:rsidR="00F52EEF" w:rsidRPr="00F51C9C">
              <w:rPr>
                <w:rFonts w:ascii="宋体" w:hAnsi="宋体" w:cs="宋体" w:hint="eastAsia"/>
                <w:kern w:val="0"/>
                <w:szCs w:val="21"/>
              </w:rPr>
              <w:t>债务余额</w:t>
            </w:r>
            <w:r w:rsidR="00F52EEF" w:rsidRPr="00F51C9C">
              <w:rPr>
                <w:rFonts w:ascii="宋体" w:hAnsi="宋体" w:cs="宋体"/>
                <w:kern w:val="0"/>
                <w:szCs w:val="21"/>
              </w:rPr>
              <w:t>/居民可支配收入（%）</w:t>
            </w:r>
          </w:p>
        </w:tc>
        <w:tc>
          <w:tcPr>
            <w:tcW w:w="2035" w:type="dxa"/>
            <w:hideMark/>
          </w:tcPr>
          <w:p w14:paraId="569E30FD" w14:textId="5DECCFFA" w:rsidR="00F52EEF" w:rsidRPr="00F51C9C" w:rsidRDefault="00D9060E" w:rsidP="00605F55">
            <w:pPr>
              <w:widowControl/>
              <w:jc w:val="center"/>
              <w:rPr>
                <w:rFonts w:ascii="宋体" w:hAnsi="宋体" w:cs="宋体"/>
                <w:kern w:val="0"/>
                <w:szCs w:val="21"/>
              </w:rPr>
            </w:pPr>
            <w:r w:rsidRPr="00F51C9C">
              <w:rPr>
                <w:rFonts w:ascii="宋体" w:hAnsi="宋体" w:cs="宋体" w:hint="eastAsia"/>
                <w:kern w:val="0"/>
                <w:szCs w:val="21"/>
              </w:rPr>
              <w:t>住户部门</w:t>
            </w:r>
            <w:r w:rsidR="00F52EEF" w:rsidRPr="00F51C9C">
              <w:rPr>
                <w:rFonts w:ascii="宋体" w:hAnsi="宋体" w:cs="宋体" w:hint="eastAsia"/>
                <w:kern w:val="0"/>
                <w:szCs w:val="21"/>
              </w:rPr>
              <w:t>债务余额</w:t>
            </w:r>
            <w:r w:rsidR="00F52EEF" w:rsidRPr="00F51C9C">
              <w:rPr>
                <w:rFonts w:ascii="宋体" w:hAnsi="宋体" w:cs="宋体"/>
                <w:kern w:val="0"/>
                <w:szCs w:val="21"/>
              </w:rPr>
              <w:t>/</w:t>
            </w:r>
            <w:r w:rsidRPr="00F51C9C">
              <w:rPr>
                <w:rFonts w:ascii="宋体" w:hAnsi="宋体" w:cs="宋体" w:hint="eastAsia"/>
                <w:kern w:val="0"/>
                <w:szCs w:val="21"/>
              </w:rPr>
              <w:t>住户部门</w:t>
            </w:r>
            <w:r w:rsidR="00F52EEF" w:rsidRPr="00F51C9C">
              <w:rPr>
                <w:rFonts w:ascii="宋体" w:hAnsi="宋体" w:cs="宋体" w:hint="eastAsia"/>
                <w:kern w:val="0"/>
                <w:szCs w:val="21"/>
              </w:rPr>
              <w:t>储蓄（</w:t>
            </w:r>
            <w:r w:rsidR="00F52EEF" w:rsidRPr="00F51C9C">
              <w:rPr>
                <w:rFonts w:ascii="宋体" w:hAnsi="宋体" w:cs="宋体"/>
                <w:kern w:val="0"/>
                <w:szCs w:val="21"/>
              </w:rPr>
              <w:t>%）</w:t>
            </w:r>
          </w:p>
        </w:tc>
      </w:tr>
      <w:tr w:rsidR="00DC3A0D" w:rsidRPr="00DC3A0D" w14:paraId="4558449F" w14:textId="77777777" w:rsidTr="009A49D8">
        <w:trPr>
          <w:trHeight w:val="280"/>
        </w:trPr>
        <w:tc>
          <w:tcPr>
            <w:tcW w:w="1048" w:type="dxa"/>
            <w:noWrap/>
            <w:hideMark/>
          </w:tcPr>
          <w:p w14:paraId="24D66B65"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2007</w:t>
            </w:r>
          </w:p>
        </w:tc>
        <w:tc>
          <w:tcPr>
            <w:tcW w:w="1787" w:type="dxa"/>
          </w:tcPr>
          <w:p w14:paraId="50E2D563" w14:textId="531EFEBF"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50777</w:t>
            </w:r>
          </w:p>
        </w:tc>
        <w:tc>
          <w:tcPr>
            <w:tcW w:w="1560" w:type="dxa"/>
            <w:noWrap/>
            <w:hideMark/>
          </w:tcPr>
          <w:p w14:paraId="29210CAF" w14:textId="671FC29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18.8</w:t>
            </w:r>
          </w:p>
        </w:tc>
        <w:tc>
          <w:tcPr>
            <w:tcW w:w="2220" w:type="dxa"/>
            <w:noWrap/>
            <w:hideMark/>
          </w:tcPr>
          <w:p w14:paraId="73F0679E" w14:textId="48793FEC"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33.35</w:t>
            </w:r>
          </w:p>
        </w:tc>
        <w:tc>
          <w:tcPr>
            <w:tcW w:w="2035" w:type="dxa"/>
            <w:noWrap/>
            <w:hideMark/>
          </w:tcPr>
          <w:p w14:paraId="68C414A1" w14:textId="6E96207D"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93.97</w:t>
            </w:r>
          </w:p>
        </w:tc>
      </w:tr>
      <w:tr w:rsidR="00DC3A0D" w:rsidRPr="00DC3A0D" w14:paraId="58886B6C" w14:textId="77777777" w:rsidTr="009A49D8">
        <w:trPr>
          <w:trHeight w:val="280"/>
        </w:trPr>
        <w:tc>
          <w:tcPr>
            <w:tcW w:w="1048" w:type="dxa"/>
            <w:noWrap/>
            <w:hideMark/>
          </w:tcPr>
          <w:p w14:paraId="664D6352"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2008</w:t>
            </w:r>
          </w:p>
        </w:tc>
        <w:tc>
          <w:tcPr>
            <w:tcW w:w="1787" w:type="dxa"/>
          </w:tcPr>
          <w:p w14:paraId="41E83FA5" w14:textId="106960DC"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57145</w:t>
            </w:r>
          </w:p>
        </w:tc>
        <w:tc>
          <w:tcPr>
            <w:tcW w:w="1560" w:type="dxa"/>
            <w:noWrap/>
            <w:hideMark/>
          </w:tcPr>
          <w:p w14:paraId="05DE6447" w14:textId="35B59EBB"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17.9</w:t>
            </w:r>
          </w:p>
        </w:tc>
        <w:tc>
          <w:tcPr>
            <w:tcW w:w="2220" w:type="dxa"/>
            <w:noWrap/>
            <w:hideMark/>
          </w:tcPr>
          <w:p w14:paraId="3FB9A846" w14:textId="1397385D"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31.77</w:t>
            </w:r>
          </w:p>
        </w:tc>
        <w:tc>
          <w:tcPr>
            <w:tcW w:w="2035" w:type="dxa"/>
            <w:noWrap/>
            <w:hideMark/>
          </w:tcPr>
          <w:p w14:paraId="50794CE9" w14:textId="2B5A05C1"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85.00</w:t>
            </w:r>
          </w:p>
        </w:tc>
      </w:tr>
      <w:tr w:rsidR="00DC3A0D" w:rsidRPr="00DC3A0D" w14:paraId="41CACAE8" w14:textId="77777777" w:rsidTr="009A49D8">
        <w:trPr>
          <w:trHeight w:val="280"/>
        </w:trPr>
        <w:tc>
          <w:tcPr>
            <w:tcW w:w="1048" w:type="dxa"/>
            <w:noWrap/>
            <w:hideMark/>
          </w:tcPr>
          <w:p w14:paraId="048DF3D7"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2009</w:t>
            </w:r>
          </w:p>
        </w:tc>
        <w:tc>
          <w:tcPr>
            <w:tcW w:w="1787" w:type="dxa"/>
          </w:tcPr>
          <w:p w14:paraId="54D03E45" w14:textId="379B78E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81902</w:t>
            </w:r>
          </w:p>
        </w:tc>
        <w:tc>
          <w:tcPr>
            <w:tcW w:w="1560" w:type="dxa"/>
            <w:noWrap/>
            <w:hideMark/>
          </w:tcPr>
          <w:p w14:paraId="53F1BBA0" w14:textId="627A342C"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23.5</w:t>
            </w:r>
          </w:p>
        </w:tc>
        <w:tc>
          <w:tcPr>
            <w:tcW w:w="2220" w:type="dxa"/>
            <w:noWrap/>
            <w:hideMark/>
          </w:tcPr>
          <w:p w14:paraId="7BB7CBCD" w14:textId="0530584D"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41.47</w:t>
            </w:r>
          </w:p>
        </w:tc>
        <w:tc>
          <w:tcPr>
            <w:tcW w:w="2035" w:type="dxa"/>
            <w:noWrap/>
            <w:hideMark/>
          </w:tcPr>
          <w:p w14:paraId="55128024" w14:textId="2AB82D0F"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110.13</w:t>
            </w:r>
          </w:p>
        </w:tc>
      </w:tr>
      <w:tr w:rsidR="00DC3A0D" w:rsidRPr="00DC3A0D" w14:paraId="34D095C8" w14:textId="77777777" w:rsidTr="009A49D8">
        <w:trPr>
          <w:trHeight w:val="280"/>
        </w:trPr>
        <w:tc>
          <w:tcPr>
            <w:tcW w:w="1048" w:type="dxa"/>
            <w:noWrap/>
            <w:hideMark/>
          </w:tcPr>
          <w:p w14:paraId="1BD6FA5A"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2010</w:t>
            </w:r>
          </w:p>
        </w:tc>
        <w:tc>
          <w:tcPr>
            <w:tcW w:w="1787" w:type="dxa"/>
          </w:tcPr>
          <w:p w14:paraId="214F20E5" w14:textId="76A55CEE"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112509</w:t>
            </w:r>
          </w:p>
        </w:tc>
        <w:tc>
          <w:tcPr>
            <w:tcW w:w="1560" w:type="dxa"/>
            <w:noWrap/>
            <w:hideMark/>
          </w:tcPr>
          <w:p w14:paraId="73ADAEA1" w14:textId="40EB176A"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27.3</w:t>
            </w:r>
          </w:p>
        </w:tc>
        <w:tc>
          <w:tcPr>
            <w:tcW w:w="2220" w:type="dxa"/>
            <w:noWrap/>
            <w:hideMark/>
          </w:tcPr>
          <w:p w14:paraId="69115497" w14:textId="15EE083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48.92</w:t>
            </w:r>
          </w:p>
        </w:tc>
        <w:tc>
          <w:tcPr>
            <w:tcW w:w="2035" w:type="dxa"/>
            <w:noWrap/>
            <w:hideMark/>
          </w:tcPr>
          <w:p w14:paraId="58E719AB" w14:textId="67BDDD20"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127.13</w:t>
            </w:r>
          </w:p>
        </w:tc>
      </w:tr>
      <w:tr w:rsidR="00DC3A0D" w:rsidRPr="00DC3A0D" w14:paraId="44CD965D" w14:textId="77777777" w:rsidTr="009A49D8">
        <w:trPr>
          <w:trHeight w:val="280"/>
        </w:trPr>
        <w:tc>
          <w:tcPr>
            <w:tcW w:w="1048" w:type="dxa"/>
            <w:noWrap/>
            <w:hideMark/>
          </w:tcPr>
          <w:p w14:paraId="410ED945"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2011</w:t>
            </w:r>
          </w:p>
        </w:tc>
        <w:tc>
          <w:tcPr>
            <w:tcW w:w="1787" w:type="dxa"/>
          </w:tcPr>
          <w:p w14:paraId="71B20E12" w14:textId="79D908D6"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136135</w:t>
            </w:r>
          </w:p>
        </w:tc>
        <w:tc>
          <w:tcPr>
            <w:tcW w:w="1560" w:type="dxa"/>
            <w:noWrap/>
            <w:hideMark/>
          </w:tcPr>
          <w:p w14:paraId="56D2B8DB" w14:textId="1634EF62"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27.9</w:t>
            </w:r>
          </w:p>
        </w:tc>
        <w:tc>
          <w:tcPr>
            <w:tcW w:w="2220" w:type="dxa"/>
            <w:noWrap/>
            <w:hideMark/>
          </w:tcPr>
          <w:p w14:paraId="6D0A8E2F" w14:textId="07D03CF9"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49.52</w:t>
            </w:r>
          </w:p>
        </w:tc>
        <w:tc>
          <w:tcPr>
            <w:tcW w:w="2035" w:type="dxa"/>
            <w:noWrap/>
            <w:hideMark/>
          </w:tcPr>
          <w:p w14:paraId="48FD9F1A" w14:textId="5ABFE30A"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130.22</w:t>
            </w:r>
          </w:p>
        </w:tc>
      </w:tr>
      <w:tr w:rsidR="00DC3A0D" w:rsidRPr="00DC3A0D" w14:paraId="13691AA5" w14:textId="77777777" w:rsidTr="009A49D8">
        <w:trPr>
          <w:trHeight w:val="280"/>
        </w:trPr>
        <w:tc>
          <w:tcPr>
            <w:tcW w:w="1048" w:type="dxa"/>
            <w:noWrap/>
            <w:hideMark/>
          </w:tcPr>
          <w:p w14:paraId="1E0E5989"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2012</w:t>
            </w:r>
          </w:p>
        </w:tc>
        <w:tc>
          <w:tcPr>
            <w:tcW w:w="1787" w:type="dxa"/>
          </w:tcPr>
          <w:p w14:paraId="278D97E4" w14:textId="0E75D485"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161574</w:t>
            </w:r>
          </w:p>
        </w:tc>
        <w:tc>
          <w:tcPr>
            <w:tcW w:w="1560" w:type="dxa"/>
            <w:noWrap/>
            <w:hideMark/>
          </w:tcPr>
          <w:p w14:paraId="7E08C55D" w14:textId="5966BCA5"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30.0</w:t>
            </w:r>
          </w:p>
        </w:tc>
        <w:tc>
          <w:tcPr>
            <w:tcW w:w="2220" w:type="dxa"/>
            <w:noWrap/>
            <w:hideMark/>
          </w:tcPr>
          <w:p w14:paraId="31888230" w14:textId="555FE6F9"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52.40</w:t>
            </w:r>
          </w:p>
        </w:tc>
        <w:tc>
          <w:tcPr>
            <w:tcW w:w="2035" w:type="dxa"/>
            <w:noWrap/>
            <w:hideMark/>
          </w:tcPr>
          <w:p w14:paraId="5CF73996" w14:textId="5B2CC0E9"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137.21</w:t>
            </w:r>
          </w:p>
        </w:tc>
      </w:tr>
      <w:tr w:rsidR="00DC3A0D" w:rsidRPr="00DC3A0D" w14:paraId="0D9224F8" w14:textId="77777777" w:rsidTr="009A49D8">
        <w:trPr>
          <w:trHeight w:val="280"/>
        </w:trPr>
        <w:tc>
          <w:tcPr>
            <w:tcW w:w="1048" w:type="dxa"/>
            <w:noWrap/>
            <w:hideMark/>
          </w:tcPr>
          <w:p w14:paraId="422FD5AD"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2013</w:t>
            </w:r>
          </w:p>
        </w:tc>
        <w:tc>
          <w:tcPr>
            <w:tcW w:w="1787" w:type="dxa"/>
          </w:tcPr>
          <w:p w14:paraId="40252E5B" w14:textId="5EF19E6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198643</w:t>
            </w:r>
          </w:p>
        </w:tc>
        <w:tc>
          <w:tcPr>
            <w:tcW w:w="1560" w:type="dxa"/>
            <w:noWrap/>
            <w:hideMark/>
          </w:tcPr>
          <w:p w14:paraId="6D703119" w14:textId="7656EDF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33.5</w:t>
            </w:r>
          </w:p>
        </w:tc>
        <w:tc>
          <w:tcPr>
            <w:tcW w:w="2220" w:type="dxa"/>
            <w:noWrap/>
            <w:hideMark/>
          </w:tcPr>
          <w:p w14:paraId="04187656" w14:textId="7FF43C66"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58.29</w:t>
            </w:r>
          </w:p>
        </w:tc>
        <w:tc>
          <w:tcPr>
            <w:tcW w:w="2035" w:type="dxa"/>
            <w:noWrap/>
            <w:hideMark/>
          </w:tcPr>
          <w:p w14:paraId="3980643C" w14:textId="57BE1841"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154.85</w:t>
            </w:r>
          </w:p>
        </w:tc>
      </w:tr>
      <w:tr w:rsidR="00DC3A0D" w:rsidRPr="00DC3A0D" w14:paraId="0805ED6C" w14:textId="77777777" w:rsidTr="009A49D8">
        <w:trPr>
          <w:trHeight w:val="280"/>
        </w:trPr>
        <w:tc>
          <w:tcPr>
            <w:tcW w:w="1048" w:type="dxa"/>
            <w:noWrap/>
            <w:hideMark/>
          </w:tcPr>
          <w:p w14:paraId="3AA10966"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2014</w:t>
            </w:r>
          </w:p>
        </w:tc>
        <w:tc>
          <w:tcPr>
            <w:tcW w:w="1787" w:type="dxa"/>
          </w:tcPr>
          <w:p w14:paraId="4EF25696" w14:textId="32B5518D"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231683</w:t>
            </w:r>
          </w:p>
        </w:tc>
        <w:tc>
          <w:tcPr>
            <w:tcW w:w="1560" w:type="dxa"/>
            <w:noWrap/>
            <w:hideMark/>
          </w:tcPr>
          <w:p w14:paraId="41F08BBD" w14:textId="71066330"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36.0</w:t>
            </w:r>
          </w:p>
        </w:tc>
        <w:tc>
          <w:tcPr>
            <w:tcW w:w="2220" w:type="dxa"/>
            <w:noWrap/>
            <w:hideMark/>
          </w:tcPr>
          <w:p w14:paraId="442DA3EE" w14:textId="1D1827E5"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62.22</w:t>
            </w:r>
          </w:p>
        </w:tc>
        <w:tc>
          <w:tcPr>
            <w:tcW w:w="2035" w:type="dxa"/>
            <w:noWrap/>
            <w:hideMark/>
          </w:tcPr>
          <w:p w14:paraId="25F6CC3C" w14:textId="42BF2E9E"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170.24</w:t>
            </w:r>
          </w:p>
        </w:tc>
      </w:tr>
      <w:tr w:rsidR="00DC3A0D" w:rsidRPr="00DC3A0D" w14:paraId="5A50F66B" w14:textId="77777777" w:rsidTr="009A49D8">
        <w:trPr>
          <w:trHeight w:val="280"/>
        </w:trPr>
        <w:tc>
          <w:tcPr>
            <w:tcW w:w="1048" w:type="dxa"/>
            <w:noWrap/>
            <w:hideMark/>
          </w:tcPr>
          <w:p w14:paraId="6671F09E"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2015</w:t>
            </w:r>
          </w:p>
        </w:tc>
        <w:tc>
          <w:tcPr>
            <w:tcW w:w="1787" w:type="dxa"/>
          </w:tcPr>
          <w:p w14:paraId="3C28D9EE" w14:textId="3B6C469B"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270032</w:t>
            </w:r>
          </w:p>
        </w:tc>
        <w:tc>
          <w:tcPr>
            <w:tcW w:w="1560" w:type="dxa"/>
            <w:noWrap/>
            <w:hideMark/>
          </w:tcPr>
          <w:p w14:paraId="063D54F5" w14:textId="43DD6EAB"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39.2</w:t>
            </w:r>
          </w:p>
        </w:tc>
        <w:tc>
          <w:tcPr>
            <w:tcW w:w="2220" w:type="dxa"/>
            <w:noWrap/>
            <w:hideMark/>
          </w:tcPr>
          <w:p w14:paraId="79F0F824" w14:textId="20EB5F1A"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66.94</w:t>
            </w:r>
          </w:p>
        </w:tc>
        <w:tc>
          <w:tcPr>
            <w:tcW w:w="2035" w:type="dxa"/>
            <w:noWrap/>
            <w:hideMark/>
          </w:tcPr>
          <w:p w14:paraId="2C6C85AD" w14:textId="00AC3F24"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188.61</w:t>
            </w:r>
          </w:p>
        </w:tc>
      </w:tr>
      <w:tr w:rsidR="00DC3A0D" w:rsidRPr="00DC3A0D" w14:paraId="6902E4F3" w14:textId="77777777" w:rsidTr="009A49D8">
        <w:trPr>
          <w:trHeight w:val="280"/>
        </w:trPr>
        <w:tc>
          <w:tcPr>
            <w:tcW w:w="1048" w:type="dxa"/>
            <w:noWrap/>
            <w:hideMark/>
          </w:tcPr>
          <w:p w14:paraId="6F0A4607"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2016</w:t>
            </w:r>
          </w:p>
        </w:tc>
        <w:tc>
          <w:tcPr>
            <w:tcW w:w="1787" w:type="dxa"/>
          </w:tcPr>
          <w:p w14:paraId="782D6E9B" w14:textId="6AFF019F"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333639</w:t>
            </w:r>
          </w:p>
        </w:tc>
        <w:tc>
          <w:tcPr>
            <w:tcW w:w="1560" w:type="dxa"/>
            <w:noWrap/>
            <w:hideMark/>
          </w:tcPr>
          <w:p w14:paraId="01F91817" w14:textId="53EE1DC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44.7</w:t>
            </w:r>
          </w:p>
        </w:tc>
        <w:tc>
          <w:tcPr>
            <w:tcW w:w="2220" w:type="dxa"/>
            <w:noWrap/>
            <w:hideMark/>
          </w:tcPr>
          <w:p w14:paraId="4C1DCD7F" w14:textId="70F9721F"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75.63</w:t>
            </w:r>
          </w:p>
        </w:tc>
        <w:tc>
          <w:tcPr>
            <w:tcW w:w="2035" w:type="dxa"/>
            <w:noWrap/>
            <w:hideMark/>
          </w:tcPr>
          <w:p w14:paraId="2E61623F" w14:textId="2C9C01C1"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218.78</w:t>
            </w:r>
          </w:p>
        </w:tc>
      </w:tr>
      <w:tr w:rsidR="00DC3A0D" w:rsidRPr="00DC3A0D" w14:paraId="331C08B6" w14:textId="77777777" w:rsidTr="009A49D8">
        <w:trPr>
          <w:trHeight w:val="280"/>
        </w:trPr>
        <w:tc>
          <w:tcPr>
            <w:tcW w:w="1048" w:type="dxa"/>
            <w:noWrap/>
            <w:hideMark/>
          </w:tcPr>
          <w:p w14:paraId="2F1624DB" w14:textId="77777777"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2017</w:t>
            </w:r>
          </w:p>
        </w:tc>
        <w:tc>
          <w:tcPr>
            <w:tcW w:w="1787" w:type="dxa"/>
          </w:tcPr>
          <w:p w14:paraId="7F90B295" w14:textId="77FC1191"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405201</w:t>
            </w:r>
          </w:p>
        </w:tc>
        <w:tc>
          <w:tcPr>
            <w:tcW w:w="1560" w:type="dxa"/>
            <w:noWrap/>
            <w:hideMark/>
          </w:tcPr>
          <w:p w14:paraId="6D1FF3D7" w14:textId="1C3ADA52"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48.7</w:t>
            </w:r>
          </w:p>
        </w:tc>
        <w:tc>
          <w:tcPr>
            <w:tcW w:w="2220" w:type="dxa"/>
            <w:noWrap/>
            <w:hideMark/>
          </w:tcPr>
          <w:p w14:paraId="7DDA66BA" w14:textId="18D62BF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82.83</w:t>
            </w:r>
          </w:p>
        </w:tc>
        <w:tc>
          <w:tcPr>
            <w:tcW w:w="2035" w:type="dxa"/>
            <w:noWrap/>
            <w:hideMark/>
          </w:tcPr>
          <w:p w14:paraId="3EA3F5DE" w14:textId="6B619B10"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240.49</w:t>
            </w:r>
          </w:p>
        </w:tc>
      </w:tr>
      <w:tr w:rsidR="00DC3A0D" w:rsidRPr="00DC3A0D" w14:paraId="010150A3" w14:textId="77777777" w:rsidTr="009A49D8">
        <w:trPr>
          <w:trHeight w:val="280"/>
        </w:trPr>
        <w:tc>
          <w:tcPr>
            <w:tcW w:w="1048" w:type="dxa"/>
            <w:noWrap/>
          </w:tcPr>
          <w:p w14:paraId="6DCAD3B6" w14:textId="1828BDC4"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2018</w:t>
            </w:r>
          </w:p>
        </w:tc>
        <w:tc>
          <w:tcPr>
            <w:tcW w:w="1787" w:type="dxa"/>
          </w:tcPr>
          <w:p w14:paraId="1928ECDF" w14:textId="1A86AA14"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478945</w:t>
            </w:r>
          </w:p>
        </w:tc>
        <w:tc>
          <w:tcPr>
            <w:tcW w:w="1560" w:type="dxa"/>
            <w:noWrap/>
          </w:tcPr>
          <w:p w14:paraId="5213F550" w14:textId="3B377F15"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52.1</w:t>
            </w:r>
          </w:p>
        </w:tc>
        <w:tc>
          <w:tcPr>
            <w:tcW w:w="2220" w:type="dxa"/>
            <w:noWrap/>
          </w:tcPr>
          <w:p w14:paraId="62B6D0C8" w14:textId="5B131CD9"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88.15</w:t>
            </w:r>
          </w:p>
        </w:tc>
        <w:tc>
          <w:tcPr>
            <w:tcW w:w="2035" w:type="dxa"/>
            <w:noWrap/>
          </w:tcPr>
          <w:p w14:paraId="1A7476E1" w14:textId="074690F8" w:rsidR="001161EB" w:rsidRPr="00F51C9C" w:rsidRDefault="001161EB" w:rsidP="001161EB">
            <w:pPr>
              <w:widowControl/>
              <w:jc w:val="center"/>
              <w:rPr>
                <w:rFonts w:ascii="宋体" w:hAnsi="宋体" w:cs="宋体"/>
                <w:kern w:val="0"/>
                <w:szCs w:val="21"/>
              </w:rPr>
            </w:pPr>
            <w:r w:rsidRPr="00F51C9C">
              <w:rPr>
                <w:rFonts w:ascii="宋体" w:hAnsi="宋体" w:cs="宋体"/>
                <w:kern w:val="0"/>
                <w:szCs w:val="21"/>
              </w:rPr>
              <w:t>253.17</w:t>
            </w:r>
          </w:p>
        </w:tc>
      </w:tr>
    </w:tbl>
    <w:p w14:paraId="5586F765" w14:textId="5948F46C" w:rsidR="00F52EEF" w:rsidRPr="00F51C9C" w:rsidRDefault="00F52EEF" w:rsidP="00F51C9C">
      <w:pPr>
        <w:ind w:firstLineChars="200" w:firstLine="300"/>
        <w:jc w:val="left"/>
        <w:rPr>
          <w:rFonts w:ascii="楷体" w:eastAsia="楷体" w:hAnsi="楷体"/>
          <w:sz w:val="15"/>
          <w:szCs w:val="15"/>
        </w:rPr>
      </w:pPr>
      <w:r w:rsidRPr="00F51C9C">
        <w:rPr>
          <w:rFonts w:ascii="楷体" w:eastAsia="楷体" w:hAnsi="楷体" w:hint="eastAsia"/>
          <w:sz w:val="15"/>
          <w:szCs w:val="15"/>
        </w:rPr>
        <w:t>数据来源：作者根据国家统计局</w:t>
      </w:r>
      <w:r w:rsidR="009A49D8">
        <w:rPr>
          <w:rFonts w:ascii="楷体" w:eastAsia="楷体" w:hAnsi="楷体" w:hint="eastAsia"/>
          <w:sz w:val="15"/>
          <w:szCs w:val="15"/>
        </w:rPr>
        <w:t>历年</w:t>
      </w:r>
      <w:r w:rsidR="001161EB" w:rsidRPr="00F51C9C">
        <w:rPr>
          <w:rFonts w:ascii="楷体" w:eastAsia="楷体" w:hAnsi="楷体" w:hint="eastAsia"/>
          <w:sz w:val="15"/>
          <w:szCs w:val="15"/>
        </w:rPr>
        <w:t>《资金流量表》</w:t>
      </w:r>
      <w:r w:rsidRPr="00F51C9C">
        <w:rPr>
          <w:rFonts w:ascii="楷体" w:eastAsia="楷体" w:hAnsi="楷体" w:hint="eastAsia"/>
          <w:sz w:val="15"/>
          <w:szCs w:val="15"/>
        </w:rPr>
        <w:t>、国家资产负债表研究中心（</w:t>
      </w:r>
      <w:r w:rsidRPr="00F51C9C">
        <w:rPr>
          <w:rFonts w:ascii="楷体" w:eastAsia="楷体" w:hAnsi="楷体"/>
          <w:sz w:val="15"/>
          <w:szCs w:val="15"/>
        </w:rPr>
        <w:t>CNBS）</w:t>
      </w:r>
      <w:r w:rsidR="00612630" w:rsidRPr="00F51C9C">
        <w:rPr>
          <w:rFonts w:ascii="楷体" w:eastAsia="楷体" w:hAnsi="楷体" w:hint="eastAsia"/>
          <w:sz w:val="15"/>
          <w:szCs w:val="15"/>
        </w:rPr>
        <w:t>数据库</w:t>
      </w:r>
      <w:r w:rsidR="00847272" w:rsidRPr="00F51C9C">
        <w:rPr>
          <w:rFonts w:ascii="楷体" w:eastAsia="楷体" w:hAnsi="楷体" w:hint="eastAsia"/>
          <w:sz w:val="15"/>
          <w:szCs w:val="15"/>
        </w:rPr>
        <w:t>、</w:t>
      </w:r>
      <w:r w:rsidR="00847272" w:rsidRPr="00F51C9C">
        <w:rPr>
          <w:rFonts w:ascii="楷体" w:eastAsia="楷体" w:hAnsi="楷体"/>
          <w:sz w:val="15"/>
          <w:szCs w:val="15"/>
        </w:rPr>
        <w:t>Wind数据库</w:t>
      </w:r>
      <w:r w:rsidRPr="00F51C9C">
        <w:rPr>
          <w:rFonts w:ascii="楷体" w:eastAsia="楷体" w:hAnsi="楷体" w:hint="eastAsia"/>
          <w:sz w:val="15"/>
          <w:szCs w:val="15"/>
        </w:rPr>
        <w:t>计算。</w:t>
      </w:r>
    </w:p>
    <w:p w14:paraId="35CDD042" w14:textId="77777777" w:rsidR="00F52EEF" w:rsidRPr="00DC3A0D" w:rsidRDefault="00F52EEF" w:rsidP="00F52EEF">
      <w:pPr>
        <w:rPr>
          <w:rFonts w:ascii="宋体" w:hAnsi="宋体"/>
        </w:rPr>
      </w:pPr>
    </w:p>
    <w:p w14:paraId="33BB4367" w14:textId="77777777" w:rsidR="00F52EEF" w:rsidRPr="00DC3A0D" w:rsidRDefault="00F52EEF" w:rsidP="00F52EEF">
      <w:pPr>
        <w:jc w:val="center"/>
        <w:rPr>
          <w:rFonts w:ascii="宋体" w:hAnsi="宋体"/>
        </w:rPr>
      </w:pPr>
      <w:r w:rsidRPr="00DC3A0D">
        <w:rPr>
          <w:rFonts w:ascii="宋体" w:hAnsi="宋体"/>
          <w:noProof/>
        </w:rPr>
        <w:drawing>
          <wp:inline distT="0" distB="0" distL="0" distR="0" wp14:anchorId="52747C7F" wp14:editId="31A89BEC">
            <wp:extent cx="2743200" cy="1659583"/>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88855" cy="1687203"/>
                    </a:xfrm>
                    <a:prstGeom prst="rect">
                      <a:avLst/>
                    </a:prstGeom>
                    <a:noFill/>
                  </pic:spPr>
                </pic:pic>
              </a:graphicData>
            </a:graphic>
          </wp:inline>
        </w:drawing>
      </w:r>
    </w:p>
    <w:p w14:paraId="32158E93" w14:textId="53F2EE89" w:rsidR="00F52EEF" w:rsidRPr="00DC3A0D" w:rsidRDefault="00F52EEF" w:rsidP="00F52EEF">
      <w:pPr>
        <w:jc w:val="center"/>
        <w:rPr>
          <w:rFonts w:ascii="楷体" w:eastAsia="楷体" w:hAnsi="楷体"/>
        </w:rPr>
      </w:pPr>
      <w:r w:rsidRPr="00DC3A0D">
        <w:rPr>
          <w:rFonts w:ascii="楷体" w:eastAsia="楷体" w:hAnsi="楷体" w:hint="eastAsia"/>
        </w:rPr>
        <w:t>图</w:t>
      </w:r>
      <w:r w:rsidR="00551612" w:rsidRPr="00DC3A0D">
        <w:rPr>
          <w:rFonts w:ascii="楷体" w:eastAsia="楷体" w:hAnsi="楷体" w:hint="eastAsia"/>
        </w:rPr>
        <w:t>4</w:t>
      </w:r>
      <w:r w:rsidR="00181149">
        <w:rPr>
          <w:rFonts w:ascii="楷体" w:eastAsia="楷体" w:hAnsi="楷体"/>
        </w:rPr>
        <w:t xml:space="preserve">  </w:t>
      </w:r>
      <w:r w:rsidRPr="00DC3A0D">
        <w:rPr>
          <w:rFonts w:ascii="楷体" w:eastAsia="楷体" w:hAnsi="楷体" w:hint="eastAsia"/>
        </w:rPr>
        <w:t>狭义及广义政府部门杠杆率</w:t>
      </w:r>
    </w:p>
    <w:p w14:paraId="000B742C" w14:textId="6AFD641D" w:rsidR="00F52EEF" w:rsidRDefault="00F52EEF" w:rsidP="00F51C9C">
      <w:pPr>
        <w:ind w:firstLineChars="400" w:firstLine="600"/>
        <w:jc w:val="left"/>
        <w:rPr>
          <w:rFonts w:ascii="楷体" w:eastAsia="楷体" w:hAnsi="楷体"/>
          <w:sz w:val="15"/>
          <w:szCs w:val="15"/>
        </w:rPr>
      </w:pPr>
      <w:r w:rsidRPr="00F51C9C">
        <w:rPr>
          <w:rFonts w:ascii="楷体" w:eastAsia="楷体" w:hAnsi="楷体" w:hint="eastAsia"/>
          <w:sz w:val="15"/>
          <w:szCs w:val="15"/>
        </w:rPr>
        <w:t>数据来源：根据</w:t>
      </w:r>
      <w:r w:rsidR="000139E6">
        <w:rPr>
          <w:rFonts w:ascii="楷体" w:eastAsia="楷体" w:hAnsi="楷体" w:hint="eastAsia"/>
          <w:sz w:val="15"/>
          <w:szCs w:val="15"/>
        </w:rPr>
        <w:t>相关历年</w:t>
      </w:r>
      <w:r w:rsidR="00991DF5" w:rsidRPr="00F51C9C">
        <w:rPr>
          <w:rFonts w:ascii="楷体" w:eastAsia="楷体" w:hAnsi="楷体" w:hint="eastAsia"/>
          <w:sz w:val="15"/>
          <w:szCs w:val="15"/>
        </w:rPr>
        <w:t>《中国统计年鉴》</w:t>
      </w:r>
      <w:r w:rsidRPr="00F51C9C">
        <w:rPr>
          <w:rFonts w:ascii="楷体" w:eastAsia="楷体" w:hAnsi="楷体" w:hint="eastAsia"/>
          <w:sz w:val="15"/>
          <w:szCs w:val="15"/>
        </w:rPr>
        <w:t>、国家资产负债表研究中心（</w:t>
      </w:r>
      <w:r w:rsidRPr="00F51C9C">
        <w:rPr>
          <w:rFonts w:ascii="楷体" w:eastAsia="楷体" w:hAnsi="楷体"/>
          <w:sz w:val="15"/>
          <w:szCs w:val="15"/>
        </w:rPr>
        <w:t>CNBS）</w:t>
      </w:r>
      <w:r w:rsidRPr="00F51C9C">
        <w:rPr>
          <w:rFonts w:ascii="楷体" w:eastAsia="楷体" w:hAnsi="楷体" w:hint="eastAsia"/>
          <w:sz w:val="15"/>
          <w:szCs w:val="15"/>
        </w:rPr>
        <w:t>、</w:t>
      </w:r>
      <w:r w:rsidRPr="00F51C9C">
        <w:rPr>
          <w:rFonts w:ascii="楷体" w:eastAsia="楷体" w:hAnsi="楷体"/>
          <w:sz w:val="15"/>
          <w:szCs w:val="15"/>
        </w:rPr>
        <w:t>Wind数据库计算。</w:t>
      </w:r>
    </w:p>
    <w:p w14:paraId="2A5D50E2" w14:textId="44A1D848" w:rsidR="001A219D" w:rsidRPr="001A219D" w:rsidRDefault="00262703" w:rsidP="001A219D">
      <w:pPr>
        <w:jc w:val="center"/>
        <w:rPr>
          <w:rFonts w:ascii="黑体" w:eastAsia="黑体" w:hAnsi="黑体"/>
          <w:sz w:val="28"/>
          <w:szCs w:val="28"/>
        </w:rPr>
      </w:pPr>
      <w:r w:rsidRPr="001A219D">
        <w:rPr>
          <w:rFonts w:ascii="黑体" w:eastAsia="黑体" w:hAnsi="黑体" w:hint="eastAsia"/>
          <w:sz w:val="28"/>
          <w:szCs w:val="28"/>
        </w:rPr>
        <w:t>四</w:t>
      </w:r>
      <w:r w:rsidR="00A3383D" w:rsidRPr="001A219D">
        <w:rPr>
          <w:rFonts w:ascii="黑体" w:eastAsia="黑体" w:hAnsi="黑体" w:hint="eastAsia"/>
          <w:sz w:val="28"/>
          <w:szCs w:val="28"/>
        </w:rPr>
        <w:t>、</w:t>
      </w:r>
      <w:r w:rsidR="00957A06" w:rsidRPr="001A219D">
        <w:rPr>
          <w:rFonts w:ascii="黑体" w:eastAsia="黑体" w:hAnsi="黑体" w:hint="eastAsia"/>
          <w:sz w:val="28"/>
          <w:szCs w:val="28"/>
        </w:rPr>
        <w:t>融资</w:t>
      </w:r>
      <w:r w:rsidR="00A3383D" w:rsidRPr="001A219D">
        <w:rPr>
          <w:rFonts w:ascii="黑体" w:eastAsia="黑体" w:hAnsi="黑体" w:hint="eastAsia"/>
          <w:sz w:val="28"/>
          <w:szCs w:val="28"/>
        </w:rPr>
        <w:t>用途</w:t>
      </w:r>
      <w:r w:rsidR="00E92F16" w:rsidRPr="001A219D">
        <w:rPr>
          <w:rFonts w:ascii="黑体" w:eastAsia="黑体" w:hAnsi="黑体" w:hint="eastAsia"/>
          <w:sz w:val="28"/>
          <w:szCs w:val="28"/>
        </w:rPr>
        <w:t>结构</w:t>
      </w:r>
    </w:p>
    <w:p w14:paraId="4AD61E83" w14:textId="0FF3157B" w:rsidR="00E72FD5" w:rsidRPr="009A454A" w:rsidRDefault="00E72FD5" w:rsidP="009A454A">
      <w:pPr>
        <w:ind w:firstLineChars="200" w:firstLine="420"/>
        <w:rPr>
          <w:rFonts w:ascii="黑体" w:eastAsia="黑体" w:hAnsi="黑体"/>
        </w:rPr>
      </w:pPr>
      <w:r w:rsidRPr="009A454A">
        <w:rPr>
          <w:rFonts w:ascii="黑体" w:eastAsia="黑体" w:hAnsi="黑体" w:hint="eastAsia"/>
        </w:rPr>
        <w:t>（一）</w:t>
      </w:r>
      <w:r w:rsidR="00957A06" w:rsidRPr="009A454A">
        <w:rPr>
          <w:rFonts w:ascii="黑体" w:eastAsia="黑体" w:hAnsi="黑体" w:hint="eastAsia"/>
        </w:rPr>
        <w:t>融资</w:t>
      </w:r>
      <w:r w:rsidRPr="009A454A">
        <w:rPr>
          <w:rFonts w:ascii="黑体" w:eastAsia="黑体" w:hAnsi="黑体" w:hint="eastAsia"/>
        </w:rPr>
        <w:t>用途结构</w:t>
      </w:r>
      <w:r w:rsidR="007A142C" w:rsidRPr="009A454A">
        <w:rPr>
          <w:rFonts w:ascii="黑体" w:eastAsia="黑体" w:hAnsi="黑体" w:hint="eastAsia"/>
        </w:rPr>
        <w:t>转型</w:t>
      </w:r>
      <w:r w:rsidRPr="009A454A">
        <w:rPr>
          <w:rFonts w:ascii="黑体" w:eastAsia="黑体" w:hAnsi="黑体" w:hint="eastAsia"/>
        </w:rPr>
        <w:t>的主要特征</w:t>
      </w:r>
    </w:p>
    <w:p w14:paraId="2374C59E" w14:textId="2220CF3E" w:rsidR="00A3383D" w:rsidRPr="00DC3A0D" w:rsidRDefault="00A3383D" w:rsidP="00713B93">
      <w:pPr>
        <w:ind w:firstLineChars="200" w:firstLine="420"/>
      </w:pPr>
      <w:r w:rsidRPr="00DC3A0D">
        <w:rPr>
          <w:rFonts w:hint="eastAsia"/>
        </w:rPr>
        <w:t>从</w:t>
      </w:r>
      <w:r w:rsidR="00957A06" w:rsidRPr="00DC3A0D">
        <w:rPr>
          <w:rFonts w:hint="eastAsia"/>
        </w:rPr>
        <w:t>融资</w:t>
      </w:r>
      <w:r w:rsidRPr="00DC3A0D">
        <w:rPr>
          <w:rFonts w:hint="eastAsia"/>
        </w:rPr>
        <w:t>用途视角来看，过去十年间我国宏观融资结构的变化主要体现在：社会总融资中用于居民购买住房和基础设施建设等非生产性用途</w:t>
      </w:r>
      <w:r w:rsidR="00FF200C" w:rsidRPr="00DC3A0D">
        <w:rPr>
          <w:rFonts w:hint="eastAsia"/>
        </w:rPr>
        <w:t>或间接生产性用途</w:t>
      </w:r>
      <w:r w:rsidRPr="00DC3A0D">
        <w:rPr>
          <w:rFonts w:hint="eastAsia"/>
        </w:rPr>
        <w:t>的比例大幅上升，而直接用于社会再生产、参与经济循环更为活跃</w:t>
      </w:r>
      <w:bookmarkStart w:id="3" w:name="_Hlk76629722"/>
      <w:r w:rsidRPr="00DC3A0D">
        <w:rPr>
          <w:rFonts w:hint="eastAsia"/>
        </w:rPr>
        <w:t>的</w:t>
      </w:r>
      <w:r w:rsidR="008B55CA" w:rsidRPr="00DC3A0D">
        <w:rPr>
          <w:rFonts w:hint="eastAsia"/>
        </w:rPr>
        <w:t>部分占比</w:t>
      </w:r>
      <w:bookmarkEnd w:id="3"/>
      <w:r w:rsidRPr="00DC3A0D">
        <w:rPr>
          <w:rFonts w:hint="eastAsia"/>
        </w:rPr>
        <w:t>明显下降。</w:t>
      </w:r>
    </w:p>
    <w:p w14:paraId="5339F7F1" w14:textId="0A23AE10" w:rsidR="00A3383D" w:rsidRPr="00DC3A0D" w:rsidRDefault="00EE5F2B" w:rsidP="00BA6228">
      <w:pPr>
        <w:ind w:firstLineChars="200" w:firstLine="420"/>
      </w:pPr>
      <w:r w:rsidRPr="00DC3A0D">
        <w:rPr>
          <w:rFonts w:hint="eastAsia"/>
        </w:rPr>
        <w:t>第一，</w:t>
      </w:r>
      <w:r w:rsidR="00A3383D" w:rsidRPr="00DC3A0D">
        <w:rPr>
          <w:rFonts w:hint="eastAsia"/>
        </w:rPr>
        <w:t>个人住房抵押贷款规模激增。过去十年间，个人住房贷款的增长速度远远</w:t>
      </w:r>
      <w:r w:rsidR="00DF3705" w:rsidRPr="00DC3A0D">
        <w:rPr>
          <w:rFonts w:hint="eastAsia"/>
        </w:rPr>
        <w:t>超出</w:t>
      </w:r>
      <w:r w:rsidR="00A3383D" w:rsidRPr="00DC3A0D">
        <w:rPr>
          <w:rFonts w:hint="eastAsia"/>
        </w:rPr>
        <w:t>其他类型贷款的增速，个人住房贷款新增额在各项贷款新增总额中的占比由</w:t>
      </w:r>
      <w:r w:rsidR="00A3383D" w:rsidRPr="00DC3A0D">
        <w:rPr>
          <w:rFonts w:hint="eastAsia"/>
        </w:rPr>
        <w:t>2</w:t>
      </w:r>
      <w:r w:rsidR="00A3383D" w:rsidRPr="00DC3A0D">
        <w:t>0</w:t>
      </w:r>
      <w:r w:rsidR="00A3383D" w:rsidRPr="00DC3A0D">
        <w:rPr>
          <w:rFonts w:hint="eastAsia"/>
        </w:rPr>
        <w:t>%</w:t>
      </w:r>
      <w:r w:rsidR="00A3383D" w:rsidRPr="00DC3A0D">
        <w:rPr>
          <w:rFonts w:hint="eastAsia"/>
        </w:rPr>
        <w:t>上升至</w:t>
      </w:r>
      <w:r w:rsidR="00A3383D" w:rsidRPr="00DC3A0D">
        <w:rPr>
          <w:rFonts w:hint="eastAsia"/>
        </w:rPr>
        <w:t>2</w:t>
      </w:r>
      <w:r w:rsidR="00A3383D" w:rsidRPr="00DC3A0D">
        <w:t>5</w:t>
      </w:r>
      <w:r w:rsidR="00A3383D" w:rsidRPr="00DC3A0D">
        <w:rPr>
          <w:rFonts w:hint="eastAsia"/>
        </w:rPr>
        <w:t>%</w:t>
      </w:r>
      <w:r w:rsidR="00A3383D" w:rsidRPr="00DC3A0D">
        <w:rPr>
          <w:rFonts w:hint="eastAsia"/>
        </w:rPr>
        <w:t>以上</w:t>
      </w:r>
      <w:r w:rsidR="009D782A" w:rsidRPr="00DC3A0D">
        <w:rPr>
          <w:rFonts w:hint="eastAsia"/>
        </w:rPr>
        <w:t>，</w:t>
      </w:r>
      <w:r w:rsidR="00AC5215" w:rsidRPr="00DC3A0D">
        <w:rPr>
          <w:rFonts w:hint="eastAsia"/>
        </w:rPr>
        <w:t>个别年份甚至</w:t>
      </w:r>
      <w:r w:rsidR="000139E6">
        <w:rPr>
          <w:rFonts w:hint="eastAsia"/>
        </w:rPr>
        <w:t>接近</w:t>
      </w:r>
      <w:r w:rsidR="000139E6">
        <w:rPr>
          <w:rFonts w:hint="eastAsia"/>
        </w:rPr>
        <w:t>40%</w:t>
      </w:r>
      <w:r w:rsidR="00AC5215" w:rsidRPr="00DC3A0D">
        <w:rPr>
          <w:rFonts w:hint="eastAsia"/>
        </w:rPr>
        <w:t>。</w:t>
      </w:r>
      <w:r w:rsidR="009F3AD8" w:rsidRPr="00DC3A0D">
        <w:rPr>
          <w:rFonts w:hint="eastAsia"/>
        </w:rPr>
        <w:t>典型</w:t>
      </w:r>
      <w:r w:rsidR="000139E6">
        <w:rPr>
          <w:rFonts w:hint="eastAsia"/>
        </w:rPr>
        <w:t>如</w:t>
      </w:r>
      <w:r w:rsidR="00A3383D" w:rsidRPr="00DC3A0D">
        <w:rPr>
          <w:rFonts w:hint="eastAsia"/>
        </w:rPr>
        <w:t>2</w:t>
      </w:r>
      <w:r w:rsidR="00A3383D" w:rsidRPr="00DC3A0D">
        <w:t>016</w:t>
      </w:r>
      <w:r w:rsidR="00A3383D" w:rsidRPr="00DC3A0D">
        <w:rPr>
          <w:rFonts w:hint="eastAsia"/>
        </w:rPr>
        <w:t>年，个人住房贷款新增额达到</w:t>
      </w:r>
      <w:r w:rsidR="00A3383D" w:rsidRPr="00DC3A0D">
        <w:rPr>
          <w:rFonts w:hint="eastAsia"/>
        </w:rPr>
        <w:t>4</w:t>
      </w:r>
      <w:r w:rsidR="00A3383D" w:rsidRPr="00DC3A0D">
        <w:t>.9</w:t>
      </w:r>
      <w:r w:rsidR="00A3383D" w:rsidRPr="00DC3A0D">
        <w:rPr>
          <w:rFonts w:hint="eastAsia"/>
        </w:rPr>
        <w:t>万亿元之巨，占到当年各项贷款新增总额的</w:t>
      </w:r>
      <w:r w:rsidR="00A3383D" w:rsidRPr="00DC3A0D">
        <w:rPr>
          <w:rFonts w:hint="eastAsia"/>
        </w:rPr>
        <w:t>3</w:t>
      </w:r>
      <w:r w:rsidR="00A3383D" w:rsidRPr="00DC3A0D">
        <w:t>9.4</w:t>
      </w:r>
      <w:r w:rsidR="00A3383D" w:rsidRPr="00DC3A0D">
        <w:rPr>
          <w:rFonts w:hint="eastAsia"/>
        </w:rPr>
        <w:t>%</w:t>
      </w:r>
      <w:r w:rsidR="00A3383D" w:rsidRPr="00DC3A0D">
        <w:rPr>
          <w:rFonts w:hint="eastAsia"/>
        </w:rPr>
        <w:t>。</w:t>
      </w:r>
      <w:r w:rsidR="0099689F" w:rsidRPr="00DC3A0D">
        <w:rPr>
          <w:rFonts w:hint="eastAsia"/>
        </w:rPr>
        <w:t>截至</w:t>
      </w:r>
      <w:r w:rsidR="00A3383D" w:rsidRPr="00DC3A0D">
        <w:rPr>
          <w:rFonts w:hint="eastAsia"/>
        </w:rPr>
        <w:t>2</w:t>
      </w:r>
      <w:r w:rsidR="00A3383D" w:rsidRPr="00DC3A0D">
        <w:t>019</w:t>
      </w:r>
      <w:r w:rsidR="00A3383D" w:rsidRPr="00DC3A0D">
        <w:rPr>
          <w:rFonts w:hint="eastAsia"/>
        </w:rPr>
        <w:t>年末，个人住房贷款余额</w:t>
      </w:r>
      <w:r w:rsidR="00725B31" w:rsidRPr="00DC3A0D">
        <w:rPr>
          <w:rFonts w:hint="eastAsia"/>
        </w:rPr>
        <w:t>已</w:t>
      </w:r>
      <w:r w:rsidR="00A3383D" w:rsidRPr="00DC3A0D">
        <w:rPr>
          <w:rFonts w:hint="eastAsia"/>
        </w:rPr>
        <w:t>达</w:t>
      </w:r>
      <w:r w:rsidR="00A3383D" w:rsidRPr="00DC3A0D">
        <w:rPr>
          <w:rFonts w:hint="eastAsia"/>
        </w:rPr>
        <w:t>3</w:t>
      </w:r>
      <w:r w:rsidR="00725B31" w:rsidRPr="00DC3A0D">
        <w:t>0</w:t>
      </w:r>
      <w:r w:rsidR="00A3383D" w:rsidRPr="00DC3A0D">
        <w:t>.</w:t>
      </w:r>
      <w:r w:rsidR="00725B31" w:rsidRPr="00DC3A0D">
        <w:t>2</w:t>
      </w:r>
      <w:r w:rsidR="00A3383D" w:rsidRPr="00DC3A0D">
        <w:rPr>
          <w:rFonts w:hint="eastAsia"/>
        </w:rPr>
        <w:t>万亿元，占到全部人民币贷款总余额的</w:t>
      </w:r>
      <w:r w:rsidR="00725B31" w:rsidRPr="00DC3A0D">
        <w:t>19.7</w:t>
      </w:r>
      <w:r w:rsidR="00F02460" w:rsidRPr="00DC3A0D">
        <w:t>2</w:t>
      </w:r>
      <w:r w:rsidR="00725B31" w:rsidRPr="00DC3A0D">
        <w:rPr>
          <w:rFonts w:hint="eastAsia"/>
        </w:rPr>
        <w:t>%</w:t>
      </w:r>
      <w:r w:rsidR="00F02460" w:rsidRPr="00DC3A0D">
        <w:rPr>
          <w:rFonts w:hint="eastAsia"/>
        </w:rPr>
        <w:t>，</w:t>
      </w:r>
      <w:r w:rsidR="00E53685" w:rsidRPr="00DC3A0D">
        <w:rPr>
          <w:rFonts w:hint="eastAsia"/>
        </w:rPr>
        <w:t>比</w:t>
      </w:r>
      <w:r w:rsidR="00E53685" w:rsidRPr="00DC3A0D">
        <w:rPr>
          <w:rFonts w:hint="eastAsia"/>
        </w:rPr>
        <w:t>2</w:t>
      </w:r>
      <w:r w:rsidR="00E53685" w:rsidRPr="00DC3A0D">
        <w:t>008</w:t>
      </w:r>
      <w:r w:rsidR="00E53685" w:rsidRPr="00DC3A0D">
        <w:rPr>
          <w:rFonts w:hint="eastAsia"/>
        </w:rPr>
        <w:t>年</w:t>
      </w:r>
      <w:r w:rsidR="002B43F5" w:rsidRPr="00DC3A0D">
        <w:rPr>
          <w:rFonts w:hint="eastAsia"/>
        </w:rPr>
        <w:t>上升</w:t>
      </w:r>
      <w:r w:rsidR="00E53685" w:rsidRPr="00DC3A0D">
        <w:rPr>
          <w:rFonts w:hint="eastAsia"/>
        </w:rPr>
        <w:t>了</w:t>
      </w:r>
      <w:r w:rsidR="00181E4A" w:rsidRPr="00DC3A0D">
        <w:rPr>
          <w:rFonts w:hint="eastAsia"/>
        </w:rPr>
        <w:t>约</w:t>
      </w:r>
      <w:r w:rsidR="00E53685" w:rsidRPr="00DC3A0D">
        <w:rPr>
          <w:rFonts w:hint="eastAsia"/>
        </w:rPr>
        <w:t>1</w:t>
      </w:r>
      <w:r w:rsidR="00E53685" w:rsidRPr="00DC3A0D">
        <w:t>0</w:t>
      </w:r>
      <w:r w:rsidR="00E53685" w:rsidRPr="00DC3A0D">
        <w:rPr>
          <w:rFonts w:hint="eastAsia"/>
        </w:rPr>
        <w:t>个百分点。</w:t>
      </w:r>
      <w:r w:rsidR="00181E4A" w:rsidRPr="00DC3A0D">
        <w:rPr>
          <w:rFonts w:hint="eastAsia"/>
        </w:rPr>
        <w:t>个人住房贷款余额</w:t>
      </w:r>
      <w:r w:rsidR="00385071" w:rsidRPr="00DC3A0D">
        <w:rPr>
          <w:rFonts w:hint="eastAsia"/>
        </w:rPr>
        <w:t>与</w:t>
      </w:r>
      <w:r w:rsidR="00F02460" w:rsidRPr="00DC3A0D">
        <w:rPr>
          <w:rFonts w:hint="eastAsia"/>
        </w:rPr>
        <w:t>当年</w:t>
      </w:r>
      <w:r w:rsidR="00F02460" w:rsidRPr="00DC3A0D">
        <w:rPr>
          <w:rFonts w:hint="eastAsia"/>
        </w:rPr>
        <w:t>G</w:t>
      </w:r>
      <w:r w:rsidR="00F02460" w:rsidRPr="00DC3A0D">
        <w:t>DP</w:t>
      </w:r>
      <w:r w:rsidR="00F02460" w:rsidRPr="00DC3A0D">
        <w:rPr>
          <w:rFonts w:hint="eastAsia"/>
        </w:rPr>
        <w:t>的</w:t>
      </w:r>
      <w:r w:rsidR="00385071" w:rsidRPr="00DC3A0D">
        <w:rPr>
          <w:rFonts w:hint="eastAsia"/>
        </w:rPr>
        <w:t>比值达到</w:t>
      </w:r>
      <w:r w:rsidR="00F02460" w:rsidRPr="00DC3A0D">
        <w:rPr>
          <w:rFonts w:hint="eastAsia"/>
        </w:rPr>
        <w:t>3</w:t>
      </w:r>
      <w:r w:rsidR="00F02460" w:rsidRPr="00DC3A0D">
        <w:t>2.85</w:t>
      </w:r>
      <w:r w:rsidR="00F02460" w:rsidRPr="00DC3A0D">
        <w:rPr>
          <w:rFonts w:hint="eastAsia"/>
        </w:rPr>
        <w:t>%</w:t>
      </w:r>
      <w:r w:rsidR="009553EC" w:rsidRPr="00DC3A0D">
        <w:rPr>
          <w:rFonts w:hint="eastAsia"/>
        </w:rPr>
        <w:t>，比</w:t>
      </w:r>
      <w:r w:rsidR="00B54BCA" w:rsidRPr="00DC3A0D">
        <w:rPr>
          <w:rFonts w:hint="eastAsia"/>
        </w:rPr>
        <w:t>2</w:t>
      </w:r>
      <w:r w:rsidR="00B54BCA" w:rsidRPr="00DC3A0D">
        <w:t>008</w:t>
      </w:r>
      <w:r w:rsidR="00B54BCA" w:rsidRPr="00DC3A0D">
        <w:rPr>
          <w:rFonts w:hint="eastAsia"/>
        </w:rPr>
        <w:t>年</w:t>
      </w:r>
      <w:r w:rsidR="006721E5" w:rsidRPr="00DC3A0D">
        <w:rPr>
          <w:rFonts w:hint="eastAsia"/>
        </w:rPr>
        <w:t>提高了</w:t>
      </w:r>
      <w:r w:rsidR="0093744F" w:rsidRPr="00DC3A0D">
        <w:rPr>
          <w:rFonts w:hint="eastAsia"/>
        </w:rPr>
        <w:t>约</w:t>
      </w:r>
      <w:r w:rsidR="006721E5" w:rsidRPr="00DC3A0D">
        <w:rPr>
          <w:rFonts w:hint="eastAsia"/>
        </w:rPr>
        <w:t>2</w:t>
      </w:r>
      <w:r w:rsidR="006721E5" w:rsidRPr="00DC3A0D">
        <w:t>0</w:t>
      </w:r>
      <w:r w:rsidR="006721E5" w:rsidRPr="00DC3A0D">
        <w:rPr>
          <w:rFonts w:hint="eastAsia"/>
        </w:rPr>
        <w:t>个百分点</w:t>
      </w:r>
      <w:r w:rsidR="00A3383D" w:rsidRPr="00DC3A0D">
        <w:rPr>
          <w:rFonts w:hint="eastAsia"/>
        </w:rPr>
        <w:t>。</w:t>
      </w:r>
    </w:p>
    <w:p w14:paraId="293E5088" w14:textId="4FD17861" w:rsidR="005B078A" w:rsidRPr="00DC3A0D" w:rsidRDefault="00EE5F2B" w:rsidP="00713B93">
      <w:pPr>
        <w:ind w:firstLineChars="200" w:firstLine="420"/>
      </w:pPr>
      <w:r w:rsidRPr="00DC3A0D">
        <w:rPr>
          <w:rFonts w:hint="eastAsia"/>
        </w:rPr>
        <w:lastRenderedPageBreak/>
        <w:t>第二，</w:t>
      </w:r>
      <w:r w:rsidR="00A3383D" w:rsidRPr="00DC3A0D">
        <w:rPr>
          <w:rFonts w:hint="eastAsia"/>
        </w:rPr>
        <w:t>基础设施建设相关融资占全部社会融资规模的比例上升。基础设施建设融资是</w:t>
      </w:r>
      <w:r w:rsidR="0074065D" w:rsidRPr="00DC3A0D">
        <w:rPr>
          <w:rFonts w:hint="eastAsia"/>
        </w:rPr>
        <w:t>现阶段我国</w:t>
      </w:r>
      <w:r w:rsidR="00A3383D" w:rsidRPr="00DC3A0D">
        <w:rPr>
          <w:rFonts w:hint="eastAsia"/>
        </w:rPr>
        <w:t>社会融资的重要构成部分，且相对规模呈上升趋势。</w:t>
      </w:r>
      <w:r w:rsidR="00A3383D" w:rsidRPr="00DC3A0D">
        <w:rPr>
          <w:rFonts w:hint="eastAsia"/>
        </w:rPr>
        <w:t>2</w:t>
      </w:r>
      <w:r w:rsidR="00A3383D" w:rsidRPr="00DC3A0D">
        <w:t>009</w:t>
      </w:r>
      <w:r w:rsidR="00A3383D" w:rsidRPr="00DC3A0D">
        <w:rPr>
          <w:rFonts w:hint="eastAsia"/>
        </w:rPr>
        <w:t>年，基础设施建设投资总资金来源</w:t>
      </w:r>
      <w:r w:rsidR="00A3383D" w:rsidRPr="00F51C9C">
        <w:rPr>
          <w:highlight w:val="yellow"/>
          <w:vertAlign w:val="superscript"/>
        </w:rPr>
        <w:footnoteReference w:id="16"/>
      </w:r>
      <w:r w:rsidR="00A3383D" w:rsidRPr="00DC3A0D">
        <w:rPr>
          <w:rFonts w:hint="eastAsia"/>
        </w:rPr>
        <w:t>相对于当年社会融资规模增量的比例为</w:t>
      </w:r>
      <w:r w:rsidR="00A3383D" w:rsidRPr="00DC3A0D">
        <w:rPr>
          <w:rFonts w:hint="eastAsia"/>
        </w:rPr>
        <w:t>3</w:t>
      </w:r>
      <w:r w:rsidR="00A3383D" w:rsidRPr="00DC3A0D">
        <w:t>9.21</w:t>
      </w:r>
      <w:r w:rsidR="00A3383D" w:rsidRPr="00DC3A0D">
        <w:rPr>
          <w:rFonts w:hint="eastAsia"/>
        </w:rPr>
        <w:t>%</w:t>
      </w:r>
      <w:r w:rsidR="00A3383D" w:rsidRPr="00DC3A0D">
        <w:rPr>
          <w:rFonts w:hint="eastAsia"/>
        </w:rPr>
        <w:t>，此后这一比例持续攀升，到</w:t>
      </w:r>
      <w:r w:rsidR="00A3383D" w:rsidRPr="00DC3A0D">
        <w:rPr>
          <w:rFonts w:hint="eastAsia"/>
        </w:rPr>
        <w:t>2</w:t>
      </w:r>
      <w:r w:rsidR="00A3383D" w:rsidRPr="00DC3A0D">
        <w:t>015</w:t>
      </w:r>
      <w:r w:rsidR="00A3383D" w:rsidRPr="00DC3A0D">
        <w:rPr>
          <w:rFonts w:hint="eastAsia"/>
        </w:rPr>
        <w:t>年上升至</w:t>
      </w:r>
      <w:r w:rsidR="00A3383D" w:rsidRPr="00DC3A0D">
        <w:rPr>
          <w:rFonts w:hint="eastAsia"/>
        </w:rPr>
        <w:t>8</w:t>
      </w:r>
      <w:r w:rsidR="00A3383D" w:rsidRPr="00DC3A0D">
        <w:t>2.33</w:t>
      </w:r>
      <w:r w:rsidR="00A3383D" w:rsidRPr="00DC3A0D">
        <w:rPr>
          <w:rFonts w:hint="eastAsia"/>
        </w:rPr>
        <w:t>%</w:t>
      </w:r>
      <w:r w:rsidR="00A3383D" w:rsidRPr="00DC3A0D">
        <w:rPr>
          <w:rFonts w:hint="eastAsia"/>
        </w:rPr>
        <w:t>，</w:t>
      </w:r>
      <w:r w:rsidR="00A3383D" w:rsidRPr="00DC3A0D">
        <w:rPr>
          <w:rFonts w:hint="eastAsia"/>
        </w:rPr>
        <w:t>2</w:t>
      </w:r>
      <w:r w:rsidR="00A3383D" w:rsidRPr="00DC3A0D">
        <w:t>016</w:t>
      </w:r>
      <w:r w:rsidR="00A3383D" w:rsidRPr="00DC3A0D">
        <w:rPr>
          <w:rFonts w:hint="eastAsia"/>
        </w:rPr>
        <w:t>年之后有所下降但仍居于高位</w:t>
      </w:r>
      <w:r w:rsidR="00BA43D5" w:rsidRPr="00F51C9C">
        <w:rPr>
          <w:rStyle w:val="aa"/>
          <w:highlight w:val="yellow"/>
        </w:rPr>
        <w:footnoteReference w:id="17"/>
      </w:r>
      <w:r w:rsidR="00A3383D" w:rsidRPr="00DC3A0D">
        <w:rPr>
          <w:rFonts w:hint="eastAsia"/>
        </w:rPr>
        <w:t>。本文以“国内贷款”作为下限，以“国内贷款</w:t>
      </w:r>
      <w:r w:rsidR="00A3383D" w:rsidRPr="00DC3A0D">
        <w:rPr>
          <w:rFonts w:hint="eastAsia"/>
        </w:rPr>
        <w:t>+</w:t>
      </w:r>
      <w:r w:rsidR="00A3383D" w:rsidRPr="00DC3A0D">
        <w:rPr>
          <w:rFonts w:hint="eastAsia"/>
        </w:rPr>
        <w:t>国家预算内资金</w:t>
      </w:r>
      <w:r w:rsidR="00A3383D" w:rsidRPr="00DC3A0D">
        <w:rPr>
          <w:rFonts w:hint="eastAsia"/>
        </w:rPr>
        <w:t>+</w:t>
      </w:r>
      <w:r w:rsidR="00A3383D" w:rsidRPr="00DC3A0D">
        <w:rPr>
          <w:rFonts w:hint="eastAsia"/>
        </w:rPr>
        <w:t>其他资金”作为上限，来</w:t>
      </w:r>
      <w:r w:rsidR="005A5668">
        <w:rPr>
          <w:rFonts w:hint="eastAsia"/>
        </w:rPr>
        <w:t>匡算</w:t>
      </w:r>
      <w:r w:rsidR="00A3383D" w:rsidRPr="00DC3A0D">
        <w:rPr>
          <w:rFonts w:hint="eastAsia"/>
        </w:rPr>
        <w:t>基础设施建设</w:t>
      </w:r>
      <w:r w:rsidR="000A5353" w:rsidRPr="00DC3A0D">
        <w:rPr>
          <w:rFonts w:hint="eastAsia"/>
        </w:rPr>
        <w:t>融资</w:t>
      </w:r>
      <w:r w:rsidR="00A3383D" w:rsidRPr="00DC3A0D">
        <w:rPr>
          <w:rFonts w:hint="eastAsia"/>
        </w:rPr>
        <w:t>在全部社会融资中所占的份额</w:t>
      </w:r>
      <w:r w:rsidR="00417807">
        <w:rPr>
          <w:rFonts w:hint="eastAsia"/>
        </w:rPr>
        <w:t>。据此</w:t>
      </w:r>
      <w:r w:rsidR="00965478">
        <w:rPr>
          <w:rFonts w:hint="eastAsia"/>
        </w:rPr>
        <w:t>估计</w:t>
      </w:r>
      <w:r w:rsidR="00A3383D" w:rsidRPr="00DC3A0D">
        <w:rPr>
          <w:rFonts w:hint="eastAsia"/>
        </w:rPr>
        <w:t>每年大约有</w:t>
      </w:r>
      <w:r w:rsidR="00A3383D" w:rsidRPr="00DC3A0D">
        <w:rPr>
          <w:rFonts w:hint="eastAsia"/>
        </w:rPr>
        <w:t>1</w:t>
      </w:r>
      <w:r w:rsidR="00A3383D" w:rsidRPr="00DC3A0D">
        <w:t>0</w:t>
      </w:r>
      <w:r w:rsidR="00A3383D" w:rsidRPr="00DC3A0D">
        <w:rPr>
          <w:rFonts w:hint="eastAsia"/>
        </w:rPr>
        <w:t>%-</w:t>
      </w:r>
      <w:r w:rsidR="00A3383D" w:rsidRPr="00DC3A0D">
        <w:t>30</w:t>
      </w:r>
      <w:r w:rsidR="00A3383D" w:rsidRPr="00DC3A0D">
        <w:rPr>
          <w:rFonts w:hint="eastAsia"/>
        </w:rPr>
        <w:t>%</w:t>
      </w:r>
      <w:r w:rsidR="00A3383D" w:rsidRPr="00DC3A0D">
        <w:rPr>
          <w:rFonts w:hint="eastAsia"/>
        </w:rPr>
        <w:t>的增量社会融资被用于基础设施建设</w:t>
      </w:r>
      <w:r w:rsidR="00A3383D" w:rsidRPr="00F51C9C">
        <w:rPr>
          <w:highlight w:val="yellow"/>
          <w:vertAlign w:val="superscript"/>
        </w:rPr>
        <w:footnoteReference w:id="18"/>
      </w:r>
      <w:r w:rsidR="00A3383D" w:rsidRPr="00DC3A0D">
        <w:rPr>
          <w:rFonts w:hint="eastAsia"/>
        </w:rPr>
        <w:t>。</w:t>
      </w:r>
    </w:p>
    <w:p w14:paraId="74AF46CA" w14:textId="652F45A7" w:rsidR="00A3383D" w:rsidRPr="00DC3A0D" w:rsidRDefault="00A3383D" w:rsidP="00713B93">
      <w:pPr>
        <w:ind w:firstLineChars="200" w:firstLine="420"/>
      </w:pPr>
      <w:bookmarkStart w:id="4" w:name="_Hlk76630323"/>
      <w:r w:rsidRPr="00DC3A0D">
        <w:rPr>
          <w:rFonts w:hint="eastAsia"/>
        </w:rPr>
        <w:t>此处</w:t>
      </w:r>
      <w:r w:rsidR="00417807">
        <w:rPr>
          <w:rFonts w:hint="eastAsia"/>
        </w:rPr>
        <w:t>需要</w:t>
      </w:r>
      <w:r w:rsidRPr="00DC3A0D">
        <w:rPr>
          <w:rFonts w:hint="eastAsia"/>
        </w:rPr>
        <w:t>特别</w:t>
      </w:r>
      <w:r w:rsidR="00506619" w:rsidRPr="00DC3A0D">
        <w:rPr>
          <w:rFonts w:hint="eastAsia"/>
        </w:rPr>
        <w:t>指出</w:t>
      </w:r>
      <w:r w:rsidRPr="00DC3A0D">
        <w:rPr>
          <w:rFonts w:hint="eastAsia"/>
        </w:rPr>
        <w:t>的是，随着经济社会的发展，</w:t>
      </w:r>
      <w:r w:rsidR="00DC7C1E" w:rsidRPr="00DC3A0D">
        <w:rPr>
          <w:rFonts w:hint="eastAsia"/>
        </w:rPr>
        <w:t>近年来</w:t>
      </w:r>
      <w:r w:rsidRPr="00DC3A0D">
        <w:rPr>
          <w:rFonts w:hint="eastAsia"/>
        </w:rPr>
        <w:t>我国基础设施建设项目的构成正在发生两</w:t>
      </w:r>
      <w:r w:rsidR="000F4C89" w:rsidRPr="00DC3A0D">
        <w:rPr>
          <w:rFonts w:hint="eastAsia"/>
        </w:rPr>
        <w:t>方面</w:t>
      </w:r>
      <w:r w:rsidR="00120854">
        <w:rPr>
          <w:rFonts w:hint="eastAsia"/>
        </w:rPr>
        <w:t>重要</w:t>
      </w:r>
      <w:r w:rsidRPr="00DC3A0D">
        <w:rPr>
          <w:rFonts w:hint="eastAsia"/>
        </w:rPr>
        <w:t>变化</w:t>
      </w:r>
      <w:r w:rsidR="00417807">
        <w:rPr>
          <w:rFonts w:hint="eastAsia"/>
        </w:rPr>
        <w:t>。</w:t>
      </w:r>
      <w:r w:rsidRPr="00DC3A0D">
        <w:rPr>
          <w:rFonts w:hint="eastAsia"/>
        </w:rPr>
        <w:t>一</w:t>
      </w:r>
      <w:r w:rsidR="00417807">
        <w:rPr>
          <w:rFonts w:hint="eastAsia"/>
        </w:rPr>
        <w:t>是</w:t>
      </w:r>
      <w:r w:rsidRPr="00DC3A0D">
        <w:rPr>
          <w:rFonts w:hint="eastAsia"/>
        </w:rPr>
        <w:t>盈利性项目在全部基础设施建设项目中的比例在下降，而非营利性基础设施项目的占比快速上升。在</w:t>
      </w:r>
      <w:r w:rsidR="00120854">
        <w:rPr>
          <w:rFonts w:hint="eastAsia"/>
        </w:rPr>
        <w:t>快速城镇化和工业化的发展</w:t>
      </w:r>
      <w:r w:rsidRPr="00DC3A0D">
        <w:rPr>
          <w:rFonts w:hint="eastAsia"/>
        </w:rPr>
        <w:t>阶段，铁路、公路、机场、港口、电力、通信等是基础设施投资的主要领域，这些项目或多或少都能够产生</w:t>
      </w:r>
      <w:r w:rsidR="00C43A5D" w:rsidRPr="00DC3A0D">
        <w:rPr>
          <w:rFonts w:hint="eastAsia"/>
        </w:rPr>
        <w:t>一定</w:t>
      </w:r>
      <w:r w:rsidRPr="00DC3A0D">
        <w:rPr>
          <w:rFonts w:hint="eastAsia"/>
        </w:rPr>
        <w:t>现金流回报，具有盈利性</w:t>
      </w:r>
      <w:r w:rsidR="00417807">
        <w:rPr>
          <w:rFonts w:hint="eastAsia"/>
        </w:rPr>
        <w:t>，</w:t>
      </w:r>
      <w:r w:rsidRPr="00DC3A0D">
        <w:rPr>
          <w:rFonts w:hint="eastAsia"/>
        </w:rPr>
        <w:t>而随着经济发展到一定阶段，基础设施建设的主体</w:t>
      </w:r>
      <w:r w:rsidR="00417807">
        <w:rPr>
          <w:rFonts w:hint="eastAsia"/>
        </w:rPr>
        <w:t>将逐渐</w:t>
      </w:r>
      <w:r w:rsidRPr="00DC3A0D">
        <w:rPr>
          <w:rFonts w:hint="eastAsia"/>
        </w:rPr>
        <w:t>转向市政道路、公园等非营利性</w:t>
      </w:r>
      <w:r w:rsidR="00202010">
        <w:rPr>
          <w:rFonts w:hint="eastAsia"/>
        </w:rPr>
        <w:t>或弱盈利性</w:t>
      </w:r>
      <w:r w:rsidRPr="00DC3A0D">
        <w:rPr>
          <w:rFonts w:hint="eastAsia"/>
        </w:rPr>
        <w:t>项目。二</w:t>
      </w:r>
      <w:r w:rsidR="00417807">
        <w:rPr>
          <w:rFonts w:hint="eastAsia"/>
        </w:rPr>
        <w:t>是</w:t>
      </w:r>
      <w:r w:rsidRPr="00DC3A0D">
        <w:rPr>
          <w:rFonts w:hint="eastAsia"/>
        </w:rPr>
        <w:t>从财务收益来看，</w:t>
      </w:r>
      <w:r w:rsidR="00C17ABD" w:rsidRPr="00DC3A0D">
        <w:rPr>
          <w:rFonts w:hint="eastAsia"/>
        </w:rPr>
        <w:t>当</w:t>
      </w:r>
      <w:r w:rsidRPr="00DC3A0D">
        <w:rPr>
          <w:rFonts w:hint="eastAsia"/>
        </w:rPr>
        <w:t>城市</w:t>
      </w:r>
      <w:r w:rsidR="00C17ABD" w:rsidRPr="00DC3A0D">
        <w:rPr>
          <w:rFonts w:hint="eastAsia"/>
        </w:rPr>
        <w:t>处于增量</w:t>
      </w:r>
      <w:r w:rsidRPr="00DC3A0D">
        <w:rPr>
          <w:rFonts w:hint="eastAsia"/>
        </w:rPr>
        <w:t>扩张阶段</w:t>
      </w:r>
      <w:r w:rsidR="0082056D" w:rsidRPr="00DC3A0D">
        <w:rPr>
          <w:rFonts w:hint="eastAsia"/>
        </w:rPr>
        <w:t>时</w:t>
      </w:r>
      <w:r w:rsidRPr="00DC3A0D">
        <w:rPr>
          <w:rFonts w:hint="eastAsia"/>
        </w:rPr>
        <w:t>，大量基础设施项目可通过政府出让国有土地使用权</w:t>
      </w:r>
      <w:r w:rsidR="00417807">
        <w:rPr>
          <w:rFonts w:hint="eastAsia"/>
        </w:rPr>
        <w:t>的</w:t>
      </w:r>
      <w:r w:rsidRPr="00DC3A0D">
        <w:rPr>
          <w:rFonts w:hint="eastAsia"/>
        </w:rPr>
        <w:t>收入来实现融资</w:t>
      </w:r>
      <w:r w:rsidRPr="00F51C9C">
        <w:rPr>
          <w:highlight w:val="yellow"/>
          <w:vertAlign w:val="superscript"/>
        </w:rPr>
        <w:footnoteReference w:id="19"/>
      </w:r>
      <w:r w:rsidR="00417807">
        <w:rPr>
          <w:rFonts w:hint="eastAsia"/>
        </w:rPr>
        <w:t>，</w:t>
      </w:r>
      <w:r w:rsidRPr="00DC3A0D">
        <w:rPr>
          <w:rFonts w:hint="eastAsia"/>
        </w:rPr>
        <w:t>而当城市进入存量发展阶段后，不仅基建项目本身的新增配套土地面临减少，取而代之的是大量的存量翻新工程</w:t>
      </w:r>
      <w:r w:rsidR="00417807">
        <w:rPr>
          <w:rFonts w:hint="eastAsia"/>
        </w:rPr>
        <w:t>，</w:t>
      </w:r>
      <w:r w:rsidRPr="00DC3A0D">
        <w:rPr>
          <w:rFonts w:hint="eastAsia"/>
        </w:rPr>
        <w:t>且由于房地产交易中新房</w:t>
      </w:r>
      <w:r w:rsidR="00417807">
        <w:rPr>
          <w:rFonts w:hint="eastAsia"/>
        </w:rPr>
        <w:t>占</w:t>
      </w:r>
      <w:r w:rsidRPr="00DC3A0D">
        <w:rPr>
          <w:rFonts w:hint="eastAsia"/>
        </w:rPr>
        <w:t>比降低、二手房</w:t>
      </w:r>
      <w:r w:rsidR="00417807">
        <w:rPr>
          <w:rFonts w:hint="eastAsia"/>
        </w:rPr>
        <w:t>占比</w:t>
      </w:r>
      <w:r w:rsidRPr="00DC3A0D">
        <w:rPr>
          <w:rFonts w:hint="eastAsia"/>
        </w:rPr>
        <w:t>上升，政府能够获得的国有土地使用权出让收入也会面临增速下降</w:t>
      </w:r>
      <w:r w:rsidR="00FD3A85">
        <w:rPr>
          <w:rFonts w:hint="eastAsia"/>
        </w:rPr>
        <w:t>乃至</w:t>
      </w:r>
      <w:r w:rsidRPr="00DC3A0D">
        <w:rPr>
          <w:rFonts w:hint="eastAsia"/>
        </w:rPr>
        <w:t>绝对</w:t>
      </w:r>
      <w:r w:rsidR="006952CE">
        <w:rPr>
          <w:rFonts w:hint="eastAsia"/>
        </w:rPr>
        <w:t>规模</w:t>
      </w:r>
      <w:r w:rsidRPr="00DC3A0D">
        <w:rPr>
          <w:rFonts w:hint="eastAsia"/>
        </w:rPr>
        <w:t>萎缩。</w:t>
      </w:r>
      <w:r w:rsidR="001F2DDF" w:rsidRPr="00DC3A0D">
        <w:rPr>
          <w:rFonts w:hint="eastAsia"/>
        </w:rPr>
        <w:t>上述两点变化</w:t>
      </w:r>
      <w:r w:rsidR="0004420F" w:rsidRPr="00DC3A0D">
        <w:rPr>
          <w:rFonts w:hint="eastAsia"/>
        </w:rPr>
        <w:t>均将对</w:t>
      </w:r>
      <w:r w:rsidR="00423DB3">
        <w:rPr>
          <w:rFonts w:hint="eastAsia"/>
        </w:rPr>
        <w:t>未来一段时期</w:t>
      </w:r>
      <w:r w:rsidR="00F4643C" w:rsidRPr="00DC3A0D">
        <w:rPr>
          <w:rFonts w:hint="eastAsia"/>
        </w:rPr>
        <w:t>我国</w:t>
      </w:r>
      <w:r w:rsidR="0004420F" w:rsidRPr="00DC3A0D">
        <w:rPr>
          <w:rFonts w:hint="eastAsia"/>
        </w:rPr>
        <w:t>既有基础设施投融资体系</w:t>
      </w:r>
      <w:r w:rsidR="001F706E" w:rsidRPr="00DC3A0D">
        <w:rPr>
          <w:rFonts w:hint="eastAsia"/>
        </w:rPr>
        <w:t>的</w:t>
      </w:r>
      <w:r w:rsidR="0004420F" w:rsidRPr="00DC3A0D">
        <w:rPr>
          <w:rFonts w:hint="eastAsia"/>
        </w:rPr>
        <w:t>可持续性</w:t>
      </w:r>
      <w:r w:rsidR="00BE7F80" w:rsidRPr="00DC3A0D">
        <w:rPr>
          <w:rFonts w:hint="eastAsia"/>
        </w:rPr>
        <w:t>带来</w:t>
      </w:r>
      <w:r w:rsidR="009C5DFE" w:rsidRPr="00DC3A0D">
        <w:rPr>
          <w:rFonts w:hint="eastAsia"/>
        </w:rPr>
        <w:t>较大</w:t>
      </w:r>
      <w:r w:rsidR="0004420F" w:rsidRPr="00DC3A0D">
        <w:rPr>
          <w:rFonts w:hint="eastAsia"/>
        </w:rPr>
        <w:t>挑战。</w:t>
      </w:r>
      <w:bookmarkEnd w:id="4"/>
    </w:p>
    <w:p w14:paraId="78A5A265" w14:textId="5FAA1101" w:rsidR="00A3383D" w:rsidRPr="00DC3A0D" w:rsidRDefault="00EE5F2B" w:rsidP="00053EB4">
      <w:pPr>
        <w:ind w:firstLineChars="200" w:firstLine="420"/>
        <w:rPr>
          <w:rFonts w:ascii="宋体" w:hAnsi="宋体"/>
        </w:rPr>
      </w:pPr>
      <w:r w:rsidRPr="00DC3A0D">
        <w:rPr>
          <w:rFonts w:hint="eastAsia"/>
        </w:rPr>
        <w:t>第三，</w:t>
      </w:r>
      <w:r w:rsidR="00A3383D" w:rsidRPr="00DC3A0D">
        <w:rPr>
          <w:rFonts w:hint="eastAsia"/>
        </w:rPr>
        <w:t>在生产性融资内部，第三产业融资规模快速上升，第二产业尤其是制造业融资</w:t>
      </w:r>
      <w:r w:rsidR="00ED3241" w:rsidRPr="00DC3A0D">
        <w:rPr>
          <w:rFonts w:hint="eastAsia"/>
        </w:rPr>
        <w:t>增速明显放缓</w:t>
      </w:r>
      <w:r w:rsidR="00552224" w:rsidRPr="00DC3A0D">
        <w:rPr>
          <w:rFonts w:hint="eastAsia"/>
        </w:rPr>
        <w:t>（图</w:t>
      </w:r>
      <w:r w:rsidR="000D389C">
        <w:t>5</w:t>
      </w:r>
      <w:r w:rsidR="00552224" w:rsidRPr="00DC3A0D">
        <w:rPr>
          <w:rFonts w:hint="eastAsia"/>
        </w:rPr>
        <w:t>）</w:t>
      </w:r>
      <w:r w:rsidR="00A3383D" w:rsidRPr="00DC3A0D">
        <w:rPr>
          <w:rFonts w:hint="eastAsia"/>
        </w:rPr>
        <w:t>。</w:t>
      </w:r>
      <w:r w:rsidR="00A3383D" w:rsidRPr="00DC3A0D">
        <w:rPr>
          <w:rFonts w:hint="eastAsia"/>
        </w:rPr>
        <w:t>2</w:t>
      </w:r>
      <w:r w:rsidR="00A3383D" w:rsidRPr="00DC3A0D">
        <w:t>011</w:t>
      </w:r>
      <w:r w:rsidR="00B9093E" w:rsidRPr="00DC3A0D">
        <w:rPr>
          <w:rFonts w:hint="eastAsia"/>
        </w:rPr>
        <w:t>年至</w:t>
      </w:r>
      <w:r w:rsidR="00A3383D" w:rsidRPr="00DC3A0D">
        <w:t>201</w:t>
      </w:r>
      <w:r w:rsidR="00275774" w:rsidRPr="00DC3A0D">
        <w:t>8</w:t>
      </w:r>
      <w:r w:rsidR="00A3383D" w:rsidRPr="00DC3A0D">
        <w:rPr>
          <w:rFonts w:hint="eastAsia"/>
        </w:rPr>
        <w:t>年，第三产业人民币贷款增量由</w:t>
      </w:r>
      <w:r w:rsidR="00A3383D" w:rsidRPr="00DC3A0D">
        <w:t>22251</w:t>
      </w:r>
      <w:r w:rsidR="00A3383D" w:rsidRPr="00DC3A0D">
        <w:rPr>
          <w:rFonts w:hint="eastAsia"/>
        </w:rPr>
        <w:t>亿元上升至</w:t>
      </w:r>
      <w:r w:rsidR="004C398A" w:rsidRPr="00DC3A0D">
        <w:t>61840</w:t>
      </w:r>
      <w:r w:rsidR="00A3383D" w:rsidRPr="00DC3A0D">
        <w:rPr>
          <w:rFonts w:hint="eastAsia"/>
        </w:rPr>
        <w:t>亿元，第二产业人民币贷款增量由</w:t>
      </w:r>
      <w:r w:rsidR="00A3383D" w:rsidRPr="00DC3A0D">
        <w:t>26943</w:t>
      </w:r>
      <w:r w:rsidR="00A3383D" w:rsidRPr="00DC3A0D">
        <w:rPr>
          <w:rFonts w:hint="eastAsia"/>
        </w:rPr>
        <w:t>亿元下降至</w:t>
      </w:r>
      <w:r w:rsidR="004C398A" w:rsidRPr="00DC3A0D">
        <w:t>12197</w:t>
      </w:r>
      <w:r w:rsidR="00A3383D" w:rsidRPr="00DC3A0D">
        <w:rPr>
          <w:rFonts w:hint="eastAsia"/>
        </w:rPr>
        <w:t>亿元，其中制造业人民币贷款增量由</w:t>
      </w:r>
      <w:r w:rsidR="00A3383D" w:rsidRPr="00DC3A0D">
        <w:rPr>
          <w:rFonts w:hint="eastAsia"/>
        </w:rPr>
        <w:t>1</w:t>
      </w:r>
      <w:r w:rsidR="00A3383D" w:rsidRPr="00DC3A0D">
        <w:t>6339</w:t>
      </w:r>
      <w:r w:rsidR="00A3383D" w:rsidRPr="00DC3A0D">
        <w:rPr>
          <w:rFonts w:hint="eastAsia"/>
        </w:rPr>
        <w:t>亿元大幅下降至</w:t>
      </w:r>
      <w:r w:rsidR="00B82885" w:rsidRPr="00DC3A0D">
        <w:t>3513</w:t>
      </w:r>
      <w:r w:rsidR="00A3383D" w:rsidRPr="00DC3A0D">
        <w:rPr>
          <w:rFonts w:hint="eastAsia"/>
        </w:rPr>
        <w:t>亿元。第三产业在全部</w:t>
      </w:r>
      <w:r w:rsidR="009E5CDF">
        <w:rPr>
          <w:rFonts w:hint="eastAsia"/>
        </w:rPr>
        <w:t>“</w:t>
      </w:r>
      <w:r w:rsidR="00A3383D" w:rsidRPr="00DC3A0D">
        <w:rPr>
          <w:rFonts w:hint="eastAsia"/>
        </w:rPr>
        <w:t>产业贷款</w:t>
      </w:r>
      <w:r w:rsidR="009E5CDF">
        <w:rPr>
          <w:rFonts w:hint="eastAsia"/>
        </w:rPr>
        <w:t>”</w:t>
      </w:r>
      <w:r w:rsidR="00A3383D" w:rsidRPr="00DC3A0D">
        <w:rPr>
          <w:rFonts w:hint="eastAsia"/>
        </w:rPr>
        <w:t>增量中的比重由</w:t>
      </w:r>
      <w:r w:rsidR="00A3383D" w:rsidRPr="00DC3A0D">
        <w:rPr>
          <w:rFonts w:hint="eastAsia"/>
        </w:rPr>
        <w:t>2</w:t>
      </w:r>
      <w:r w:rsidR="00A3383D" w:rsidRPr="00DC3A0D">
        <w:t>011</w:t>
      </w:r>
      <w:r w:rsidR="00A3383D" w:rsidRPr="00DC3A0D">
        <w:rPr>
          <w:rFonts w:hint="eastAsia"/>
        </w:rPr>
        <w:t>年的</w:t>
      </w:r>
      <w:r w:rsidR="00A3383D" w:rsidRPr="00DC3A0D">
        <w:t>44.76</w:t>
      </w:r>
      <w:r w:rsidR="00A3383D" w:rsidRPr="00DC3A0D">
        <w:rPr>
          <w:rFonts w:hint="eastAsia"/>
        </w:rPr>
        <w:t>%</w:t>
      </w:r>
      <w:r w:rsidR="00A3383D" w:rsidRPr="00DC3A0D">
        <w:rPr>
          <w:rFonts w:hint="eastAsia"/>
        </w:rPr>
        <w:t>上升至</w:t>
      </w:r>
      <w:r w:rsidR="00A3383D" w:rsidRPr="00DC3A0D">
        <w:rPr>
          <w:rFonts w:hint="eastAsia"/>
        </w:rPr>
        <w:t>2</w:t>
      </w:r>
      <w:r w:rsidR="00A3383D" w:rsidRPr="00DC3A0D">
        <w:t>01</w:t>
      </w:r>
      <w:r w:rsidR="00C77272" w:rsidRPr="00DC3A0D">
        <w:t>8</w:t>
      </w:r>
      <w:r w:rsidR="00A3383D" w:rsidRPr="00DC3A0D">
        <w:rPr>
          <w:rFonts w:hint="eastAsia"/>
        </w:rPr>
        <w:t>年的</w:t>
      </w:r>
      <w:r w:rsidR="00C77272" w:rsidRPr="00DC3A0D">
        <w:t>82.60</w:t>
      </w:r>
      <w:r w:rsidR="00A3383D" w:rsidRPr="00DC3A0D">
        <w:rPr>
          <w:rFonts w:hint="eastAsia"/>
        </w:rPr>
        <w:t>%</w:t>
      </w:r>
      <w:r w:rsidR="00A3383D" w:rsidRPr="00DC3A0D">
        <w:rPr>
          <w:rFonts w:hint="eastAsia"/>
        </w:rPr>
        <w:t>，而第二产业所占比重则由</w:t>
      </w:r>
      <w:r w:rsidR="00A3383D" w:rsidRPr="00DC3A0D">
        <w:rPr>
          <w:rFonts w:hint="eastAsia"/>
        </w:rPr>
        <w:t>5</w:t>
      </w:r>
      <w:r w:rsidR="00A3383D" w:rsidRPr="00DC3A0D">
        <w:t>4.20</w:t>
      </w:r>
      <w:r w:rsidR="00A3383D" w:rsidRPr="00DC3A0D">
        <w:rPr>
          <w:rFonts w:hint="eastAsia"/>
        </w:rPr>
        <w:t>%</w:t>
      </w:r>
      <w:r w:rsidR="00A3383D" w:rsidRPr="00DC3A0D">
        <w:rPr>
          <w:rFonts w:hint="eastAsia"/>
        </w:rPr>
        <w:t>下降至</w:t>
      </w:r>
      <w:r w:rsidR="00CA48FD" w:rsidRPr="00DC3A0D">
        <w:t>16.49</w:t>
      </w:r>
      <w:r w:rsidR="00A3383D" w:rsidRPr="00DC3A0D">
        <w:rPr>
          <w:rFonts w:hint="eastAsia"/>
        </w:rPr>
        <w:t>%</w:t>
      </w:r>
      <w:r w:rsidR="00A3383D" w:rsidRPr="00DC3A0D">
        <w:rPr>
          <w:rFonts w:hint="eastAsia"/>
        </w:rPr>
        <w:t>，其中制造业比重由</w:t>
      </w:r>
      <w:r w:rsidR="00A3383D" w:rsidRPr="00DC3A0D">
        <w:rPr>
          <w:rFonts w:hint="eastAsia"/>
        </w:rPr>
        <w:t>3</w:t>
      </w:r>
      <w:r w:rsidR="00A3383D" w:rsidRPr="00DC3A0D">
        <w:t>2.87</w:t>
      </w:r>
      <w:r w:rsidR="00A3383D" w:rsidRPr="00DC3A0D">
        <w:rPr>
          <w:rFonts w:hint="eastAsia"/>
        </w:rPr>
        <w:t>%</w:t>
      </w:r>
      <w:r w:rsidR="00A3383D" w:rsidRPr="00DC3A0D">
        <w:rPr>
          <w:rFonts w:hint="eastAsia"/>
        </w:rPr>
        <w:t>下降至</w:t>
      </w:r>
      <w:r w:rsidR="00F73EE3" w:rsidRPr="00DC3A0D">
        <w:t>4.75</w:t>
      </w:r>
      <w:r w:rsidR="00A3383D" w:rsidRPr="00DC3A0D">
        <w:rPr>
          <w:rFonts w:hint="eastAsia"/>
        </w:rPr>
        <w:t>%</w:t>
      </w:r>
      <w:r w:rsidR="00A3383D" w:rsidRPr="00DC3A0D">
        <w:rPr>
          <w:rFonts w:hint="eastAsia"/>
        </w:rPr>
        <w:t>。作为比较，尽管在此期间二</w:t>
      </w:r>
      <w:r w:rsidR="00417807">
        <w:rPr>
          <w:rFonts w:hint="eastAsia"/>
        </w:rPr>
        <w:t>、</w:t>
      </w:r>
      <w:r w:rsidR="00A3383D" w:rsidRPr="00DC3A0D">
        <w:rPr>
          <w:rFonts w:hint="eastAsia"/>
        </w:rPr>
        <w:t>三产业增加值在</w:t>
      </w:r>
      <w:r w:rsidR="00A3383D" w:rsidRPr="00DC3A0D">
        <w:rPr>
          <w:rFonts w:hint="eastAsia"/>
        </w:rPr>
        <w:t>G</w:t>
      </w:r>
      <w:r w:rsidR="00A3383D" w:rsidRPr="00DC3A0D">
        <w:t>DP</w:t>
      </w:r>
      <w:r w:rsidR="00A3383D" w:rsidRPr="00DC3A0D">
        <w:rPr>
          <w:rFonts w:hint="eastAsia"/>
        </w:rPr>
        <w:t>中的比例结构也发生了此消彼长的变化，但变动幅度却远远小于贷款结构的变动</w:t>
      </w:r>
      <w:r w:rsidR="00F600EA">
        <w:rPr>
          <w:rFonts w:hint="eastAsia"/>
        </w:rPr>
        <w:t>——</w:t>
      </w:r>
      <w:r w:rsidR="00A3383D" w:rsidRPr="00DC3A0D">
        <w:rPr>
          <w:rFonts w:hint="eastAsia"/>
        </w:rPr>
        <w:t>2</w:t>
      </w:r>
      <w:r w:rsidR="00A3383D" w:rsidRPr="00DC3A0D">
        <w:t>011</w:t>
      </w:r>
      <w:r w:rsidR="00A3383D" w:rsidRPr="00DC3A0D">
        <w:rPr>
          <w:rFonts w:hint="eastAsia"/>
        </w:rPr>
        <w:t>-</w:t>
      </w:r>
      <w:r w:rsidR="00A3383D" w:rsidRPr="00DC3A0D">
        <w:t>201</w:t>
      </w:r>
      <w:r w:rsidR="00304477" w:rsidRPr="00DC3A0D">
        <w:t>8</w:t>
      </w:r>
      <w:r w:rsidR="00A3383D" w:rsidRPr="00DC3A0D">
        <w:rPr>
          <w:rFonts w:hint="eastAsia"/>
        </w:rPr>
        <w:t>年，第三产业在</w:t>
      </w:r>
      <w:r w:rsidR="00A3383D" w:rsidRPr="00DC3A0D">
        <w:rPr>
          <w:rFonts w:hint="eastAsia"/>
        </w:rPr>
        <w:t>G</w:t>
      </w:r>
      <w:r w:rsidR="00A3383D" w:rsidRPr="00DC3A0D">
        <w:t>DP</w:t>
      </w:r>
      <w:r w:rsidR="00A3383D" w:rsidRPr="00DC3A0D">
        <w:rPr>
          <w:rFonts w:hint="eastAsia"/>
        </w:rPr>
        <w:t>中所占比重提高了</w:t>
      </w:r>
      <w:r w:rsidR="00B80409" w:rsidRPr="00DC3A0D">
        <w:t>9.0</w:t>
      </w:r>
      <w:r w:rsidR="00A3383D" w:rsidRPr="00DC3A0D">
        <w:rPr>
          <w:rFonts w:hint="eastAsia"/>
        </w:rPr>
        <w:t>个百分点，第二产业比重下降了</w:t>
      </w:r>
      <w:r w:rsidR="00B80409" w:rsidRPr="00DC3A0D">
        <w:t>7.2</w:t>
      </w:r>
      <w:r w:rsidR="00A3383D" w:rsidRPr="00DC3A0D">
        <w:rPr>
          <w:rFonts w:hint="eastAsia"/>
        </w:rPr>
        <w:t>个百分点，其中制造业比重下降了</w:t>
      </w:r>
      <w:r w:rsidR="00A773DB" w:rsidRPr="00DC3A0D">
        <w:t>4.2</w:t>
      </w:r>
      <w:r w:rsidR="00A3383D" w:rsidRPr="00DC3A0D">
        <w:rPr>
          <w:rFonts w:hint="eastAsia"/>
        </w:rPr>
        <w:t>个百分点，</w:t>
      </w:r>
      <w:r w:rsidR="00364C44" w:rsidRPr="00DC3A0D">
        <w:rPr>
          <w:rFonts w:hint="eastAsia"/>
        </w:rPr>
        <w:t>变动幅度</w:t>
      </w:r>
      <w:r w:rsidR="00A3383D" w:rsidRPr="00DC3A0D">
        <w:rPr>
          <w:rFonts w:hint="eastAsia"/>
        </w:rPr>
        <w:t>均远远小于贷款占比的变动幅度</w:t>
      </w:r>
      <w:r w:rsidR="005F30EE" w:rsidRPr="00F51C9C">
        <w:rPr>
          <w:rStyle w:val="aa"/>
          <w:highlight w:val="yellow"/>
        </w:rPr>
        <w:footnoteReference w:id="20"/>
      </w:r>
      <w:r w:rsidR="00A3383D" w:rsidRPr="00DC3A0D">
        <w:rPr>
          <w:rFonts w:hint="eastAsia"/>
        </w:rPr>
        <w:t>。</w:t>
      </w:r>
    </w:p>
    <w:p w14:paraId="1E078F36" w14:textId="77777777" w:rsidR="006E5AC5" w:rsidRPr="00DC3A0D" w:rsidRDefault="006E5AC5" w:rsidP="006E5AC5">
      <w:pPr>
        <w:jc w:val="center"/>
        <w:rPr>
          <w:rFonts w:ascii="楷体" w:eastAsia="楷体" w:hAnsi="楷体"/>
        </w:rPr>
      </w:pPr>
    </w:p>
    <w:p w14:paraId="4911F000" w14:textId="059F349F" w:rsidR="00B97323" w:rsidRPr="00DC3A0D" w:rsidRDefault="00B97323" w:rsidP="00E15BE9">
      <w:pPr>
        <w:jc w:val="center"/>
        <w:rPr>
          <w:rFonts w:ascii="宋体" w:hAnsi="宋体"/>
        </w:rPr>
      </w:pPr>
      <w:r w:rsidRPr="00DC3A0D">
        <w:rPr>
          <w:rFonts w:ascii="宋体" w:hAnsi="宋体"/>
          <w:noProof/>
        </w:rPr>
        <w:lastRenderedPageBreak/>
        <w:drawing>
          <wp:inline distT="0" distB="0" distL="0" distR="0" wp14:anchorId="2E3F7C77" wp14:editId="17BC662D">
            <wp:extent cx="3282950" cy="2025193"/>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34885" cy="2057231"/>
                    </a:xfrm>
                    <a:prstGeom prst="rect">
                      <a:avLst/>
                    </a:prstGeom>
                    <a:noFill/>
                  </pic:spPr>
                </pic:pic>
              </a:graphicData>
            </a:graphic>
          </wp:inline>
        </w:drawing>
      </w:r>
    </w:p>
    <w:p w14:paraId="0313128D" w14:textId="18F72454" w:rsidR="00A3383D" w:rsidRPr="00DC3A0D" w:rsidRDefault="00A3383D" w:rsidP="00E15BE9">
      <w:pPr>
        <w:jc w:val="center"/>
        <w:rPr>
          <w:rFonts w:ascii="楷体" w:eastAsia="楷体" w:hAnsi="楷体"/>
        </w:rPr>
      </w:pPr>
      <w:r w:rsidRPr="00DC3A0D">
        <w:rPr>
          <w:rFonts w:ascii="楷体" w:eastAsia="楷体" w:hAnsi="楷体" w:hint="eastAsia"/>
        </w:rPr>
        <w:t>图</w:t>
      </w:r>
      <w:r w:rsidR="000D389C">
        <w:rPr>
          <w:rFonts w:ascii="楷体" w:eastAsia="楷体" w:hAnsi="楷体" w:hint="eastAsia"/>
        </w:rPr>
        <w:t>5</w:t>
      </w:r>
      <w:r w:rsidR="00181149">
        <w:rPr>
          <w:rFonts w:ascii="楷体" w:eastAsia="楷体" w:hAnsi="楷体"/>
        </w:rPr>
        <w:t xml:space="preserve">  </w:t>
      </w:r>
      <w:r w:rsidRPr="00DC3A0D">
        <w:rPr>
          <w:rFonts w:ascii="楷体" w:eastAsia="楷体" w:hAnsi="楷体"/>
        </w:rPr>
        <w:t>分产业贷款余额增速</w:t>
      </w:r>
    </w:p>
    <w:p w14:paraId="66785140" w14:textId="51EB7FA6" w:rsidR="00A3383D" w:rsidRPr="00F51C9C" w:rsidRDefault="00A3383D" w:rsidP="00F51C9C">
      <w:pPr>
        <w:ind w:firstLineChars="200" w:firstLine="300"/>
        <w:rPr>
          <w:rFonts w:ascii="楷体" w:eastAsia="楷体" w:hAnsi="楷体"/>
          <w:sz w:val="15"/>
          <w:szCs w:val="15"/>
        </w:rPr>
      </w:pPr>
      <w:r w:rsidRPr="00F51C9C">
        <w:rPr>
          <w:rFonts w:ascii="楷体" w:eastAsia="楷体" w:hAnsi="楷体" w:hint="eastAsia"/>
          <w:sz w:val="15"/>
          <w:szCs w:val="15"/>
        </w:rPr>
        <w:t>数据来源：中国人民银行，作者计算。</w:t>
      </w:r>
    </w:p>
    <w:p w14:paraId="4FD6DC83" w14:textId="77777777" w:rsidR="009A454A" w:rsidRDefault="009A454A" w:rsidP="009A454A">
      <w:pPr>
        <w:rPr>
          <w:rFonts w:ascii="黑体" w:eastAsia="黑体" w:hAnsi="黑体"/>
        </w:rPr>
      </w:pPr>
    </w:p>
    <w:p w14:paraId="611A72D9" w14:textId="67CD738D" w:rsidR="00DE299B" w:rsidRPr="009A454A" w:rsidRDefault="00DE299B" w:rsidP="009A454A">
      <w:pPr>
        <w:ind w:firstLineChars="200" w:firstLine="420"/>
        <w:rPr>
          <w:rFonts w:ascii="黑体" w:eastAsia="黑体" w:hAnsi="黑体"/>
        </w:rPr>
      </w:pPr>
      <w:r w:rsidRPr="009A454A">
        <w:rPr>
          <w:rFonts w:ascii="黑体" w:eastAsia="黑体" w:hAnsi="黑体" w:hint="eastAsia"/>
        </w:rPr>
        <w:t>（二）</w:t>
      </w:r>
      <w:bookmarkStart w:id="5" w:name="_Hlk76630461"/>
      <w:r w:rsidRPr="009A454A">
        <w:rPr>
          <w:rFonts w:ascii="黑体" w:eastAsia="黑体" w:hAnsi="黑体" w:hint="eastAsia"/>
        </w:rPr>
        <w:t>存量债务利息支出负担加重</w:t>
      </w:r>
      <w:bookmarkEnd w:id="5"/>
    </w:p>
    <w:p w14:paraId="5FFB161A" w14:textId="4C848757" w:rsidR="007D7B60" w:rsidRDefault="009B1323" w:rsidP="009B1323">
      <w:pPr>
        <w:ind w:firstLineChars="200" w:firstLine="420"/>
      </w:pPr>
      <w:r w:rsidRPr="00DC3A0D">
        <w:rPr>
          <w:rFonts w:hint="eastAsia"/>
        </w:rPr>
        <w:t>随着存量债务的持续积累，新增融资中用于利息支付的比例大幅上升，导致真正可投向新增用途的净增融资较为有限。根据“国家金融与发展实验室”的数据，截至</w:t>
      </w:r>
      <w:r w:rsidRPr="00DC3A0D">
        <w:rPr>
          <w:rFonts w:hint="eastAsia"/>
        </w:rPr>
        <w:t>2</w:t>
      </w:r>
      <w:r w:rsidRPr="00DC3A0D">
        <w:t>019</w:t>
      </w:r>
      <w:r w:rsidRPr="00DC3A0D">
        <w:rPr>
          <w:rFonts w:hint="eastAsia"/>
        </w:rPr>
        <w:t>年末我国实体经济部门的总杠杆率为</w:t>
      </w:r>
      <w:r w:rsidRPr="00DC3A0D">
        <w:rPr>
          <w:rFonts w:hint="eastAsia"/>
        </w:rPr>
        <w:t>2</w:t>
      </w:r>
      <w:r w:rsidRPr="00DC3A0D">
        <w:t>45.4</w:t>
      </w:r>
      <w:r w:rsidRPr="00DC3A0D">
        <w:rPr>
          <w:rFonts w:hint="eastAsia"/>
        </w:rPr>
        <w:t>%</w:t>
      </w:r>
      <w:r w:rsidRPr="00DC3A0D">
        <w:rPr>
          <w:rFonts w:hint="eastAsia"/>
        </w:rPr>
        <w:t>，其中</w:t>
      </w:r>
      <w:r w:rsidR="00D9060E" w:rsidRPr="00DC3A0D">
        <w:rPr>
          <w:rFonts w:hint="eastAsia"/>
        </w:rPr>
        <w:t>住户部门</w:t>
      </w:r>
      <w:r w:rsidRPr="00DC3A0D">
        <w:rPr>
          <w:rFonts w:hint="eastAsia"/>
        </w:rPr>
        <w:t>、非金融企业部门、政府部门的杠杆率分别为</w:t>
      </w:r>
      <w:r w:rsidRPr="00DC3A0D">
        <w:rPr>
          <w:rFonts w:hint="eastAsia"/>
        </w:rPr>
        <w:t>5</w:t>
      </w:r>
      <w:r w:rsidRPr="00DC3A0D">
        <w:t>5.8</w:t>
      </w:r>
      <w:r w:rsidRPr="00DC3A0D">
        <w:rPr>
          <w:rFonts w:hint="eastAsia"/>
        </w:rPr>
        <w:t>%</w:t>
      </w:r>
      <w:r w:rsidRPr="00DC3A0D">
        <w:rPr>
          <w:rFonts w:hint="eastAsia"/>
        </w:rPr>
        <w:t>、</w:t>
      </w:r>
      <w:r w:rsidRPr="00DC3A0D">
        <w:rPr>
          <w:rFonts w:hint="eastAsia"/>
        </w:rPr>
        <w:t>1</w:t>
      </w:r>
      <w:r w:rsidRPr="00DC3A0D">
        <w:t>51.3</w:t>
      </w:r>
      <w:r w:rsidRPr="00DC3A0D">
        <w:rPr>
          <w:rFonts w:hint="eastAsia"/>
        </w:rPr>
        <w:t>%</w:t>
      </w:r>
      <w:r w:rsidR="00E32C8D">
        <w:rPr>
          <w:rFonts w:hint="eastAsia"/>
        </w:rPr>
        <w:t>、</w:t>
      </w:r>
      <w:r w:rsidRPr="00DC3A0D">
        <w:rPr>
          <w:rFonts w:hint="eastAsia"/>
        </w:rPr>
        <w:t>3</w:t>
      </w:r>
      <w:r w:rsidRPr="00DC3A0D">
        <w:t>8.3</w:t>
      </w:r>
      <w:r w:rsidRPr="00DC3A0D">
        <w:rPr>
          <w:rFonts w:hint="eastAsia"/>
        </w:rPr>
        <w:t>%</w:t>
      </w:r>
      <w:r w:rsidRPr="00DC3A0D">
        <w:rPr>
          <w:rFonts w:hint="eastAsia"/>
        </w:rPr>
        <w:t>。</w:t>
      </w:r>
      <w:r w:rsidR="001C10DB">
        <w:rPr>
          <w:rFonts w:hint="eastAsia"/>
        </w:rPr>
        <w:t>此处</w:t>
      </w:r>
      <w:r w:rsidRPr="00DC3A0D">
        <w:rPr>
          <w:rFonts w:hint="eastAsia"/>
        </w:rPr>
        <w:t>以个人住房贷款加权平均利率</w:t>
      </w:r>
      <w:r w:rsidRPr="00F51C9C">
        <w:rPr>
          <w:rStyle w:val="aa"/>
          <w:highlight w:val="yellow"/>
        </w:rPr>
        <w:footnoteReference w:id="21"/>
      </w:r>
      <w:r w:rsidRPr="00DC3A0D">
        <w:rPr>
          <w:rFonts w:hint="eastAsia"/>
        </w:rPr>
        <w:t>，国债发行利率和地方政府债券发行利率的加权平均利率，金融机构一般贷款平均利率、公司债发行利率、企业债发行利率的加权平均利率，分别作为</w:t>
      </w:r>
      <w:r w:rsidR="00D9060E" w:rsidRPr="00DC3A0D">
        <w:rPr>
          <w:rFonts w:hint="eastAsia"/>
        </w:rPr>
        <w:t>住户部门</w:t>
      </w:r>
      <w:r w:rsidRPr="00DC3A0D">
        <w:rPr>
          <w:rFonts w:hint="eastAsia"/>
        </w:rPr>
        <w:t>、政府部门</w:t>
      </w:r>
      <w:r w:rsidR="00E32C8D">
        <w:rPr>
          <w:rFonts w:hint="eastAsia"/>
        </w:rPr>
        <w:t>、</w:t>
      </w:r>
      <w:r w:rsidRPr="00DC3A0D">
        <w:rPr>
          <w:rFonts w:hint="eastAsia"/>
        </w:rPr>
        <w:t>非金融企业部门的债务利率成本，</w:t>
      </w:r>
      <w:r w:rsidR="00E32C8D">
        <w:rPr>
          <w:rFonts w:hint="eastAsia"/>
        </w:rPr>
        <w:t>藉此</w:t>
      </w:r>
      <w:r w:rsidRPr="00DC3A0D">
        <w:rPr>
          <w:rFonts w:hint="eastAsia"/>
        </w:rPr>
        <w:t>可估算出</w:t>
      </w:r>
      <w:r w:rsidRPr="00DC3A0D">
        <w:rPr>
          <w:rFonts w:hint="eastAsia"/>
        </w:rPr>
        <w:t>2</w:t>
      </w:r>
      <w:r w:rsidRPr="00DC3A0D">
        <w:t>019</w:t>
      </w:r>
      <w:r w:rsidRPr="00DC3A0D">
        <w:rPr>
          <w:rFonts w:hint="eastAsia"/>
        </w:rPr>
        <w:t>年中国经济中实体部门的利息偿付支出总额达到</w:t>
      </w:r>
      <w:r w:rsidRPr="00DC3A0D">
        <w:rPr>
          <w:rFonts w:hint="eastAsia"/>
        </w:rPr>
        <w:t>1</w:t>
      </w:r>
      <w:r w:rsidRPr="00DC3A0D">
        <w:t>2.9</w:t>
      </w:r>
      <w:r w:rsidRPr="00DC3A0D">
        <w:rPr>
          <w:rFonts w:hint="eastAsia"/>
        </w:rPr>
        <w:t>万亿元，大约相当于当年</w:t>
      </w:r>
      <w:r w:rsidRPr="00DC3A0D">
        <w:rPr>
          <w:rFonts w:hint="eastAsia"/>
        </w:rPr>
        <w:t>G</w:t>
      </w:r>
      <w:r w:rsidRPr="00DC3A0D">
        <w:t>DP</w:t>
      </w:r>
      <w:r w:rsidRPr="00DC3A0D">
        <w:rPr>
          <w:rFonts w:hint="eastAsia"/>
        </w:rPr>
        <w:t>的</w:t>
      </w:r>
      <w:r w:rsidRPr="00DC3A0D">
        <w:rPr>
          <w:rFonts w:hint="eastAsia"/>
        </w:rPr>
        <w:t>1</w:t>
      </w:r>
      <w:r w:rsidRPr="00DC3A0D">
        <w:t>3.0</w:t>
      </w:r>
      <w:r w:rsidRPr="00DC3A0D">
        <w:rPr>
          <w:rFonts w:hint="eastAsia"/>
        </w:rPr>
        <w:t>%</w:t>
      </w:r>
      <w:r w:rsidRPr="00DC3A0D">
        <w:rPr>
          <w:rFonts w:hint="eastAsia"/>
        </w:rPr>
        <w:t>。尽管由于债务内部构成结构复杂、利率动态变化等因素，上述数字只是对我国实体经济部门利息支出负担的一个估计值，而非严格的确数</w:t>
      </w:r>
      <w:r w:rsidR="00E32C8D">
        <w:rPr>
          <w:rFonts w:hint="eastAsia"/>
        </w:rPr>
        <w:t>，</w:t>
      </w:r>
      <w:r w:rsidRPr="00DC3A0D">
        <w:rPr>
          <w:rFonts w:hint="eastAsia"/>
        </w:rPr>
        <w:t>但仍能为</w:t>
      </w:r>
      <w:r w:rsidR="00E32C8D">
        <w:rPr>
          <w:rFonts w:hint="eastAsia"/>
        </w:rPr>
        <w:t>我们</w:t>
      </w:r>
      <w:r w:rsidRPr="00DC3A0D">
        <w:rPr>
          <w:rFonts w:hint="eastAsia"/>
        </w:rPr>
        <w:t>理解实体经济部门的存量债务负担提供大致的参考基准</w:t>
      </w:r>
      <w:r w:rsidR="007D2923" w:rsidRPr="00F51C9C">
        <w:rPr>
          <w:rStyle w:val="aa"/>
          <w:highlight w:val="yellow"/>
        </w:rPr>
        <w:footnoteReference w:id="22"/>
      </w:r>
      <w:r w:rsidRPr="00DC3A0D">
        <w:rPr>
          <w:rFonts w:hint="eastAsia"/>
        </w:rPr>
        <w:t>。</w:t>
      </w:r>
    </w:p>
    <w:p w14:paraId="6AD251B8" w14:textId="149D196F" w:rsidR="009B1323" w:rsidRPr="00DC3A0D" w:rsidRDefault="009B1323" w:rsidP="009B1323">
      <w:pPr>
        <w:ind w:firstLineChars="200" w:firstLine="420"/>
      </w:pPr>
      <w:r w:rsidRPr="00DC3A0D">
        <w:rPr>
          <w:rFonts w:hint="eastAsia"/>
        </w:rPr>
        <w:t>2</w:t>
      </w:r>
      <w:r w:rsidRPr="00DC3A0D">
        <w:t>019</w:t>
      </w:r>
      <w:r w:rsidRPr="00DC3A0D">
        <w:rPr>
          <w:rFonts w:hint="eastAsia"/>
        </w:rPr>
        <w:t>年，全国社会融资规模增量为</w:t>
      </w:r>
      <w:r w:rsidRPr="00DC3A0D">
        <w:rPr>
          <w:rFonts w:hint="eastAsia"/>
        </w:rPr>
        <w:t>2</w:t>
      </w:r>
      <w:r w:rsidRPr="00DC3A0D">
        <w:t>5.6</w:t>
      </w:r>
      <w:r w:rsidRPr="00DC3A0D">
        <w:rPr>
          <w:rFonts w:hint="eastAsia"/>
        </w:rPr>
        <w:t>万亿元，实体经济部门</w:t>
      </w:r>
      <w:r w:rsidRPr="00DC3A0D">
        <w:rPr>
          <w:rFonts w:hint="eastAsia"/>
        </w:rPr>
        <w:t>1</w:t>
      </w:r>
      <w:r w:rsidRPr="00DC3A0D">
        <w:t>2.9</w:t>
      </w:r>
      <w:r w:rsidRPr="00DC3A0D">
        <w:rPr>
          <w:rFonts w:hint="eastAsia"/>
        </w:rPr>
        <w:t>万亿元的利息支出总额大致相当于该数值的</w:t>
      </w:r>
      <w:r w:rsidRPr="00DC3A0D">
        <w:rPr>
          <w:rFonts w:hint="eastAsia"/>
        </w:rPr>
        <w:t>5</w:t>
      </w:r>
      <w:r w:rsidRPr="00DC3A0D">
        <w:t>0.5</w:t>
      </w:r>
      <w:r w:rsidRPr="00DC3A0D">
        <w:rPr>
          <w:rFonts w:hint="eastAsia"/>
        </w:rPr>
        <w:t>%</w:t>
      </w:r>
      <w:r w:rsidRPr="00DC3A0D">
        <w:rPr>
          <w:rFonts w:hint="eastAsia"/>
        </w:rPr>
        <w:t>。换言之，用于支付存量债务利息</w:t>
      </w:r>
      <w:r w:rsidR="002C5B65" w:rsidRPr="00DC3A0D">
        <w:rPr>
          <w:rFonts w:hint="eastAsia"/>
        </w:rPr>
        <w:t>的资金规模已大约相当于社会融资规模增量的一半</w:t>
      </w:r>
      <w:r w:rsidRPr="00DC3A0D">
        <w:rPr>
          <w:rFonts w:hint="eastAsia"/>
        </w:rPr>
        <w:t>。当然，</w:t>
      </w:r>
      <w:r w:rsidR="001C10DB">
        <w:rPr>
          <w:rFonts w:hint="eastAsia"/>
        </w:rPr>
        <w:t>需要澄清的是</w:t>
      </w:r>
      <w:r w:rsidR="00E32C8D">
        <w:rPr>
          <w:rFonts w:hint="eastAsia"/>
        </w:rPr>
        <w:t>，</w:t>
      </w:r>
      <w:r w:rsidRPr="00DC3A0D">
        <w:rPr>
          <w:rFonts w:hint="eastAsia"/>
        </w:rPr>
        <w:t>政府、企业、居民用于利息支付的资金并不全部来自于社会融资，还可能来自税收、利润、工资收入等来源，因而上述比例仅仅是对实体经济部门利息支付负担的一个相对刻画，并不意味着社会融资资金中的一半</w:t>
      </w:r>
      <w:r w:rsidR="00E32C8D">
        <w:rPr>
          <w:rFonts w:hint="eastAsia"/>
        </w:rPr>
        <w:t>都</w:t>
      </w:r>
      <w:r w:rsidRPr="00DC3A0D">
        <w:rPr>
          <w:rFonts w:hint="eastAsia"/>
        </w:rPr>
        <w:t>被用于利息支付。</w:t>
      </w:r>
    </w:p>
    <w:p w14:paraId="2195E2FA" w14:textId="0419358D" w:rsidR="009B1323" w:rsidRPr="00DC3A0D" w:rsidRDefault="009B1323" w:rsidP="009B1323">
      <w:pPr>
        <w:ind w:firstLineChars="200" w:firstLine="420"/>
      </w:pPr>
      <w:r w:rsidRPr="00DC3A0D">
        <w:rPr>
          <w:rFonts w:hint="eastAsia"/>
        </w:rPr>
        <w:t>时间序列视角的动态变化相对于单个年份静态数值而言更能说明问题。从图</w:t>
      </w:r>
      <w:r w:rsidR="000D389C">
        <w:t>6</w:t>
      </w:r>
      <w:r w:rsidRPr="00DC3A0D">
        <w:rPr>
          <w:rFonts w:hint="eastAsia"/>
        </w:rPr>
        <w:t>可以看出，</w:t>
      </w:r>
      <w:r w:rsidRPr="00DC3A0D">
        <w:rPr>
          <w:rFonts w:hint="eastAsia"/>
        </w:rPr>
        <w:t>2</w:t>
      </w:r>
      <w:r w:rsidRPr="00DC3A0D">
        <w:t>008</w:t>
      </w:r>
      <w:r w:rsidRPr="00DC3A0D">
        <w:rPr>
          <w:rFonts w:hint="eastAsia"/>
        </w:rPr>
        <w:t>年之后</w:t>
      </w:r>
      <w:r w:rsidR="00E32C8D">
        <w:rPr>
          <w:rFonts w:hint="eastAsia"/>
        </w:rPr>
        <w:t>，</w:t>
      </w:r>
      <w:r w:rsidRPr="00DC3A0D">
        <w:rPr>
          <w:rFonts w:hint="eastAsia"/>
        </w:rPr>
        <w:t>实体经济部门利息支出规模由</w:t>
      </w:r>
      <w:r w:rsidRPr="00DC3A0D">
        <w:rPr>
          <w:rFonts w:hint="eastAsia"/>
        </w:rPr>
        <w:t>2</w:t>
      </w:r>
      <w:r w:rsidRPr="00DC3A0D">
        <w:t>.8</w:t>
      </w:r>
      <w:r w:rsidRPr="00DC3A0D">
        <w:rPr>
          <w:rFonts w:hint="eastAsia"/>
        </w:rPr>
        <w:t>万亿元</w:t>
      </w:r>
      <w:r w:rsidR="00E32C8D">
        <w:rPr>
          <w:rFonts w:hint="eastAsia"/>
        </w:rPr>
        <w:t>开始</w:t>
      </w:r>
      <w:r w:rsidRPr="00DC3A0D">
        <w:rPr>
          <w:rFonts w:hint="eastAsia"/>
        </w:rPr>
        <w:t>持续大幅扩张，到</w:t>
      </w:r>
      <w:r w:rsidRPr="00DC3A0D">
        <w:rPr>
          <w:rFonts w:hint="eastAsia"/>
        </w:rPr>
        <w:t>2</w:t>
      </w:r>
      <w:r w:rsidRPr="00DC3A0D">
        <w:t>019</w:t>
      </w:r>
      <w:r w:rsidRPr="00DC3A0D">
        <w:rPr>
          <w:rFonts w:hint="eastAsia"/>
        </w:rPr>
        <w:t>年增长了</w:t>
      </w:r>
      <w:r w:rsidRPr="00DC3A0D">
        <w:rPr>
          <w:rFonts w:hint="eastAsia"/>
        </w:rPr>
        <w:t>3</w:t>
      </w:r>
      <w:r w:rsidRPr="00DC3A0D">
        <w:t>.6</w:t>
      </w:r>
      <w:r w:rsidRPr="00DC3A0D">
        <w:rPr>
          <w:rFonts w:hint="eastAsia"/>
        </w:rPr>
        <w:t>倍。实体经济部门利息支出相对于</w:t>
      </w:r>
      <w:r w:rsidRPr="00DC3A0D">
        <w:t>GDP</w:t>
      </w:r>
      <w:r w:rsidRPr="00DC3A0D">
        <w:rPr>
          <w:rFonts w:hint="eastAsia"/>
        </w:rPr>
        <w:t>的份额亦由</w:t>
      </w:r>
      <w:r w:rsidRPr="00DC3A0D">
        <w:rPr>
          <w:rFonts w:hint="eastAsia"/>
        </w:rPr>
        <w:t>9%</w:t>
      </w:r>
      <w:r w:rsidRPr="00DC3A0D">
        <w:rPr>
          <w:rFonts w:hint="eastAsia"/>
        </w:rPr>
        <w:t>左右快速抬升至</w:t>
      </w:r>
      <w:r w:rsidRPr="00DC3A0D">
        <w:rPr>
          <w:rFonts w:hint="eastAsia"/>
        </w:rPr>
        <w:t>1</w:t>
      </w:r>
      <w:r w:rsidRPr="00DC3A0D">
        <w:t>4</w:t>
      </w:r>
      <w:r w:rsidRPr="00DC3A0D">
        <w:rPr>
          <w:rFonts w:hint="eastAsia"/>
        </w:rPr>
        <w:t>%</w:t>
      </w:r>
      <w:r w:rsidRPr="00DC3A0D">
        <w:rPr>
          <w:rFonts w:hint="eastAsia"/>
        </w:rPr>
        <w:t>以上，尽管</w:t>
      </w:r>
      <w:r w:rsidRPr="00DC3A0D">
        <w:rPr>
          <w:rFonts w:hint="eastAsia"/>
        </w:rPr>
        <w:t>2</w:t>
      </w:r>
      <w:r w:rsidRPr="00DC3A0D">
        <w:t>015</w:t>
      </w:r>
      <w:r w:rsidRPr="00DC3A0D">
        <w:rPr>
          <w:rFonts w:hint="eastAsia"/>
        </w:rPr>
        <w:t>年之后略有降低，但仍明显高于十年前的水平。总体而言，当前我国实体经济部门利息支出</w:t>
      </w:r>
      <w:r w:rsidR="00E32C8D">
        <w:rPr>
          <w:rFonts w:hint="eastAsia"/>
        </w:rPr>
        <w:t>占</w:t>
      </w:r>
      <w:r w:rsidRPr="00DC3A0D">
        <w:t>GDP</w:t>
      </w:r>
      <w:r w:rsidR="00E32C8D">
        <w:rPr>
          <w:rFonts w:hint="eastAsia"/>
        </w:rPr>
        <w:t>的比重</w:t>
      </w:r>
      <w:r w:rsidRPr="00DC3A0D">
        <w:rPr>
          <w:rFonts w:hint="eastAsia"/>
        </w:rPr>
        <w:t>相比</w:t>
      </w:r>
      <w:r w:rsidRPr="00DC3A0D">
        <w:rPr>
          <w:rFonts w:hint="eastAsia"/>
        </w:rPr>
        <w:t>2</w:t>
      </w:r>
      <w:r w:rsidRPr="00DC3A0D">
        <w:t>008</w:t>
      </w:r>
      <w:r w:rsidRPr="00DC3A0D">
        <w:rPr>
          <w:rFonts w:hint="eastAsia"/>
        </w:rPr>
        <w:t>年提高了</w:t>
      </w:r>
      <w:r w:rsidRPr="00DC3A0D">
        <w:rPr>
          <w:rFonts w:hint="eastAsia"/>
        </w:rPr>
        <w:t>4</w:t>
      </w:r>
      <w:r w:rsidR="00E32C8D">
        <w:rPr>
          <w:rFonts w:hint="eastAsia"/>
        </w:rPr>
        <w:t>~</w:t>
      </w:r>
      <w:r w:rsidRPr="00DC3A0D">
        <w:t>5</w:t>
      </w:r>
      <w:r w:rsidRPr="00DC3A0D">
        <w:rPr>
          <w:rFonts w:hint="eastAsia"/>
        </w:rPr>
        <w:t>个百分点。在实际</w:t>
      </w:r>
      <w:r w:rsidRPr="00DC3A0D">
        <w:rPr>
          <w:rFonts w:hint="eastAsia"/>
        </w:rPr>
        <w:t>G</w:t>
      </w:r>
      <w:r w:rsidRPr="00DC3A0D">
        <w:t>DP</w:t>
      </w:r>
      <w:r w:rsidRPr="00DC3A0D">
        <w:rPr>
          <w:rFonts w:hint="eastAsia"/>
        </w:rPr>
        <w:t>增速已经放缓至</w:t>
      </w:r>
      <w:r w:rsidRPr="00DC3A0D">
        <w:rPr>
          <w:rFonts w:hint="eastAsia"/>
        </w:rPr>
        <w:t>6%</w:t>
      </w:r>
      <w:r w:rsidRPr="00DC3A0D">
        <w:rPr>
          <w:rFonts w:hint="eastAsia"/>
        </w:rPr>
        <w:t>左右的情况下，</w:t>
      </w:r>
      <w:r w:rsidRPr="00DC3A0D">
        <w:rPr>
          <w:rFonts w:hint="eastAsia"/>
        </w:rPr>
        <w:t>4</w:t>
      </w:r>
      <w:r w:rsidR="00E32C8D">
        <w:rPr>
          <w:rFonts w:hint="eastAsia"/>
        </w:rPr>
        <w:t>~</w:t>
      </w:r>
      <w:r w:rsidRPr="00DC3A0D">
        <w:t>5</w:t>
      </w:r>
      <w:r w:rsidRPr="00DC3A0D">
        <w:rPr>
          <w:rFonts w:hint="eastAsia"/>
        </w:rPr>
        <w:t>个百分点的存量债务利息负担</w:t>
      </w:r>
      <w:r w:rsidR="00BA0495">
        <w:rPr>
          <w:rFonts w:hint="eastAsia"/>
        </w:rPr>
        <w:t>上</w:t>
      </w:r>
      <w:r w:rsidRPr="00DC3A0D">
        <w:rPr>
          <w:rFonts w:hint="eastAsia"/>
        </w:rPr>
        <w:t>升并不是一个小数字，值得引起重视。与此同时，实体经济部门利息支出与社会融资规模增量的</w:t>
      </w:r>
      <w:r w:rsidR="00E32C8D">
        <w:rPr>
          <w:rFonts w:hint="eastAsia"/>
        </w:rPr>
        <w:t>比值</w:t>
      </w:r>
      <w:r w:rsidRPr="00DC3A0D">
        <w:rPr>
          <w:rFonts w:hint="eastAsia"/>
        </w:rPr>
        <w:t>也由</w:t>
      </w:r>
      <w:r w:rsidRPr="00DC3A0D">
        <w:rPr>
          <w:rFonts w:hint="eastAsia"/>
        </w:rPr>
        <w:t>2</w:t>
      </w:r>
      <w:r w:rsidRPr="00DC3A0D">
        <w:t>008</w:t>
      </w:r>
      <w:r w:rsidRPr="00DC3A0D">
        <w:rPr>
          <w:rFonts w:hint="eastAsia"/>
        </w:rPr>
        <w:t>年的</w:t>
      </w:r>
      <w:r w:rsidRPr="00DC3A0D">
        <w:rPr>
          <w:rFonts w:hint="eastAsia"/>
        </w:rPr>
        <w:t>3</w:t>
      </w:r>
      <w:r w:rsidRPr="00DC3A0D">
        <w:t>9.9</w:t>
      </w:r>
      <w:r w:rsidRPr="00DC3A0D">
        <w:rPr>
          <w:rFonts w:hint="eastAsia"/>
        </w:rPr>
        <w:t>%</w:t>
      </w:r>
      <w:r w:rsidRPr="00DC3A0D">
        <w:rPr>
          <w:rFonts w:hint="eastAsia"/>
        </w:rPr>
        <w:t>提升至</w:t>
      </w:r>
      <w:r w:rsidRPr="00DC3A0D">
        <w:rPr>
          <w:rFonts w:hint="eastAsia"/>
        </w:rPr>
        <w:t>2</w:t>
      </w:r>
      <w:r w:rsidRPr="00DC3A0D">
        <w:t>019</w:t>
      </w:r>
      <w:r w:rsidRPr="00DC3A0D">
        <w:rPr>
          <w:rFonts w:hint="eastAsia"/>
        </w:rPr>
        <w:t>年的</w:t>
      </w:r>
      <w:r w:rsidRPr="00DC3A0D">
        <w:rPr>
          <w:rFonts w:hint="eastAsia"/>
        </w:rPr>
        <w:t>5</w:t>
      </w:r>
      <w:r w:rsidRPr="00DC3A0D">
        <w:t>0</w:t>
      </w:r>
      <w:r w:rsidRPr="00DC3A0D">
        <w:rPr>
          <w:rFonts w:hint="eastAsia"/>
        </w:rPr>
        <w:t>%</w:t>
      </w:r>
      <w:r w:rsidRPr="00DC3A0D">
        <w:rPr>
          <w:rFonts w:hint="eastAsia"/>
        </w:rPr>
        <w:t>左右。</w:t>
      </w:r>
    </w:p>
    <w:p w14:paraId="36A5770D" w14:textId="23DE7D16" w:rsidR="009B1323" w:rsidRPr="00DC3A0D" w:rsidRDefault="009B1323" w:rsidP="009B1323">
      <w:pPr>
        <w:jc w:val="center"/>
        <w:rPr>
          <w:rFonts w:ascii="宋体" w:hAnsi="宋体"/>
        </w:rPr>
      </w:pPr>
    </w:p>
    <w:p w14:paraId="04D51188" w14:textId="77777777" w:rsidR="009B1323" w:rsidRPr="00DC3A0D" w:rsidRDefault="009B1323" w:rsidP="009B1323">
      <w:pPr>
        <w:jc w:val="center"/>
        <w:rPr>
          <w:rFonts w:ascii="宋体" w:hAnsi="宋体"/>
        </w:rPr>
      </w:pPr>
      <w:r w:rsidRPr="00DC3A0D">
        <w:rPr>
          <w:rFonts w:ascii="宋体" w:hAnsi="宋体"/>
          <w:noProof/>
        </w:rPr>
        <w:lastRenderedPageBreak/>
        <w:drawing>
          <wp:inline distT="0" distB="0" distL="0" distR="0" wp14:anchorId="75AF4BA7" wp14:editId="4127322B">
            <wp:extent cx="3213100" cy="19314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55755" cy="1957060"/>
                    </a:xfrm>
                    <a:prstGeom prst="rect">
                      <a:avLst/>
                    </a:prstGeom>
                    <a:noFill/>
                  </pic:spPr>
                </pic:pic>
              </a:graphicData>
            </a:graphic>
          </wp:inline>
        </w:drawing>
      </w:r>
    </w:p>
    <w:p w14:paraId="7D0E3FC8" w14:textId="2460F6B3" w:rsidR="009B1323" w:rsidRPr="00DC3A0D" w:rsidRDefault="009B1323" w:rsidP="009B1323">
      <w:pPr>
        <w:jc w:val="center"/>
        <w:rPr>
          <w:rFonts w:ascii="楷体" w:eastAsia="楷体" w:hAnsi="楷体"/>
        </w:rPr>
      </w:pPr>
      <w:r w:rsidRPr="00DC3A0D">
        <w:rPr>
          <w:rFonts w:ascii="楷体" w:eastAsia="楷体" w:hAnsi="楷体" w:hint="eastAsia"/>
        </w:rPr>
        <w:t>图</w:t>
      </w:r>
      <w:r w:rsidR="000D389C">
        <w:rPr>
          <w:rFonts w:ascii="楷体" w:eastAsia="楷体" w:hAnsi="楷体" w:hint="eastAsia"/>
        </w:rPr>
        <w:t>6</w:t>
      </w:r>
      <w:r w:rsidR="00181149">
        <w:rPr>
          <w:rFonts w:ascii="楷体" w:eastAsia="楷体" w:hAnsi="楷体"/>
        </w:rPr>
        <w:t xml:space="preserve">  </w:t>
      </w:r>
      <w:r w:rsidRPr="00DC3A0D">
        <w:rPr>
          <w:rFonts w:ascii="楷体" w:eastAsia="楷体" w:hAnsi="楷体" w:hint="eastAsia"/>
        </w:rPr>
        <w:t>非金融部门利息支出规模估算</w:t>
      </w:r>
    </w:p>
    <w:p w14:paraId="26B1D065" w14:textId="5D8726A9" w:rsidR="009B1323" w:rsidRPr="00DC3A0D" w:rsidRDefault="009B1323" w:rsidP="00F51C9C">
      <w:pPr>
        <w:ind w:firstLineChars="200" w:firstLine="300"/>
        <w:jc w:val="left"/>
        <w:rPr>
          <w:rFonts w:ascii="楷体" w:eastAsia="楷体" w:hAnsi="楷体"/>
          <w:sz w:val="17"/>
          <w:szCs w:val="18"/>
        </w:rPr>
      </w:pPr>
      <w:r w:rsidRPr="00F51C9C">
        <w:rPr>
          <w:rFonts w:ascii="楷体" w:eastAsia="楷体" w:hAnsi="楷体" w:hint="eastAsia"/>
          <w:sz w:val="15"/>
          <w:szCs w:val="15"/>
        </w:rPr>
        <w:t>注：</w:t>
      </w:r>
      <w:r w:rsidRPr="00F51C9C">
        <w:rPr>
          <w:rFonts w:ascii="楷体" w:eastAsia="楷体" w:hAnsi="楷体"/>
          <w:sz w:val="15"/>
          <w:szCs w:val="15"/>
        </w:rPr>
        <w:t>1.</w:t>
      </w:r>
      <w:r w:rsidRPr="00F51C9C">
        <w:rPr>
          <w:rFonts w:ascii="楷体" w:eastAsia="楷体" w:hAnsi="楷体" w:hint="eastAsia"/>
          <w:sz w:val="15"/>
          <w:szCs w:val="15"/>
        </w:rPr>
        <w:t>非金融部门利息支出总额根据</w:t>
      </w:r>
      <w:r w:rsidR="00D9060E" w:rsidRPr="00F51C9C">
        <w:rPr>
          <w:rFonts w:ascii="楷体" w:eastAsia="楷体" w:hAnsi="楷体" w:hint="eastAsia"/>
          <w:sz w:val="15"/>
          <w:szCs w:val="15"/>
        </w:rPr>
        <w:t>住户部门</w:t>
      </w:r>
      <w:r w:rsidRPr="00F51C9C">
        <w:rPr>
          <w:rFonts w:ascii="楷体" w:eastAsia="楷体" w:hAnsi="楷体" w:hint="eastAsia"/>
          <w:sz w:val="15"/>
          <w:szCs w:val="15"/>
        </w:rPr>
        <w:t>、非金融企业部门、政府部门债务与各自利率的加权估算得出</w:t>
      </w:r>
      <w:r w:rsidRPr="00F51C9C">
        <w:rPr>
          <w:rStyle w:val="aa"/>
          <w:rFonts w:ascii="楷体" w:eastAsia="楷体" w:hAnsi="楷体"/>
          <w:sz w:val="15"/>
          <w:szCs w:val="15"/>
          <w:highlight w:val="yellow"/>
        </w:rPr>
        <w:footnoteReference w:id="23"/>
      </w:r>
      <w:r w:rsidRPr="00F51C9C">
        <w:rPr>
          <w:rFonts w:ascii="楷体" w:eastAsia="楷体" w:hAnsi="楷体" w:hint="eastAsia"/>
          <w:sz w:val="15"/>
          <w:szCs w:val="15"/>
        </w:rPr>
        <w:t>。</w:t>
      </w:r>
      <w:r w:rsidRPr="00F51C9C">
        <w:rPr>
          <w:rFonts w:ascii="楷体" w:eastAsia="楷体" w:hAnsi="楷体"/>
          <w:sz w:val="15"/>
          <w:szCs w:val="15"/>
        </w:rPr>
        <w:t>2.</w:t>
      </w:r>
      <w:r w:rsidR="007501B8">
        <w:rPr>
          <w:rFonts w:ascii="楷体" w:eastAsia="楷体" w:hAnsi="楷体" w:hint="eastAsia"/>
          <w:sz w:val="15"/>
          <w:szCs w:val="15"/>
        </w:rPr>
        <w:t>根据</w:t>
      </w:r>
      <w:r w:rsidR="00A128AA" w:rsidRPr="00F51C9C">
        <w:rPr>
          <w:rFonts w:ascii="楷体" w:eastAsia="楷体" w:hAnsi="楷体"/>
          <w:sz w:val="15"/>
          <w:szCs w:val="15"/>
        </w:rPr>
        <w:t>Wind数据库、</w:t>
      </w:r>
      <w:r w:rsidR="00E32C8D">
        <w:rPr>
          <w:rFonts w:ascii="楷体" w:eastAsia="楷体" w:hAnsi="楷体" w:hint="eastAsia"/>
          <w:sz w:val="15"/>
          <w:szCs w:val="15"/>
        </w:rPr>
        <w:t>相关历年</w:t>
      </w:r>
      <w:r w:rsidR="00084EDA" w:rsidRPr="00F51C9C">
        <w:rPr>
          <w:rFonts w:ascii="楷体" w:eastAsia="楷体" w:hAnsi="楷体" w:hint="eastAsia"/>
          <w:sz w:val="15"/>
          <w:szCs w:val="15"/>
        </w:rPr>
        <w:t>《中国统计年鉴》</w:t>
      </w:r>
      <w:r w:rsidRPr="00F51C9C">
        <w:rPr>
          <w:rFonts w:ascii="楷体" w:eastAsia="楷体" w:hAnsi="楷体" w:hint="eastAsia"/>
          <w:sz w:val="15"/>
          <w:szCs w:val="15"/>
        </w:rPr>
        <w:t>、国家资产负债表研究中心（</w:t>
      </w:r>
      <w:r w:rsidRPr="00F51C9C">
        <w:rPr>
          <w:rFonts w:ascii="楷体" w:eastAsia="楷体" w:hAnsi="楷体"/>
          <w:sz w:val="15"/>
          <w:szCs w:val="15"/>
        </w:rPr>
        <w:t>CNBS）</w:t>
      </w:r>
      <w:r w:rsidR="007501B8">
        <w:rPr>
          <w:rFonts w:ascii="楷体" w:eastAsia="楷体" w:hAnsi="楷体" w:hint="eastAsia"/>
          <w:sz w:val="15"/>
          <w:szCs w:val="15"/>
        </w:rPr>
        <w:t>数据</w:t>
      </w:r>
      <w:r w:rsidRPr="00F51C9C">
        <w:rPr>
          <w:rFonts w:ascii="楷体" w:eastAsia="楷体" w:hAnsi="楷体" w:hint="eastAsia"/>
          <w:sz w:val="15"/>
          <w:szCs w:val="15"/>
        </w:rPr>
        <w:t>计算</w:t>
      </w:r>
      <w:r w:rsidRPr="00DC3A0D">
        <w:rPr>
          <w:rFonts w:ascii="楷体" w:eastAsia="楷体" w:hAnsi="楷体" w:hint="eastAsia"/>
          <w:sz w:val="17"/>
          <w:szCs w:val="18"/>
        </w:rPr>
        <w:t>。</w:t>
      </w:r>
    </w:p>
    <w:p w14:paraId="277E1B7A" w14:textId="77777777" w:rsidR="009A454A" w:rsidRDefault="009A454A" w:rsidP="009A454A">
      <w:pPr>
        <w:rPr>
          <w:rFonts w:ascii="黑体" w:eastAsia="黑体" w:hAnsi="黑体"/>
        </w:rPr>
      </w:pPr>
    </w:p>
    <w:p w14:paraId="3188FFC6" w14:textId="4B4B6C14" w:rsidR="00920EC4" w:rsidRPr="009A454A" w:rsidRDefault="00920EC4" w:rsidP="009A454A">
      <w:pPr>
        <w:ind w:firstLineChars="200" w:firstLine="420"/>
        <w:rPr>
          <w:rFonts w:ascii="黑体" w:eastAsia="黑体" w:hAnsi="黑体"/>
        </w:rPr>
      </w:pPr>
      <w:r w:rsidRPr="009A454A">
        <w:rPr>
          <w:rFonts w:ascii="黑体" w:eastAsia="黑体" w:hAnsi="黑体" w:hint="eastAsia"/>
        </w:rPr>
        <w:t>（三）</w:t>
      </w:r>
      <w:bookmarkStart w:id="6" w:name="_Hlk76630472"/>
      <w:r w:rsidRPr="009A454A">
        <w:rPr>
          <w:rFonts w:ascii="黑体" w:eastAsia="黑体" w:hAnsi="黑体" w:hint="eastAsia"/>
        </w:rPr>
        <w:t>非生产性</w:t>
      </w:r>
      <w:r w:rsidR="00FF200C" w:rsidRPr="009A454A">
        <w:rPr>
          <w:rFonts w:ascii="黑体" w:eastAsia="黑体" w:hAnsi="黑体" w:hint="eastAsia"/>
        </w:rPr>
        <w:t>和间接生产性</w:t>
      </w:r>
      <w:r w:rsidRPr="009A454A">
        <w:rPr>
          <w:rFonts w:ascii="黑体" w:eastAsia="黑体" w:hAnsi="黑体" w:hint="eastAsia"/>
        </w:rPr>
        <w:t>融资占比上升导致社会融资总体回报率下降</w:t>
      </w:r>
      <w:bookmarkEnd w:id="6"/>
    </w:p>
    <w:p w14:paraId="6FC91AC1" w14:textId="2672F365" w:rsidR="00920EC4" w:rsidRPr="00DC3A0D" w:rsidRDefault="00920EC4" w:rsidP="00920EC4">
      <w:pPr>
        <w:ind w:firstLineChars="200" w:firstLine="420"/>
        <w:rPr>
          <w:rFonts w:ascii="宋体" w:hAnsi="宋体"/>
        </w:rPr>
      </w:pPr>
      <w:bookmarkStart w:id="7" w:name="_Hlk76456606"/>
      <w:r w:rsidRPr="00DC3A0D">
        <w:rPr>
          <w:rFonts w:hint="eastAsia"/>
        </w:rPr>
        <w:t>社会融资的总体回报率可以简化地用“一单位社会融资所对应的</w:t>
      </w:r>
      <w:r w:rsidRPr="00DC3A0D">
        <w:rPr>
          <w:rFonts w:hint="eastAsia"/>
        </w:rPr>
        <w:t>G</w:t>
      </w:r>
      <w:r w:rsidRPr="00DC3A0D">
        <w:t>DP</w:t>
      </w:r>
      <w:r w:rsidRPr="00DC3A0D">
        <w:rPr>
          <w:rFonts w:hint="eastAsia"/>
        </w:rPr>
        <w:t>”指标</w:t>
      </w:r>
      <w:r w:rsidR="00C96536" w:rsidRPr="00DC3A0D">
        <w:rPr>
          <w:rFonts w:hint="eastAsia"/>
        </w:rPr>
        <w:t>来</w:t>
      </w:r>
      <w:r w:rsidRPr="00DC3A0D">
        <w:rPr>
          <w:rFonts w:hint="eastAsia"/>
        </w:rPr>
        <w:t>衡量。</w:t>
      </w:r>
      <w:r w:rsidRPr="00DC3A0D">
        <w:rPr>
          <w:rFonts w:hint="eastAsia"/>
        </w:rPr>
        <w:t>2</w:t>
      </w:r>
      <w:r w:rsidRPr="00DC3A0D">
        <w:t>002</w:t>
      </w:r>
      <w:r w:rsidR="00E32C8D">
        <w:rPr>
          <w:rFonts w:hint="eastAsia"/>
        </w:rPr>
        <w:t>-</w:t>
      </w:r>
      <w:r w:rsidRPr="00DC3A0D">
        <w:rPr>
          <w:rFonts w:hint="eastAsia"/>
        </w:rPr>
        <w:t>2</w:t>
      </w:r>
      <w:r w:rsidRPr="00DC3A0D">
        <w:t>008</w:t>
      </w:r>
      <w:r w:rsidRPr="00DC3A0D">
        <w:rPr>
          <w:rFonts w:hint="eastAsia"/>
        </w:rPr>
        <w:t>年期间，一单位社会融资所对应的</w:t>
      </w:r>
      <w:r w:rsidRPr="00DC3A0D">
        <w:rPr>
          <w:rFonts w:hint="eastAsia"/>
        </w:rPr>
        <w:t>G</w:t>
      </w:r>
      <w:r w:rsidRPr="00DC3A0D">
        <w:t>DP</w:t>
      </w:r>
      <w:r w:rsidRPr="00DC3A0D">
        <w:rPr>
          <w:rFonts w:hint="eastAsia"/>
        </w:rPr>
        <w:t>基本维持在</w:t>
      </w:r>
      <w:r w:rsidRPr="00DC3A0D">
        <w:rPr>
          <w:rFonts w:hint="eastAsia"/>
        </w:rPr>
        <w:t>0</w:t>
      </w:r>
      <w:r w:rsidRPr="00DC3A0D">
        <w:t>.82</w:t>
      </w:r>
      <w:r w:rsidRPr="00DC3A0D">
        <w:rPr>
          <w:rFonts w:hint="eastAsia"/>
        </w:rPr>
        <w:t>单位上下</w:t>
      </w:r>
      <w:r w:rsidR="00E32C8D">
        <w:rPr>
          <w:rFonts w:hint="eastAsia"/>
        </w:rPr>
        <w:t>。</w:t>
      </w:r>
      <w:r w:rsidRPr="00DC3A0D">
        <w:rPr>
          <w:rFonts w:hint="eastAsia"/>
        </w:rPr>
        <w:t>然而，该指标从</w:t>
      </w:r>
      <w:r w:rsidRPr="00DC3A0D">
        <w:rPr>
          <w:rFonts w:hint="eastAsia"/>
        </w:rPr>
        <w:t>2</w:t>
      </w:r>
      <w:r w:rsidRPr="00DC3A0D">
        <w:t>009</w:t>
      </w:r>
      <w:r w:rsidRPr="00DC3A0D">
        <w:rPr>
          <w:rFonts w:hint="eastAsia"/>
        </w:rPr>
        <w:t>年开始呈现出持续较快的下降趋势，到</w:t>
      </w:r>
      <w:r w:rsidRPr="00DC3A0D">
        <w:rPr>
          <w:rFonts w:hint="eastAsia"/>
        </w:rPr>
        <w:t>2</w:t>
      </w:r>
      <w:r w:rsidRPr="00DC3A0D">
        <w:t>019</w:t>
      </w:r>
      <w:r w:rsidRPr="00DC3A0D">
        <w:rPr>
          <w:rFonts w:hint="eastAsia"/>
        </w:rPr>
        <w:t>年一单位社会融资对应的</w:t>
      </w:r>
      <w:r w:rsidRPr="00DC3A0D">
        <w:rPr>
          <w:rFonts w:hint="eastAsia"/>
        </w:rPr>
        <w:t>G</w:t>
      </w:r>
      <w:r w:rsidRPr="00DC3A0D">
        <w:t>DP</w:t>
      </w:r>
      <w:r w:rsidRPr="00DC3A0D">
        <w:rPr>
          <w:rFonts w:hint="eastAsia"/>
        </w:rPr>
        <w:t>仅为</w:t>
      </w:r>
      <w:r w:rsidRPr="00DC3A0D">
        <w:rPr>
          <w:rFonts w:hint="eastAsia"/>
        </w:rPr>
        <w:t>0</w:t>
      </w:r>
      <w:r w:rsidRPr="00DC3A0D">
        <w:t>.39</w:t>
      </w:r>
      <w:r w:rsidRPr="00DC3A0D">
        <w:rPr>
          <w:rFonts w:hint="eastAsia"/>
        </w:rPr>
        <w:t>单位。在这个意义上可以说</w:t>
      </w:r>
      <w:r w:rsidR="00E32C8D">
        <w:rPr>
          <w:rFonts w:hint="eastAsia"/>
        </w:rPr>
        <w:t>，</w:t>
      </w:r>
      <w:r w:rsidRPr="00DC3A0D">
        <w:rPr>
          <w:rFonts w:hint="eastAsia"/>
        </w:rPr>
        <w:t>社会融资总体回报率在过去十年时间里下降了</w:t>
      </w:r>
      <w:r w:rsidRPr="00DC3A0D">
        <w:rPr>
          <w:rFonts w:hint="eastAsia"/>
        </w:rPr>
        <w:t>5</w:t>
      </w:r>
      <w:r w:rsidRPr="00DC3A0D">
        <w:t>3</w:t>
      </w:r>
      <w:r w:rsidRPr="00DC3A0D">
        <w:rPr>
          <w:rFonts w:hint="eastAsia"/>
        </w:rPr>
        <w:t>%</w:t>
      </w:r>
      <w:r w:rsidRPr="00DC3A0D">
        <w:rPr>
          <w:rFonts w:hint="eastAsia"/>
        </w:rPr>
        <w:t>。此外，文献中常用“增量资本产出率”（</w:t>
      </w:r>
      <w:r w:rsidRPr="00DC3A0D">
        <w:rPr>
          <w:rFonts w:hint="eastAsia"/>
        </w:rPr>
        <w:t>I</w:t>
      </w:r>
      <w:r w:rsidRPr="00DC3A0D">
        <w:t>COR</w:t>
      </w:r>
      <w:r w:rsidRPr="00DC3A0D">
        <w:rPr>
          <w:rFonts w:hint="eastAsia"/>
        </w:rPr>
        <w:t>）</w:t>
      </w:r>
      <w:r w:rsidRPr="00F51C9C">
        <w:rPr>
          <w:highlight w:val="yellow"/>
          <w:vertAlign w:val="superscript"/>
        </w:rPr>
        <w:footnoteReference w:id="24"/>
      </w:r>
      <w:r w:rsidRPr="00DC3A0D">
        <w:rPr>
          <w:rFonts w:hint="eastAsia"/>
        </w:rPr>
        <w:t>来衡量投资回报率，该指标表示新增一单位产出所需要的投资量，指标越大表示投资回报率越低。测算显示，全球金融危机之前我国的增量资本产出率平均约为</w:t>
      </w:r>
      <w:r w:rsidRPr="00DC3A0D">
        <w:rPr>
          <w:rFonts w:hint="eastAsia"/>
        </w:rPr>
        <w:t>3</w:t>
      </w:r>
      <w:r w:rsidRPr="00DC3A0D">
        <w:rPr>
          <w:rFonts w:hint="eastAsia"/>
        </w:rPr>
        <w:t>，而过去十年该指标已攀升至约</w:t>
      </w:r>
      <w:r w:rsidRPr="00DC3A0D">
        <w:rPr>
          <w:rFonts w:hint="eastAsia"/>
        </w:rPr>
        <w:t>4</w:t>
      </w:r>
      <w:r w:rsidRPr="00DC3A0D">
        <w:t>.7</w:t>
      </w:r>
      <w:r w:rsidRPr="00DC3A0D">
        <w:rPr>
          <w:rFonts w:hint="eastAsia"/>
        </w:rPr>
        <w:t>，意味着新生产一单位</w:t>
      </w:r>
      <w:r w:rsidRPr="00DC3A0D">
        <w:rPr>
          <w:rFonts w:hint="eastAsia"/>
        </w:rPr>
        <w:t>G</w:t>
      </w:r>
      <w:r w:rsidRPr="00DC3A0D">
        <w:t>DP</w:t>
      </w:r>
      <w:r w:rsidRPr="00DC3A0D">
        <w:rPr>
          <w:rFonts w:hint="eastAsia"/>
        </w:rPr>
        <w:t>所需要的投资量相比金融危机前增加了超过</w:t>
      </w:r>
      <w:r w:rsidRPr="00DC3A0D">
        <w:rPr>
          <w:rFonts w:hint="eastAsia"/>
        </w:rPr>
        <w:t>5</w:t>
      </w:r>
      <w:r w:rsidRPr="00DC3A0D">
        <w:t>0</w:t>
      </w:r>
      <w:r w:rsidRPr="00DC3A0D">
        <w:rPr>
          <w:rFonts w:hint="eastAsia"/>
        </w:rPr>
        <w:t>%</w:t>
      </w:r>
      <w:r w:rsidRPr="00DC3A0D">
        <w:rPr>
          <w:rFonts w:hint="eastAsia"/>
        </w:rPr>
        <w:t>（图</w:t>
      </w:r>
      <w:r w:rsidR="000D389C">
        <w:t>7</w:t>
      </w:r>
      <w:r w:rsidRPr="00DC3A0D">
        <w:rPr>
          <w:rFonts w:hint="eastAsia"/>
        </w:rPr>
        <w:t>）。</w:t>
      </w:r>
      <w:bookmarkEnd w:id="7"/>
    </w:p>
    <w:p w14:paraId="1114576D" w14:textId="2D1E4FA3" w:rsidR="00920EC4" w:rsidRPr="00DC3A0D" w:rsidRDefault="00920EC4" w:rsidP="00920EC4">
      <w:pPr>
        <w:ind w:firstLineChars="200" w:firstLine="420"/>
      </w:pPr>
      <w:bookmarkStart w:id="8" w:name="_Hlk76457677"/>
      <w:r w:rsidRPr="00DC3A0D">
        <w:rPr>
          <w:rFonts w:hint="eastAsia"/>
        </w:rPr>
        <w:t>造成资金总体回报率大幅下降的原因主要在于前文指出的</w:t>
      </w:r>
      <w:r w:rsidR="00957A06" w:rsidRPr="00DC3A0D">
        <w:rPr>
          <w:rFonts w:hint="eastAsia"/>
        </w:rPr>
        <w:t>融资</w:t>
      </w:r>
      <w:r w:rsidRPr="00DC3A0D">
        <w:rPr>
          <w:rFonts w:hint="eastAsia"/>
        </w:rPr>
        <w:t>用途结构的变化。简言之，过去十余年间，非生产性的居民住房贷款和短期直接回报有限的基础设施建设融资在社会总融资中的占比大幅上升，而直接投入到生产中的产业融资占比明显下降。</w:t>
      </w:r>
      <w:r w:rsidR="007501B8">
        <w:rPr>
          <w:rFonts w:hint="eastAsia"/>
        </w:rPr>
        <w:t>并</w:t>
      </w:r>
      <w:r w:rsidR="006914F3">
        <w:rPr>
          <w:rFonts w:hint="eastAsia"/>
        </w:rPr>
        <w:t>且</w:t>
      </w:r>
      <w:r w:rsidRPr="00DC3A0D">
        <w:rPr>
          <w:rFonts w:hint="eastAsia"/>
        </w:rPr>
        <w:t>，</w:t>
      </w:r>
      <w:r w:rsidR="006914F3">
        <w:rPr>
          <w:rFonts w:hint="eastAsia"/>
        </w:rPr>
        <w:t>即便</w:t>
      </w:r>
      <w:r w:rsidRPr="00DC3A0D">
        <w:rPr>
          <w:rFonts w:hint="eastAsia"/>
        </w:rPr>
        <w:t>在产业融资内部，由于第三产业单位资金创造的增加值小于第二产业，因而当</w:t>
      </w:r>
      <w:r w:rsidR="00F2566B">
        <w:rPr>
          <w:rFonts w:hint="eastAsia"/>
        </w:rPr>
        <w:t>资金流向</w:t>
      </w:r>
      <w:r w:rsidRPr="00DC3A0D">
        <w:rPr>
          <w:rFonts w:hint="eastAsia"/>
        </w:rPr>
        <w:t>结构</w:t>
      </w:r>
      <w:r w:rsidR="007501B8" w:rsidRPr="00DC3A0D">
        <w:rPr>
          <w:rFonts w:hint="eastAsia"/>
        </w:rPr>
        <w:t>发生</w:t>
      </w:r>
      <w:r w:rsidRPr="00DC3A0D">
        <w:rPr>
          <w:rFonts w:hint="eastAsia"/>
        </w:rPr>
        <w:t>向第三产业偏移时，也会导致</w:t>
      </w:r>
      <w:r w:rsidR="00F2566B">
        <w:rPr>
          <w:rFonts w:hint="eastAsia"/>
        </w:rPr>
        <w:t>资金总体</w:t>
      </w:r>
      <w:r w:rsidRPr="00DC3A0D">
        <w:rPr>
          <w:rFonts w:hint="eastAsia"/>
        </w:rPr>
        <w:t>使用效率的下降。</w:t>
      </w:r>
    </w:p>
    <w:bookmarkEnd w:id="8"/>
    <w:p w14:paraId="546AA712" w14:textId="77777777" w:rsidR="00920EC4" w:rsidRPr="00DC3A0D" w:rsidRDefault="00920EC4" w:rsidP="00920EC4">
      <w:pPr>
        <w:jc w:val="center"/>
        <w:rPr>
          <w:rFonts w:ascii="宋体" w:hAnsi="宋体"/>
        </w:rPr>
      </w:pPr>
      <w:r w:rsidRPr="00DC3A0D">
        <w:rPr>
          <w:rFonts w:ascii="宋体" w:hAnsi="宋体"/>
          <w:noProof/>
        </w:rPr>
        <w:t xml:space="preserve"> </w:t>
      </w:r>
      <w:r w:rsidRPr="00DC3A0D">
        <w:rPr>
          <w:rFonts w:ascii="宋体" w:hAnsi="宋体"/>
          <w:noProof/>
        </w:rPr>
        <w:drawing>
          <wp:inline distT="0" distB="0" distL="0" distR="0" wp14:anchorId="7006D014" wp14:editId="5B3AE094">
            <wp:extent cx="2311231" cy="1402147"/>
            <wp:effectExtent l="0" t="0" r="0"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311231" cy="1402147"/>
                    </a:xfrm>
                    <a:prstGeom prst="rect">
                      <a:avLst/>
                    </a:prstGeom>
                    <a:noFill/>
                  </pic:spPr>
                </pic:pic>
              </a:graphicData>
            </a:graphic>
          </wp:inline>
        </w:drawing>
      </w:r>
      <w:r w:rsidRPr="00DC3A0D">
        <w:rPr>
          <w:rFonts w:ascii="宋体" w:hAnsi="宋体"/>
          <w:noProof/>
        </w:rPr>
        <w:t xml:space="preserve"> </w:t>
      </w:r>
      <w:r w:rsidRPr="00DC3A0D">
        <w:rPr>
          <w:rFonts w:ascii="宋体" w:hAnsi="宋体"/>
          <w:noProof/>
        </w:rPr>
        <w:drawing>
          <wp:inline distT="0" distB="0" distL="0" distR="0" wp14:anchorId="7C7842EC" wp14:editId="54B8DF1A">
            <wp:extent cx="2294208" cy="137896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94208" cy="1378965"/>
                    </a:xfrm>
                    <a:prstGeom prst="rect">
                      <a:avLst/>
                    </a:prstGeom>
                    <a:noFill/>
                  </pic:spPr>
                </pic:pic>
              </a:graphicData>
            </a:graphic>
          </wp:inline>
        </w:drawing>
      </w:r>
    </w:p>
    <w:p w14:paraId="1A983967" w14:textId="0983137B" w:rsidR="00920EC4" w:rsidRPr="00DC3A0D" w:rsidRDefault="00920EC4" w:rsidP="00920EC4">
      <w:pPr>
        <w:jc w:val="center"/>
        <w:rPr>
          <w:rFonts w:ascii="楷体" w:eastAsia="楷体" w:hAnsi="楷体"/>
        </w:rPr>
      </w:pPr>
      <w:r w:rsidRPr="00DC3A0D">
        <w:rPr>
          <w:rFonts w:ascii="楷体" w:eastAsia="楷体" w:hAnsi="楷体" w:hint="eastAsia"/>
        </w:rPr>
        <w:t>图</w:t>
      </w:r>
      <w:r w:rsidR="000D389C">
        <w:rPr>
          <w:rFonts w:ascii="楷体" w:eastAsia="楷体" w:hAnsi="楷体" w:hint="eastAsia"/>
        </w:rPr>
        <w:t>7</w:t>
      </w:r>
      <w:r w:rsidR="00181149">
        <w:rPr>
          <w:rFonts w:ascii="楷体" w:eastAsia="楷体" w:hAnsi="楷体"/>
        </w:rPr>
        <w:t xml:space="preserve">  </w:t>
      </w:r>
      <w:r w:rsidRPr="00DC3A0D">
        <w:rPr>
          <w:rFonts w:ascii="楷体" w:eastAsia="楷体" w:hAnsi="楷体" w:hint="eastAsia"/>
        </w:rPr>
        <w:t>单位</w:t>
      </w:r>
      <w:r w:rsidRPr="00DC3A0D">
        <w:rPr>
          <w:rFonts w:ascii="楷体" w:eastAsia="楷体" w:hAnsi="楷体"/>
        </w:rPr>
        <w:t>社会融资规模存量</w:t>
      </w:r>
      <w:r w:rsidRPr="00DC3A0D">
        <w:rPr>
          <w:rFonts w:ascii="楷体" w:eastAsia="楷体" w:hAnsi="楷体" w:hint="eastAsia"/>
        </w:rPr>
        <w:t>对应的G</w:t>
      </w:r>
      <w:r w:rsidRPr="00DC3A0D">
        <w:rPr>
          <w:rFonts w:ascii="楷体" w:eastAsia="楷体" w:hAnsi="楷体"/>
        </w:rPr>
        <w:t>DP</w:t>
      </w:r>
      <w:r w:rsidRPr="00DC3A0D">
        <w:rPr>
          <w:rFonts w:ascii="楷体" w:eastAsia="楷体" w:hAnsi="楷体" w:hint="eastAsia"/>
        </w:rPr>
        <w:t>（左图）与增量资本产出率（右图）</w:t>
      </w:r>
    </w:p>
    <w:p w14:paraId="5CDEF26B" w14:textId="19A5F8E2" w:rsidR="00920EC4" w:rsidRPr="00F51C9C" w:rsidRDefault="00920EC4" w:rsidP="00F51C9C">
      <w:pPr>
        <w:ind w:firstLineChars="200" w:firstLine="300"/>
        <w:jc w:val="left"/>
        <w:rPr>
          <w:rFonts w:ascii="楷体" w:eastAsia="楷体" w:hAnsi="楷体"/>
          <w:sz w:val="15"/>
          <w:szCs w:val="15"/>
        </w:rPr>
      </w:pPr>
      <w:r w:rsidRPr="00F51C9C">
        <w:rPr>
          <w:rFonts w:ascii="楷体" w:eastAsia="楷体" w:hAnsi="楷体" w:hint="eastAsia"/>
          <w:sz w:val="15"/>
          <w:szCs w:val="15"/>
        </w:rPr>
        <w:t>数据来源：</w:t>
      </w:r>
      <w:r w:rsidR="007501B8">
        <w:rPr>
          <w:rFonts w:ascii="楷体" w:eastAsia="楷体" w:hAnsi="楷体" w:hint="eastAsia"/>
          <w:sz w:val="15"/>
          <w:szCs w:val="15"/>
        </w:rPr>
        <w:t>根据相关历年</w:t>
      </w:r>
      <w:r w:rsidR="00022EAC" w:rsidRPr="00F51C9C">
        <w:rPr>
          <w:rFonts w:ascii="楷体" w:eastAsia="楷体" w:hAnsi="楷体" w:hint="eastAsia"/>
          <w:sz w:val="15"/>
          <w:szCs w:val="15"/>
        </w:rPr>
        <w:t>《中国统计年鉴》</w:t>
      </w:r>
      <w:r w:rsidR="007501B8">
        <w:rPr>
          <w:rFonts w:ascii="楷体" w:eastAsia="楷体" w:hAnsi="楷体" w:hint="eastAsia"/>
          <w:sz w:val="15"/>
          <w:szCs w:val="15"/>
        </w:rPr>
        <w:t>、</w:t>
      </w:r>
      <w:r w:rsidRPr="00F51C9C">
        <w:rPr>
          <w:rFonts w:ascii="楷体" w:eastAsia="楷体" w:hAnsi="楷体" w:hint="eastAsia"/>
          <w:sz w:val="15"/>
          <w:szCs w:val="15"/>
        </w:rPr>
        <w:t>中国人民银行</w:t>
      </w:r>
      <w:r w:rsidR="00F901CD" w:rsidRPr="00F51C9C">
        <w:rPr>
          <w:rFonts w:ascii="楷体" w:eastAsia="楷体" w:hAnsi="楷体" w:hint="eastAsia"/>
          <w:sz w:val="15"/>
          <w:szCs w:val="15"/>
        </w:rPr>
        <w:t>“社会融资规模统计”</w:t>
      </w:r>
      <w:r w:rsidR="007501B8">
        <w:rPr>
          <w:rFonts w:ascii="楷体" w:eastAsia="楷体" w:hAnsi="楷体" w:hint="eastAsia"/>
          <w:sz w:val="15"/>
          <w:szCs w:val="15"/>
        </w:rPr>
        <w:t>数据</w:t>
      </w:r>
      <w:r w:rsidRPr="00F51C9C">
        <w:rPr>
          <w:rFonts w:ascii="楷体" w:eastAsia="楷体" w:hAnsi="楷体" w:hint="eastAsia"/>
          <w:sz w:val="15"/>
          <w:szCs w:val="15"/>
        </w:rPr>
        <w:t>计算。</w:t>
      </w:r>
    </w:p>
    <w:p w14:paraId="3E5A203F" w14:textId="77777777" w:rsidR="001A219D" w:rsidRDefault="001A219D" w:rsidP="001A219D"/>
    <w:p w14:paraId="5A2E9A4B" w14:textId="2293DA3E" w:rsidR="00A3383D" w:rsidRPr="001A219D" w:rsidRDefault="00262703" w:rsidP="001A219D">
      <w:pPr>
        <w:jc w:val="center"/>
        <w:rPr>
          <w:rFonts w:ascii="黑体" w:eastAsia="黑体" w:hAnsi="黑体"/>
          <w:sz w:val="28"/>
          <w:szCs w:val="28"/>
        </w:rPr>
      </w:pPr>
      <w:r w:rsidRPr="001A219D">
        <w:rPr>
          <w:rFonts w:ascii="黑体" w:eastAsia="黑体" w:hAnsi="黑体" w:hint="eastAsia"/>
          <w:sz w:val="28"/>
          <w:szCs w:val="28"/>
        </w:rPr>
        <w:lastRenderedPageBreak/>
        <w:t>五</w:t>
      </w:r>
      <w:r w:rsidR="00A3383D" w:rsidRPr="001A219D">
        <w:rPr>
          <w:rFonts w:ascii="黑体" w:eastAsia="黑体" w:hAnsi="黑体" w:hint="eastAsia"/>
          <w:sz w:val="28"/>
          <w:szCs w:val="28"/>
        </w:rPr>
        <w:t>、融资渠道</w:t>
      </w:r>
      <w:r w:rsidR="00B80443" w:rsidRPr="001A219D">
        <w:rPr>
          <w:rFonts w:ascii="黑体" w:eastAsia="黑体" w:hAnsi="黑体" w:hint="eastAsia"/>
          <w:sz w:val="28"/>
          <w:szCs w:val="28"/>
        </w:rPr>
        <w:t>结构</w:t>
      </w:r>
    </w:p>
    <w:p w14:paraId="78DAC97D" w14:textId="1B3D6975" w:rsidR="008C4CD7" w:rsidRPr="009A454A" w:rsidRDefault="008C4CD7" w:rsidP="009A454A">
      <w:pPr>
        <w:ind w:firstLineChars="200" w:firstLine="420"/>
        <w:rPr>
          <w:rFonts w:ascii="黑体" w:eastAsia="黑体" w:hAnsi="黑体"/>
        </w:rPr>
      </w:pPr>
      <w:r w:rsidRPr="009A454A">
        <w:rPr>
          <w:rFonts w:ascii="黑体" w:eastAsia="黑体" w:hAnsi="黑体" w:hint="eastAsia"/>
        </w:rPr>
        <w:t>（一）</w:t>
      </w:r>
      <w:r w:rsidR="000E4861">
        <w:rPr>
          <w:rFonts w:ascii="黑体" w:eastAsia="黑体" w:hAnsi="黑体" w:hint="eastAsia"/>
        </w:rPr>
        <w:t>间接融资和债务融资为主的</w:t>
      </w:r>
      <w:r w:rsidRPr="009A454A">
        <w:rPr>
          <w:rFonts w:ascii="黑体" w:eastAsia="黑体" w:hAnsi="黑体" w:hint="eastAsia"/>
        </w:rPr>
        <w:t>格局依然突出</w:t>
      </w:r>
    </w:p>
    <w:p w14:paraId="54943C28" w14:textId="0F49A310" w:rsidR="000E4861" w:rsidRDefault="00A3383D" w:rsidP="00301D64">
      <w:pPr>
        <w:ind w:firstLineChars="200" w:firstLine="420"/>
      </w:pPr>
      <w:r w:rsidRPr="00DC3A0D">
        <w:rPr>
          <w:rFonts w:hint="eastAsia"/>
        </w:rPr>
        <w:t>融资渠道是审视宏观融资结构变化的另一重要视角。长期以来，我国金融体系呈现以间接融资为主、直接融资为辅，债务融资为主、股权融资为辅的基本</w:t>
      </w:r>
      <w:r w:rsidR="00DC771A" w:rsidRPr="00DC3A0D">
        <w:rPr>
          <w:rFonts w:hint="eastAsia"/>
        </w:rPr>
        <w:t>特征</w:t>
      </w:r>
      <w:r w:rsidRPr="00DC3A0D">
        <w:rPr>
          <w:rFonts w:hint="eastAsia"/>
        </w:rPr>
        <w:t>。近年来，尽管</w:t>
      </w:r>
      <w:r w:rsidR="006A2D4D" w:rsidRPr="00DC3A0D">
        <w:rPr>
          <w:rFonts w:hint="eastAsia"/>
        </w:rPr>
        <w:t>多层次</w:t>
      </w:r>
      <w:r w:rsidR="001E3514" w:rsidRPr="00DC3A0D">
        <w:rPr>
          <w:rFonts w:hint="eastAsia"/>
        </w:rPr>
        <w:t>资本市场发展较快</w:t>
      </w:r>
      <w:r w:rsidRPr="00DC3A0D">
        <w:rPr>
          <w:rFonts w:hint="eastAsia"/>
        </w:rPr>
        <w:t>，不过上述</w:t>
      </w:r>
      <w:r w:rsidR="00DC771A" w:rsidRPr="00DC3A0D">
        <w:rPr>
          <w:rFonts w:hint="eastAsia"/>
        </w:rPr>
        <w:t>特征</w:t>
      </w:r>
      <w:r w:rsidRPr="00DC3A0D">
        <w:rPr>
          <w:rFonts w:hint="eastAsia"/>
        </w:rPr>
        <w:t>仍未</w:t>
      </w:r>
      <w:r w:rsidR="001F25BF" w:rsidRPr="00DC3A0D">
        <w:rPr>
          <w:rFonts w:hint="eastAsia"/>
        </w:rPr>
        <w:t>得到根本性</w:t>
      </w:r>
      <w:r w:rsidRPr="00DC3A0D">
        <w:rPr>
          <w:rFonts w:hint="eastAsia"/>
        </w:rPr>
        <w:t>改变</w:t>
      </w:r>
      <w:r w:rsidRPr="00DC3A0D">
        <w:rPr>
          <w:rFonts w:hint="eastAsia"/>
          <w:szCs w:val="21"/>
        </w:rPr>
        <w:t>。</w:t>
      </w:r>
      <w:r w:rsidR="00D23439">
        <w:rPr>
          <w:rFonts w:hint="eastAsia"/>
          <w:szCs w:val="21"/>
        </w:rPr>
        <w:t>一方面，</w:t>
      </w:r>
      <w:r w:rsidR="00291E6F" w:rsidRPr="00DC3A0D">
        <w:rPr>
          <w:rFonts w:hint="eastAsia"/>
        </w:rPr>
        <w:t>除政府债券融资和其他融资</w:t>
      </w:r>
      <w:r w:rsidR="00291E6F" w:rsidRPr="00F51C9C">
        <w:rPr>
          <w:rStyle w:val="aa"/>
          <w:rFonts w:ascii="宋体" w:hAnsi="宋体"/>
          <w:highlight w:val="yellow"/>
        </w:rPr>
        <w:footnoteReference w:id="25"/>
      </w:r>
      <w:r w:rsidR="00291E6F" w:rsidRPr="00DC3A0D">
        <w:rPr>
          <w:rFonts w:hint="eastAsia"/>
        </w:rPr>
        <w:t>外，</w:t>
      </w:r>
      <w:r w:rsidR="00291E6F" w:rsidRPr="00DC3A0D">
        <w:rPr>
          <w:rFonts w:hint="eastAsia"/>
        </w:rPr>
        <w:t>2</w:t>
      </w:r>
      <w:r w:rsidR="00291E6F" w:rsidRPr="00DC3A0D">
        <w:t>002</w:t>
      </w:r>
      <w:r w:rsidR="00291E6F" w:rsidRPr="00DC3A0D">
        <w:rPr>
          <w:rFonts w:hint="eastAsia"/>
        </w:rPr>
        <w:t>-</w:t>
      </w:r>
      <w:r w:rsidR="00291E6F" w:rsidRPr="00DC3A0D">
        <w:t>2019</w:t>
      </w:r>
      <w:r w:rsidR="00291E6F" w:rsidRPr="00DC3A0D">
        <w:rPr>
          <w:rFonts w:hint="eastAsia"/>
        </w:rPr>
        <w:t>年期间，直接融资占比由</w:t>
      </w:r>
      <w:r w:rsidR="00291E6F" w:rsidRPr="00DC3A0D">
        <w:rPr>
          <w:rFonts w:hint="eastAsia"/>
        </w:rPr>
        <w:t>5</w:t>
      </w:r>
      <w:r w:rsidR="00291E6F" w:rsidRPr="00DC3A0D">
        <w:t>.06</w:t>
      </w:r>
      <w:r w:rsidR="00291E6F" w:rsidRPr="00DC3A0D">
        <w:rPr>
          <w:rFonts w:hint="eastAsia"/>
        </w:rPr>
        <w:t>%</w:t>
      </w:r>
      <w:r w:rsidR="00291E6F" w:rsidRPr="00DC3A0D">
        <w:rPr>
          <w:rFonts w:hint="eastAsia"/>
        </w:rPr>
        <w:t>提高至</w:t>
      </w:r>
      <w:r w:rsidR="00291E6F" w:rsidRPr="00DC3A0D">
        <w:rPr>
          <w:rFonts w:hint="eastAsia"/>
        </w:rPr>
        <w:t>1</w:t>
      </w:r>
      <w:r w:rsidR="00291E6F" w:rsidRPr="00DC3A0D">
        <w:t>9.31</w:t>
      </w:r>
      <w:r w:rsidR="00291E6F" w:rsidRPr="00DC3A0D">
        <w:rPr>
          <w:rFonts w:hint="eastAsia"/>
        </w:rPr>
        <w:t>%</w:t>
      </w:r>
      <w:r w:rsidR="00291E6F" w:rsidRPr="00DC3A0D">
        <w:rPr>
          <w:rFonts w:hint="eastAsia"/>
        </w:rPr>
        <w:t>，与此同时间接融资占比由</w:t>
      </w:r>
      <w:r w:rsidR="00291E6F" w:rsidRPr="00DC3A0D">
        <w:rPr>
          <w:rFonts w:hint="eastAsia"/>
        </w:rPr>
        <w:t>9</w:t>
      </w:r>
      <w:r w:rsidR="00291E6F" w:rsidRPr="00DC3A0D">
        <w:t>4.94</w:t>
      </w:r>
      <w:r w:rsidR="00291E6F" w:rsidRPr="00DC3A0D">
        <w:rPr>
          <w:rFonts w:hint="eastAsia"/>
        </w:rPr>
        <w:t>%</w:t>
      </w:r>
      <w:r w:rsidR="00291E6F" w:rsidRPr="00DC3A0D">
        <w:rPr>
          <w:rFonts w:hint="eastAsia"/>
        </w:rPr>
        <w:t>下降至</w:t>
      </w:r>
      <w:r w:rsidR="00291E6F" w:rsidRPr="00DC3A0D">
        <w:rPr>
          <w:rFonts w:hint="eastAsia"/>
        </w:rPr>
        <w:t>8</w:t>
      </w:r>
      <w:r w:rsidR="00291E6F" w:rsidRPr="00DC3A0D">
        <w:t>0.69</w:t>
      </w:r>
      <w:r w:rsidR="00291E6F" w:rsidRPr="00DC3A0D">
        <w:rPr>
          <w:rFonts w:hint="eastAsia"/>
        </w:rPr>
        <w:t>%</w:t>
      </w:r>
      <w:r w:rsidR="00291E6F" w:rsidRPr="00DC3A0D">
        <w:rPr>
          <w:rFonts w:hint="eastAsia"/>
        </w:rPr>
        <w:t>（图</w:t>
      </w:r>
      <w:r w:rsidR="000D389C">
        <w:t>8</w:t>
      </w:r>
      <w:r w:rsidR="00291E6F" w:rsidRPr="00DC3A0D">
        <w:rPr>
          <w:rFonts w:hint="eastAsia"/>
        </w:rPr>
        <w:t>）</w:t>
      </w:r>
      <w:r w:rsidR="00AD4AC6">
        <w:rPr>
          <w:rFonts w:hint="eastAsia"/>
        </w:rPr>
        <w:t>，大体上仍然维持着</w:t>
      </w:r>
      <w:r w:rsidR="00185919">
        <w:rPr>
          <w:rFonts w:hint="eastAsia"/>
        </w:rPr>
        <w:t>“</w:t>
      </w:r>
      <w:r w:rsidR="00AD4AC6">
        <w:rPr>
          <w:rFonts w:hint="eastAsia"/>
        </w:rPr>
        <w:t>二八格局</w:t>
      </w:r>
      <w:r w:rsidR="00185919">
        <w:rPr>
          <w:rFonts w:hint="eastAsia"/>
        </w:rPr>
        <w:t>”</w:t>
      </w:r>
      <w:r w:rsidR="00291E6F" w:rsidRPr="00DC3A0D">
        <w:rPr>
          <w:rFonts w:hint="eastAsia"/>
        </w:rPr>
        <w:t>。</w:t>
      </w:r>
    </w:p>
    <w:p w14:paraId="4376F7B4" w14:textId="58EDE629" w:rsidR="00291E6F" w:rsidRPr="00DC3A0D" w:rsidRDefault="00D23439" w:rsidP="00301D64">
      <w:pPr>
        <w:ind w:firstLineChars="200" w:firstLine="420"/>
      </w:pPr>
      <w:r>
        <w:rPr>
          <w:rFonts w:hint="eastAsia"/>
        </w:rPr>
        <w:t>另一方面，</w:t>
      </w:r>
      <w:r w:rsidR="00291E6F" w:rsidRPr="00DC3A0D">
        <w:rPr>
          <w:rFonts w:hint="eastAsia"/>
        </w:rPr>
        <w:t>直接融资占比的提高主要得益于债券市场融资能力的增强。</w:t>
      </w:r>
      <w:r w:rsidR="00291E6F" w:rsidRPr="00DC3A0D">
        <w:rPr>
          <w:rFonts w:hint="eastAsia"/>
        </w:rPr>
        <w:t>2</w:t>
      </w:r>
      <w:r w:rsidR="00291E6F" w:rsidRPr="00DC3A0D">
        <w:t>002</w:t>
      </w:r>
      <w:r w:rsidR="00291E6F" w:rsidRPr="00DC3A0D">
        <w:rPr>
          <w:rFonts w:hint="eastAsia"/>
        </w:rPr>
        <w:t>年，企业债券融资新增规模仅为</w:t>
      </w:r>
      <w:r w:rsidR="00291E6F" w:rsidRPr="00DC3A0D">
        <w:rPr>
          <w:rFonts w:hint="eastAsia"/>
        </w:rPr>
        <w:t>3</w:t>
      </w:r>
      <w:r w:rsidR="00291E6F" w:rsidRPr="00DC3A0D">
        <w:t>67</w:t>
      </w:r>
      <w:r w:rsidR="00291E6F" w:rsidRPr="00DC3A0D">
        <w:rPr>
          <w:rFonts w:hint="eastAsia"/>
        </w:rPr>
        <w:t>亿元，到</w:t>
      </w:r>
      <w:r w:rsidR="00291E6F" w:rsidRPr="00DC3A0D">
        <w:rPr>
          <w:rFonts w:hint="eastAsia"/>
        </w:rPr>
        <w:t>2</w:t>
      </w:r>
      <w:r w:rsidR="00291E6F" w:rsidRPr="00DC3A0D">
        <w:t>019</w:t>
      </w:r>
      <w:r w:rsidR="00291E6F" w:rsidRPr="00DC3A0D">
        <w:rPr>
          <w:rFonts w:hint="eastAsia"/>
        </w:rPr>
        <w:t>年大幅扩张至</w:t>
      </w:r>
      <w:r w:rsidR="00291E6F" w:rsidRPr="00DC3A0D">
        <w:rPr>
          <w:rFonts w:hint="eastAsia"/>
        </w:rPr>
        <w:t>3</w:t>
      </w:r>
      <w:r w:rsidR="00291E6F" w:rsidRPr="00DC3A0D">
        <w:t>2400</w:t>
      </w:r>
      <w:r w:rsidR="00291E6F" w:rsidRPr="00DC3A0D">
        <w:rPr>
          <w:rFonts w:hint="eastAsia"/>
        </w:rPr>
        <w:t>亿元，年均复合增长率超过</w:t>
      </w:r>
      <w:r w:rsidR="00291E6F" w:rsidRPr="00DC3A0D">
        <w:rPr>
          <w:rFonts w:hint="eastAsia"/>
        </w:rPr>
        <w:t>3</w:t>
      </w:r>
      <w:r w:rsidR="00291E6F" w:rsidRPr="00DC3A0D">
        <w:t>0</w:t>
      </w:r>
      <w:r w:rsidR="00291E6F" w:rsidRPr="00DC3A0D">
        <w:rPr>
          <w:rFonts w:hint="eastAsia"/>
        </w:rPr>
        <w:t>%</w:t>
      </w:r>
      <w:r w:rsidR="00291E6F" w:rsidRPr="00DC3A0D">
        <w:rPr>
          <w:rFonts w:hint="eastAsia"/>
        </w:rPr>
        <w:t>。相比之下，股权融资仍然是亟待加强的短板——尽管股权融资占新增社会融资规模的比重在</w:t>
      </w:r>
      <w:r w:rsidR="00291E6F" w:rsidRPr="00DC3A0D">
        <w:rPr>
          <w:rFonts w:hint="eastAsia"/>
        </w:rPr>
        <w:t>2</w:t>
      </w:r>
      <w:r w:rsidR="00291E6F" w:rsidRPr="00DC3A0D">
        <w:t>007</w:t>
      </w:r>
      <w:r w:rsidR="00291E6F" w:rsidRPr="00DC3A0D">
        <w:rPr>
          <w:rFonts w:hint="eastAsia"/>
        </w:rPr>
        <w:t>和</w:t>
      </w:r>
      <w:r w:rsidR="00291E6F" w:rsidRPr="00DC3A0D">
        <w:rPr>
          <w:rFonts w:hint="eastAsia"/>
        </w:rPr>
        <w:t>2</w:t>
      </w:r>
      <w:r w:rsidR="00291E6F" w:rsidRPr="00DC3A0D">
        <w:t>016</w:t>
      </w:r>
      <w:r w:rsidR="007A6DEC">
        <w:rPr>
          <w:rFonts w:hint="eastAsia"/>
        </w:rPr>
        <w:t>两个</w:t>
      </w:r>
      <w:r w:rsidR="003B6B7E">
        <w:rPr>
          <w:rFonts w:hint="eastAsia"/>
        </w:rPr>
        <w:t>年份</w:t>
      </w:r>
      <w:r w:rsidR="00291E6F" w:rsidRPr="00DC3A0D">
        <w:rPr>
          <w:rFonts w:hint="eastAsia"/>
        </w:rPr>
        <w:t>曾</w:t>
      </w:r>
      <w:r w:rsidR="007A6DEC">
        <w:rPr>
          <w:rFonts w:hint="eastAsia"/>
        </w:rPr>
        <w:t>分别达到约</w:t>
      </w:r>
      <w:r w:rsidR="00291E6F" w:rsidRPr="00DC3A0D">
        <w:rPr>
          <w:rFonts w:hint="eastAsia"/>
        </w:rPr>
        <w:t>7%</w:t>
      </w:r>
      <w:r w:rsidR="00291E6F" w:rsidRPr="00DC3A0D">
        <w:rPr>
          <w:rFonts w:hint="eastAsia"/>
        </w:rPr>
        <w:t>，但总体上股权融资在社会融资中发挥的作用仍然</w:t>
      </w:r>
      <w:r w:rsidR="000E4861">
        <w:rPr>
          <w:rFonts w:hint="eastAsia"/>
        </w:rPr>
        <w:t>非常</w:t>
      </w:r>
      <w:r w:rsidR="00291E6F" w:rsidRPr="00DC3A0D">
        <w:rPr>
          <w:rFonts w:hint="eastAsia"/>
        </w:rPr>
        <w:t>有限，大部分年份股权融资占新增社会融资规模的比重维持在</w:t>
      </w:r>
      <w:r w:rsidR="00291E6F" w:rsidRPr="00DC3A0D">
        <w:rPr>
          <w:rFonts w:hint="eastAsia"/>
        </w:rPr>
        <w:t>1</w:t>
      </w:r>
      <w:r w:rsidR="008401AA">
        <w:rPr>
          <w:rFonts w:hint="eastAsia"/>
        </w:rPr>
        <w:t>~</w:t>
      </w:r>
      <w:r w:rsidR="00315CE0">
        <w:t>4</w:t>
      </w:r>
      <w:r w:rsidR="00291E6F" w:rsidRPr="00DC3A0D">
        <w:rPr>
          <w:rFonts w:hint="eastAsia"/>
        </w:rPr>
        <w:t>%</w:t>
      </w:r>
      <w:r w:rsidR="00291E6F" w:rsidRPr="00DC3A0D">
        <w:rPr>
          <w:rFonts w:hint="eastAsia"/>
        </w:rPr>
        <w:t>的较低水平。值得一提的是，近年来我国资本市场深化改革进展较快，尤其是注册制在科创板率先施行后正在逐步向创业板和其他板块推广，此举</w:t>
      </w:r>
      <w:r w:rsidR="008401AA">
        <w:rPr>
          <w:rFonts w:hint="eastAsia"/>
        </w:rPr>
        <w:t>或</w:t>
      </w:r>
      <w:r w:rsidR="00291E6F" w:rsidRPr="00DC3A0D">
        <w:rPr>
          <w:rFonts w:hint="eastAsia"/>
        </w:rPr>
        <w:t>将有助于未来股票市场融资规模的</w:t>
      </w:r>
      <w:r w:rsidR="008401AA">
        <w:rPr>
          <w:rFonts w:hint="eastAsia"/>
        </w:rPr>
        <w:t>扩</w:t>
      </w:r>
      <w:r w:rsidR="00291E6F" w:rsidRPr="00DC3A0D">
        <w:rPr>
          <w:rFonts w:hint="eastAsia"/>
        </w:rPr>
        <w:t>大。</w:t>
      </w:r>
    </w:p>
    <w:p w14:paraId="46097DD2" w14:textId="77777777" w:rsidR="00291E6F" w:rsidRPr="00DC3A0D" w:rsidRDefault="00291E6F" w:rsidP="00291E6F"/>
    <w:p w14:paraId="752CBB6D" w14:textId="77777777" w:rsidR="00291E6F" w:rsidRPr="00DC3A0D" w:rsidRDefault="00291E6F" w:rsidP="00291E6F">
      <w:pPr>
        <w:jc w:val="center"/>
        <w:rPr>
          <w:rFonts w:ascii="宋体" w:hAnsi="宋体"/>
        </w:rPr>
      </w:pPr>
      <w:r w:rsidRPr="00DC3A0D">
        <w:rPr>
          <w:rFonts w:ascii="宋体" w:hAnsi="宋体"/>
          <w:noProof/>
        </w:rPr>
        <w:drawing>
          <wp:inline distT="0" distB="0" distL="0" distR="0" wp14:anchorId="67A8ABCC" wp14:editId="2F122EB2">
            <wp:extent cx="2665828" cy="1480594"/>
            <wp:effectExtent l="0" t="0" r="1270" b="571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26423" cy="1514248"/>
                    </a:xfrm>
                    <a:prstGeom prst="rect">
                      <a:avLst/>
                    </a:prstGeom>
                    <a:noFill/>
                  </pic:spPr>
                </pic:pic>
              </a:graphicData>
            </a:graphic>
          </wp:inline>
        </w:drawing>
      </w:r>
      <w:r w:rsidRPr="00DC3A0D">
        <w:rPr>
          <w:rFonts w:ascii="宋体" w:hAnsi="宋体"/>
          <w:noProof/>
        </w:rPr>
        <w:drawing>
          <wp:inline distT="0" distB="0" distL="0" distR="0" wp14:anchorId="6AD11A96" wp14:editId="67962948">
            <wp:extent cx="2468519" cy="1487317"/>
            <wp:effectExtent l="0" t="0" r="825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57940" cy="1541194"/>
                    </a:xfrm>
                    <a:prstGeom prst="rect">
                      <a:avLst/>
                    </a:prstGeom>
                    <a:noFill/>
                  </pic:spPr>
                </pic:pic>
              </a:graphicData>
            </a:graphic>
          </wp:inline>
        </w:drawing>
      </w:r>
    </w:p>
    <w:p w14:paraId="501F3224" w14:textId="0184175C" w:rsidR="00291E6F" w:rsidRPr="00DC3A0D" w:rsidRDefault="00291E6F" w:rsidP="00291E6F">
      <w:pPr>
        <w:jc w:val="center"/>
        <w:rPr>
          <w:rFonts w:ascii="楷体" w:eastAsia="楷体" w:hAnsi="楷体"/>
        </w:rPr>
      </w:pPr>
      <w:r w:rsidRPr="00DC3A0D">
        <w:rPr>
          <w:rFonts w:ascii="楷体" w:eastAsia="楷体" w:hAnsi="楷体" w:hint="eastAsia"/>
        </w:rPr>
        <w:t>图</w:t>
      </w:r>
      <w:r w:rsidR="000D389C">
        <w:rPr>
          <w:rFonts w:ascii="楷体" w:eastAsia="楷体" w:hAnsi="楷体" w:hint="eastAsia"/>
        </w:rPr>
        <w:t>8</w:t>
      </w:r>
      <w:r w:rsidR="00181149">
        <w:rPr>
          <w:rFonts w:ascii="楷体" w:eastAsia="楷体" w:hAnsi="楷体"/>
        </w:rPr>
        <w:t xml:space="preserve">  </w:t>
      </w:r>
      <w:r w:rsidRPr="00DC3A0D">
        <w:rPr>
          <w:rFonts w:ascii="楷体" w:eastAsia="楷体" w:hAnsi="楷体"/>
        </w:rPr>
        <w:t>融资渠道结构变化</w:t>
      </w:r>
    </w:p>
    <w:p w14:paraId="57D37E7F" w14:textId="77777777" w:rsidR="00291E6F" w:rsidRPr="00F51C9C" w:rsidRDefault="00291E6F" w:rsidP="00F51C9C">
      <w:pPr>
        <w:ind w:firstLineChars="200" w:firstLine="300"/>
        <w:jc w:val="left"/>
        <w:rPr>
          <w:rFonts w:ascii="楷体" w:eastAsia="楷体" w:hAnsi="楷体"/>
          <w:sz w:val="15"/>
          <w:szCs w:val="15"/>
        </w:rPr>
      </w:pPr>
      <w:r w:rsidRPr="00F51C9C">
        <w:rPr>
          <w:rFonts w:ascii="楷体" w:eastAsia="楷体" w:hAnsi="楷体" w:hint="eastAsia"/>
          <w:sz w:val="15"/>
          <w:szCs w:val="15"/>
        </w:rPr>
        <w:t>注：（</w:t>
      </w:r>
      <w:r w:rsidRPr="00F51C9C">
        <w:rPr>
          <w:rFonts w:ascii="楷体" w:eastAsia="楷体" w:hAnsi="楷体"/>
          <w:sz w:val="15"/>
          <w:szCs w:val="15"/>
        </w:rPr>
        <w:t>1）图中</w:t>
      </w:r>
      <w:r w:rsidRPr="00F51C9C">
        <w:rPr>
          <w:rFonts w:ascii="楷体" w:eastAsia="楷体" w:hAnsi="楷体" w:hint="eastAsia"/>
          <w:sz w:val="15"/>
          <w:szCs w:val="15"/>
        </w:rPr>
        <w:t>不包括</w:t>
      </w:r>
      <w:r w:rsidRPr="00F51C9C">
        <w:rPr>
          <w:rFonts w:ascii="楷体" w:eastAsia="楷体" w:hAnsi="楷体"/>
          <w:sz w:val="15"/>
          <w:szCs w:val="15"/>
        </w:rPr>
        <w:t>政府债券融资以及“其他融资”；（2）数据来源：中国人民银行。</w:t>
      </w:r>
    </w:p>
    <w:p w14:paraId="629EDF6A" w14:textId="77777777" w:rsidR="00CC5248" w:rsidRDefault="00CC5248" w:rsidP="009A454A">
      <w:pPr>
        <w:ind w:firstLineChars="200" w:firstLine="420"/>
        <w:rPr>
          <w:rFonts w:ascii="黑体" w:eastAsia="黑体" w:hAnsi="黑体"/>
        </w:rPr>
      </w:pPr>
    </w:p>
    <w:p w14:paraId="6DBA5CF6" w14:textId="33C4F26B" w:rsidR="00256FDD" w:rsidRPr="009A454A" w:rsidRDefault="00256FDD" w:rsidP="009A454A">
      <w:pPr>
        <w:ind w:firstLineChars="200" w:firstLine="420"/>
        <w:rPr>
          <w:rFonts w:ascii="黑体" w:eastAsia="黑体" w:hAnsi="黑体"/>
        </w:rPr>
      </w:pPr>
      <w:r w:rsidRPr="009A454A">
        <w:rPr>
          <w:rFonts w:ascii="黑体" w:eastAsia="黑体" w:hAnsi="黑体" w:hint="eastAsia"/>
        </w:rPr>
        <w:t>（</w:t>
      </w:r>
      <w:r w:rsidR="00C53734" w:rsidRPr="009A454A">
        <w:rPr>
          <w:rFonts w:ascii="黑体" w:eastAsia="黑体" w:hAnsi="黑体" w:hint="eastAsia"/>
        </w:rPr>
        <w:t>二</w:t>
      </w:r>
      <w:r w:rsidRPr="009A454A">
        <w:rPr>
          <w:rFonts w:ascii="黑体" w:eastAsia="黑体" w:hAnsi="黑体" w:hint="eastAsia"/>
        </w:rPr>
        <w:t>）</w:t>
      </w:r>
      <w:bookmarkStart w:id="9" w:name="_Hlk76715416"/>
      <w:r w:rsidR="00653EB9" w:rsidRPr="009A454A">
        <w:rPr>
          <w:rFonts w:ascii="黑体" w:eastAsia="黑体" w:hAnsi="黑体" w:hint="eastAsia"/>
        </w:rPr>
        <w:t>直接融资与间接融资</w:t>
      </w:r>
      <w:r w:rsidR="006771B6">
        <w:rPr>
          <w:rFonts w:ascii="黑体" w:eastAsia="黑体" w:hAnsi="黑体" w:hint="eastAsia"/>
        </w:rPr>
        <w:t>之间</w:t>
      </w:r>
      <w:r w:rsidR="00981000" w:rsidRPr="009A454A">
        <w:rPr>
          <w:rFonts w:ascii="黑体" w:eastAsia="黑体" w:hAnsi="黑体" w:hint="eastAsia"/>
        </w:rPr>
        <w:t>、股权融资与债务融资之间的传统界限被突破，</w:t>
      </w:r>
      <w:r w:rsidR="007367C0" w:rsidRPr="009A454A">
        <w:rPr>
          <w:rFonts w:ascii="黑体" w:eastAsia="黑体" w:hAnsi="黑体" w:hint="eastAsia"/>
        </w:rPr>
        <w:t>“混合融资模式”发展较快</w:t>
      </w:r>
      <w:bookmarkEnd w:id="9"/>
    </w:p>
    <w:p w14:paraId="77EB749B" w14:textId="39A38A43" w:rsidR="00273394" w:rsidRPr="00DC3A0D" w:rsidRDefault="000930B2" w:rsidP="00273394">
      <w:pPr>
        <w:ind w:firstLineChars="200" w:firstLine="420"/>
        <w:rPr>
          <w:szCs w:val="21"/>
        </w:rPr>
      </w:pPr>
      <w:r w:rsidRPr="00DC3A0D">
        <w:rPr>
          <w:rFonts w:hint="eastAsia"/>
          <w:szCs w:val="21"/>
        </w:rPr>
        <w:t>由于</w:t>
      </w:r>
      <w:r w:rsidR="007D3323" w:rsidRPr="00DC3A0D">
        <w:rPr>
          <w:rFonts w:hint="eastAsia"/>
          <w:szCs w:val="21"/>
        </w:rPr>
        <w:t>金融专业分工不断细化和金融业态日益丰富，近年来银行业务与非银业务之间、银行体系与资本市场之间呈现出融合发展态势，直接融资与间接融资之间</w:t>
      </w:r>
      <w:r w:rsidR="006771B6">
        <w:rPr>
          <w:rFonts w:hint="eastAsia"/>
          <w:szCs w:val="21"/>
        </w:rPr>
        <w:t>、</w:t>
      </w:r>
      <w:r w:rsidR="006771B6" w:rsidRPr="006771B6">
        <w:rPr>
          <w:rFonts w:hint="eastAsia"/>
          <w:szCs w:val="21"/>
        </w:rPr>
        <w:t>股权融资与债务融资之间</w:t>
      </w:r>
      <w:r w:rsidR="007D3323" w:rsidRPr="00DC3A0D">
        <w:rPr>
          <w:rFonts w:hint="eastAsia"/>
          <w:szCs w:val="21"/>
        </w:rPr>
        <w:t>的传统边界正在被突破，“混合融资模式”发展较快。</w:t>
      </w:r>
    </w:p>
    <w:p w14:paraId="7DA63BD0" w14:textId="444850C9" w:rsidR="00A3383D" w:rsidRPr="00DC3A0D" w:rsidRDefault="00CC665D" w:rsidP="00FC3547">
      <w:pPr>
        <w:ind w:firstLineChars="200" w:firstLine="420"/>
      </w:pPr>
      <w:r w:rsidRPr="00DC3A0D">
        <w:rPr>
          <w:rFonts w:ascii="宋体" w:hAnsi="宋体" w:hint="eastAsia"/>
        </w:rPr>
        <w:t>“直接融资”和“间接融资”的概念最早由</w:t>
      </w:r>
      <w:r w:rsidRPr="00DC3A0D">
        <w:rPr>
          <w:rFonts w:ascii="宋体" w:hAnsi="宋体"/>
        </w:rPr>
        <w:t>Gurley</w:t>
      </w:r>
      <w:r w:rsidR="008423D0">
        <w:rPr>
          <w:rFonts w:ascii="宋体" w:hAnsi="宋体"/>
        </w:rPr>
        <w:t xml:space="preserve"> </w:t>
      </w:r>
      <w:r w:rsidR="008423D0">
        <w:rPr>
          <w:rFonts w:ascii="宋体" w:hAnsi="宋体" w:hint="eastAsia"/>
        </w:rPr>
        <w:t>&amp;</w:t>
      </w:r>
      <w:r w:rsidR="008423D0">
        <w:rPr>
          <w:rFonts w:ascii="宋体" w:hAnsi="宋体"/>
        </w:rPr>
        <w:t xml:space="preserve"> </w:t>
      </w:r>
      <w:r w:rsidRPr="00DC3A0D">
        <w:rPr>
          <w:rFonts w:ascii="宋体" w:hAnsi="宋体"/>
        </w:rPr>
        <w:t>Shaw</w:t>
      </w:r>
      <w:r w:rsidRPr="00DC3A0D">
        <w:rPr>
          <w:rFonts w:ascii="宋体" w:hAnsi="宋体" w:hint="eastAsia"/>
        </w:rPr>
        <w:t>（1</w:t>
      </w:r>
      <w:r w:rsidRPr="00DC3A0D">
        <w:rPr>
          <w:rFonts w:ascii="宋体" w:hAnsi="宋体"/>
        </w:rPr>
        <w:t>955</w:t>
      </w:r>
      <w:r w:rsidRPr="00DC3A0D">
        <w:rPr>
          <w:rFonts w:ascii="宋体" w:hAnsi="宋体" w:hint="eastAsia"/>
        </w:rPr>
        <w:t>）</w:t>
      </w:r>
      <w:r w:rsidR="00DE6961" w:rsidRPr="00DC3A0D">
        <w:rPr>
          <w:rFonts w:ascii="宋体" w:hAnsi="宋体" w:hint="eastAsia"/>
        </w:rPr>
        <w:t>的</w:t>
      </w:r>
      <w:r w:rsidRPr="00DC3A0D">
        <w:rPr>
          <w:rFonts w:ascii="宋体" w:hAnsi="宋体" w:hint="eastAsia"/>
        </w:rPr>
        <w:t>经典</w:t>
      </w:r>
      <w:r w:rsidR="008423D0">
        <w:rPr>
          <w:rFonts w:ascii="宋体" w:hAnsi="宋体" w:hint="eastAsia"/>
        </w:rPr>
        <w:t>研究</w:t>
      </w:r>
      <w:r w:rsidRPr="00DC3A0D">
        <w:rPr>
          <w:rFonts w:ascii="宋体" w:hAnsi="宋体" w:hint="eastAsia"/>
        </w:rPr>
        <w:t>正式提出。他们将“外源融资”（</w:t>
      </w:r>
      <w:r w:rsidR="008423D0" w:rsidRPr="00DC3A0D">
        <w:rPr>
          <w:rFonts w:ascii="宋体" w:hAnsi="宋体"/>
        </w:rPr>
        <w:t>E</w:t>
      </w:r>
      <w:r w:rsidRPr="00DC3A0D">
        <w:rPr>
          <w:rFonts w:ascii="宋体" w:hAnsi="宋体" w:hint="eastAsia"/>
        </w:rPr>
        <w:t>xternal</w:t>
      </w:r>
      <w:r w:rsidRPr="00DC3A0D">
        <w:rPr>
          <w:rFonts w:ascii="宋体" w:hAnsi="宋体"/>
        </w:rPr>
        <w:t xml:space="preserve"> </w:t>
      </w:r>
      <w:r w:rsidR="008423D0" w:rsidRPr="00DC3A0D">
        <w:rPr>
          <w:rFonts w:ascii="宋体" w:hAnsi="宋体"/>
        </w:rPr>
        <w:t>F</w:t>
      </w:r>
      <w:r w:rsidRPr="00DC3A0D">
        <w:rPr>
          <w:rFonts w:ascii="宋体" w:hAnsi="宋体"/>
        </w:rPr>
        <w:t>inance</w:t>
      </w:r>
      <w:r w:rsidRPr="00DC3A0D">
        <w:rPr>
          <w:rFonts w:ascii="宋体" w:hAnsi="宋体" w:hint="eastAsia"/>
        </w:rPr>
        <w:t>）划分为直接融资和间接融资两类，</w:t>
      </w:r>
      <w:r w:rsidR="009660C6" w:rsidRPr="00DC3A0D">
        <w:rPr>
          <w:rFonts w:ascii="宋体" w:hAnsi="宋体" w:hint="eastAsia"/>
        </w:rPr>
        <w:t>典型的直接融资形式是股票融资和债券融资，典型的间接融资形式是银行信贷融资。</w:t>
      </w:r>
      <w:r w:rsidR="00A3383D" w:rsidRPr="00DC3A0D">
        <w:rPr>
          <w:rFonts w:hint="eastAsia"/>
        </w:rPr>
        <w:t>传统上，直接融资与间接融资的根本区别</w:t>
      </w:r>
      <w:r w:rsidR="007D4477">
        <w:rPr>
          <w:rFonts w:hint="eastAsia"/>
        </w:rPr>
        <w:t>可主要归结为</w:t>
      </w:r>
      <w:r w:rsidR="008F5D81" w:rsidRPr="00DC3A0D">
        <w:rPr>
          <w:rFonts w:hint="eastAsia"/>
        </w:rPr>
        <w:t>两方面</w:t>
      </w:r>
      <w:r w:rsidR="006C2690">
        <w:rPr>
          <w:rFonts w:hint="eastAsia"/>
        </w:rPr>
        <w:t>。</w:t>
      </w:r>
      <w:r w:rsidR="006C2690" w:rsidRPr="00DC3A0D">
        <w:rPr>
          <w:rFonts w:ascii="宋体" w:hAnsi="宋体" w:hint="eastAsia"/>
        </w:rPr>
        <w:t>区别一</w:t>
      </w:r>
      <w:r w:rsidR="008423D0">
        <w:rPr>
          <w:rFonts w:ascii="宋体" w:hAnsi="宋体" w:hint="eastAsia"/>
        </w:rPr>
        <w:t>在于</w:t>
      </w:r>
      <w:r w:rsidR="00EA13DD" w:rsidRPr="00DC3A0D">
        <w:rPr>
          <w:rFonts w:ascii="宋体" w:hAnsi="宋体" w:hint="eastAsia"/>
        </w:rPr>
        <w:t>资金由供给方向需求方的流通是否经由金融中介再配置。在间接融资中，资金供给方与需求方分别与金融中介机构建立独立的交易合约，资金先由供给方流向金融中介，再由金融中介提供给需求方，资金供需双方之间不直接建立交易合约。而在直接融资过程中，资金供需双方直接建立交易合约，资金直接由需求方流向供给方。尽管直接融资过程中也可能存在资金托管、委托交易等金融中介行为，但金融中介机构的作用仅仅是辅助的，并不实质性地参与资金配置。</w:t>
      </w:r>
      <w:r w:rsidR="006C2690" w:rsidRPr="00DC3A0D">
        <w:rPr>
          <w:rFonts w:ascii="宋体" w:hAnsi="宋体" w:hint="eastAsia"/>
        </w:rPr>
        <w:t>区别</w:t>
      </w:r>
      <w:r w:rsidR="006C2690">
        <w:rPr>
          <w:rFonts w:ascii="宋体" w:hAnsi="宋体" w:hint="eastAsia"/>
        </w:rPr>
        <w:t>二</w:t>
      </w:r>
      <w:r w:rsidR="008423D0">
        <w:rPr>
          <w:rFonts w:ascii="宋体" w:hAnsi="宋体" w:hint="eastAsia"/>
        </w:rPr>
        <w:t>在于</w:t>
      </w:r>
      <w:r w:rsidR="00FC3547" w:rsidRPr="00DC3A0D">
        <w:rPr>
          <w:rFonts w:ascii="宋体" w:hAnsi="宋体" w:hint="eastAsia"/>
        </w:rPr>
        <w:t>金融中介是否参与投资收益分配</w:t>
      </w:r>
      <w:r w:rsidR="00AE5E87">
        <w:rPr>
          <w:rFonts w:ascii="宋体" w:hAnsi="宋体" w:hint="eastAsia"/>
        </w:rPr>
        <w:t>和</w:t>
      </w:r>
      <w:r w:rsidR="00FC3547" w:rsidRPr="00DC3A0D">
        <w:rPr>
          <w:rFonts w:ascii="宋体" w:hAnsi="宋体" w:hint="eastAsia"/>
        </w:rPr>
        <w:t>风险分担。在银行贷款这一典型的间接融资模式中，资金传导链条为“储户-银行-贷款人”，储户获取且仅获取存款利率规定的收益：一方面，贷款回报中超出存款利息的部分由银行获得，不归储户；另一方面，如果贷款人出现违约</w:t>
      </w:r>
      <w:r w:rsidR="00FC3547" w:rsidRPr="00DC3A0D">
        <w:rPr>
          <w:rFonts w:ascii="宋体" w:hAnsi="宋体" w:hint="eastAsia"/>
        </w:rPr>
        <w:lastRenderedPageBreak/>
        <w:t>事件，风险也主要由银行承担，储户一般情况下并不直接</w:t>
      </w:r>
      <w:r w:rsidR="00AB051B">
        <w:rPr>
          <w:rFonts w:ascii="宋体" w:hAnsi="宋体" w:hint="eastAsia"/>
        </w:rPr>
        <w:t>承受</w:t>
      </w:r>
      <w:r w:rsidR="00FC3547" w:rsidRPr="00DC3A0D">
        <w:rPr>
          <w:rFonts w:ascii="宋体" w:hAnsi="宋体" w:hint="eastAsia"/>
        </w:rPr>
        <w:t>风险</w:t>
      </w:r>
      <w:r w:rsidR="00FC3547" w:rsidRPr="00F51C9C">
        <w:rPr>
          <w:rStyle w:val="aa"/>
          <w:rFonts w:ascii="宋体" w:hAnsi="宋体"/>
          <w:highlight w:val="yellow"/>
        </w:rPr>
        <w:footnoteReference w:id="26"/>
      </w:r>
      <w:r w:rsidR="00FC3547" w:rsidRPr="00DC3A0D">
        <w:rPr>
          <w:rFonts w:ascii="宋体" w:hAnsi="宋体" w:hint="eastAsia"/>
        </w:rPr>
        <w:t>。而在股票和债券等直接融资模式中，收益和风险都由投资者</w:t>
      </w:r>
      <w:r w:rsidR="00AB051B">
        <w:rPr>
          <w:rFonts w:ascii="宋体" w:hAnsi="宋体" w:hint="eastAsia"/>
        </w:rPr>
        <w:t>自</w:t>
      </w:r>
      <w:r w:rsidR="00FC3547" w:rsidRPr="00DC3A0D">
        <w:rPr>
          <w:rFonts w:ascii="宋体" w:hAnsi="宋体" w:hint="eastAsia"/>
        </w:rPr>
        <w:t>担，金融中介不享受投资收益，亦不分担风险。</w:t>
      </w:r>
    </w:p>
    <w:p w14:paraId="797ADBEE" w14:textId="08ECA30E" w:rsidR="00BA202F" w:rsidRPr="00DC3A0D" w:rsidRDefault="00C9405F" w:rsidP="00FC3547">
      <w:pPr>
        <w:ind w:firstLineChars="200" w:firstLine="420"/>
      </w:pPr>
      <w:r w:rsidRPr="00DC3A0D">
        <w:rPr>
          <w:rFonts w:ascii="宋体" w:hAnsi="宋体" w:hint="eastAsia"/>
        </w:rPr>
        <w:t>在上述两方面区别中，</w:t>
      </w:r>
      <w:r w:rsidR="002C3602" w:rsidRPr="00DC3A0D">
        <w:rPr>
          <w:rFonts w:ascii="宋体" w:hAnsi="宋体" w:hint="eastAsia"/>
        </w:rPr>
        <w:t>“区别一”</w:t>
      </w:r>
      <w:r w:rsidRPr="00DC3A0D">
        <w:rPr>
          <w:rFonts w:ascii="宋体" w:hAnsi="宋体" w:hint="eastAsia"/>
        </w:rPr>
        <w:t>已由</w:t>
      </w:r>
      <w:r w:rsidRPr="00DC3A0D">
        <w:rPr>
          <w:rFonts w:ascii="宋体" w:hAnsi="宋体"/>
        </w:rPr>
        <w:t>Gurley</w:t>
      </w:r>
      <w:r w:rsidRPr="00DC3A0D">
        <w:rPr>
          <w:rFonts w:ascii="宋体" w:hAnsi="宋体" w:hint="eastAsia"/>
        </w:rPr>
        <w:t>和</w:t>
      </w:r>
      <w:r w:rsidRPr="00DC3A0D">
        <w:rPr>
          <w:rFonts w:ascii="宋体" w:hAnsi="宋体"/>
        </w:rPr>
        <w:t>Shaw(1955)</w:t>
      </w:r>
      <w:r w:rsidRPr="00DC3A0D">
        <w:rPr>
          <w:rFonts w:ascii="宋体" w:hAnsi="宋体" w:hint="eastAsia"/>
        </w:rPr>
        <w:t>一文明确提出，是文献中</w:t>
      </w:r>
      <w:r w:rsidR="00AB051B">
        <w:rPr>
          <w:rFonts w:ascii="宋体" w:hAnsi="宋体" w:hint="eastAsia"/>
        </w:rPr>
        <w:t>使用的</w:t>
      </w:r>
      <w:r w:rsidRPr="00DC3A0D">
        <w:rPr>
          <w:rFonts w:ascii="宋体" w:hAnsi="宋体" w:hint="eastAsia"/>
        </w:rPr>
        <w:t>主要区分标准；</w:t>
      </w:r>
      <w:r w:rsidR="002C3602" w:rsidRPr="00DC3A0D">
        <w:rPr>
          <w:rFonts w:ascii="宋体" w:hAnsi="宋体" w:hint="eastAsia"/>
        </w:rPr>
        <w:t>“区别</w:t>
      </w:r>
      <w:r w:rsidR="002C3602">
        <w:rPr>
          <w:rFonts w:ascii="宋体" w:hAnsi="宋体" w:hint="eastAsia"/>
        </w:rPr>
        <w:t>二</w:t>
      </w:r>
      <w:r w:rsidR="002C3602" w:rsidRPr="00DC3A0D">
        <w:rPr>
          <w:rFonts w:ascii="宋体" w:hAnsi="宋体" w:hint="eastAsia"/>
        </w:rPr>
        <w:t>”</w:t>
      </w:r>
      <w:r w:rsidRPr="00DC3A0D">
        <w:rPr>
          <w:rFonts w:ascii="宋体" w:hAnsi="宋体" w:hint="eastAsia"/>
        </w:rPr>
        <w:t>虽有所蕴含但未明确指出，相关文献和政策讨论中也重视不够。上世纪7</w:t>
      </w:r>
      <w:r w:rsidRPr="00DC3A0D">
        <w:rPr>
          <w:rFonts w:ascii="宋体" w:hAnsi="宋体"/>
        </w:rPr>
        <w:t>0</w:t>
      </w:r>
      <w:r w:rsidRPr="00DC3A0D">
        <w:rPr>
          <w:rFonts w:ascii="宋体" w:hAnsi="宋体" w:hint="eastAsia"/>
        </w:rPr>
        <w:t>年代之前，分业经营是金融的主流，金融混业经营和影子银行业务尚未大规模发展。在这种情况下，不论单独依据“区别一”还是“区别二”，对银行贷款、股票融资、债券融资三种主要融资模式的判定结果均是一致的。然而上世纪7</w:t>
      </w:r>
      <w:r w:rsidRPr="00DC3A0D">
        <w:rPr>
          <w:rFonts w:ascii="宋体" w:hAnsi="宋体"/>
        </w:rPr>
        <w:t>0</w:t>
      </w:r>
      <w:r w:rsidRPr="00DC3A0D">
        <w:rPr>
          <w:rFonts w:ascii="宋体" w:hAnsi="宋体" w:hint="eastAsia"/>
        </w:rPr>
        <w:t>年代之后，混业金融在美国快速发展</w:t>
      </w:r>
      <w:r w:rsidR="008423D0">
        <w:rPr>
          <w:rFonts w:ascii="宋体" w:hAnsi="宋体" w:hint="eastAsia"/>
        </w:rPr>
        <w:t>。</w:t>
      </w:r>
      <w:r w:rsidRPr="00DC3A0D">
        <w:rPr>
          <w:rFonts w:ascii="宋体" w:hAnsi="宋体" w:hint="eastAsia"/>
        </w:rPr>
        <w:t>2</w:t>
      </w:r>
      <w:r w:rsidRPr="00DC3A0D">
        <w:rPr>
          <w:rFonts w:ascii="宋体" w:hAnsi="宋体"/>
        </w:rPr>
        <w:t>008</w:t>
      </w:r>
      <w:r w:rsidRPr="00DC3A0D">
        <w:rPr>
          <w:rFonts w:ascii="宋体" w:hAnsi="宋体" w:hint="eastAsia"/>
        </w:rPr>
        <w:t>年之后的一段时期，我国亦经历了一个混业金融和影子银行业务较快发展的阶段（李波、</w:t>
      </w:r>
      <w:r w:rsidRPr="00DC3A0D">
        <w:rPr>
          <w:rFonts w:ascii="宋体" w:hAnsi="宋体"/>
        </w:rPr>
        <w:t>伍戈</w:t>
      </w:r>
      <w:r w:rsidRPr="00DC3A0D">
        <w:rPr>
          <w:rFonts w:ascii="宋体" w:hAnsi="宋体" w:hint="eastAsia"/>
        </w:rPr>
        <w:t>，2</w:t>
      </w:r>
      <w:r w:rsidRPr="00DC3A0D">
        <w:rPr>
          <w:rFonts w:ascii="宋体" w:hAnsi="宋体"/>
        </w:rPr>
        <w:t>011</w:t>
      </w:r>
      <w:r w:rsidRPr="00DC3A0D">
        <w:rPr>
          <w:rFonts w:ascii="宋体" w:hAnsi="宋体" w:hint="eastAsia"/>
        </w:rPr>
        <w:t>；</w:t>
      </w:r>
      <w:r w:rsidRPr="00DC3A0D">
        <w:rPr>
          <w:rFonts w:ascii="宋体" w:hAnsi="宋体"/>
        </w:rPr>
        <w:t>孙国峰</w:t>
      </w:r>
      <w:r w:rsidRPr="00DC3A0D">
        <w:rPr>
          <w:rFonts w:ascii="宋体" w:hAnsi="宋体" w:hint="eastAsia"/>
        </w:rPr>
        <w:t>、</w:t>
      </w:r>
      <w:r w:rsidRPr="00DC3A0D">
        <w:rPr>
          <w:rFonts w:ascii="宋体" w:hAnsi="宋体"/>
        </w:rPr>
        <w:t>贾君怡</w:t>
      </w:r>
      <w:r w:rsidRPr="00DC3A0D">
        <w:rPr>
          <w:rFonts w:ascii="宋体" w:hAnsi="宋体" w:hint="eastAsia"/>
        </w:rPr>
        <w:t>，2</w:t>
      </w:r>
      <w:r w:rsidRPr="00DC3A0D">
        <w:rPr>
          <w:rFonts w:ascii="宋体" w:hAnsi="宋体"/>
        </w:rPr>
        <w:t>015</w:t>
      </w:r>
      <w:r w:rsidRPr="00DC3A0D">
        <w:rPr>
          <w:rFonts w:ascii="宋体" w:hAnsi="宋体" w:hint="eastAsia"/>
        </w:rPr>
        <w:t>），不同细分金融行业之间、不同金融工具之间交互发展，联系趋于紧密。由于金融行业内部专业分工的不断细化，即便在直接融资合约中也开始有越来越多的各类中介机构参与。在此情况下，单纯依靠资金流通是否经由金融中介再配置（“区别一”）已难以判定某种融资模式属于直接融资抑或间接融资，投资收益和风险分配方式差异（“区别二”）</w:t>
      </w:r>
      <w:r w:rsidR="00BD472C">
        <w:rPr>
          <w:rFonts w:ascii="宋体" w:hAnsi="宋体" w:hint="eastAsia"/>
        </w:rPr>
        <w:t>则</w:t>
      </w:r>
      <w:r w:rsidRPr="00DC3A0D">
        <w:rPr>
          <w:rFonts w:ascii="宋体" w:hAnsi="宋体" w:hint="eastAsia"/>
        </w:rPr>
        <w:t>成为相对而言更本质的区分标准。</w:t>
      </w:r>
    </w:p>
    <w:p w14:paraId="779F0026" w14:textId="228E34CD" w:rsidR="00A3383D" w:rsidRPr="00DC3A0D" w:rsidRDefault="00A3383D" w:rsidP="00713B93">
      <w:pPr>
        <w:ind w:firstLineChars="200" w:firstLine="420"/>
      </w:pPr>
      <w:r w:rsidRPr="00DC3A0D">
        <w:rPr>
          <w:rFonts w:hint="eastAsia"/>
        </w:rPr>
        <w:t>混合融资模式的典型表现之一是银行资金用于购买债券的比例大幅升高。</w:t>
      </w:r>
      <w:r w:rsidR="00DC48C7" w:rsidRPr="00DC3A0D">
        <w:rPr>
          <w:rFonts w:hint="eastAsia"/>
        </w:rPr>
        <w:t>商业</w:t>
      </w:r>
      <w:r w:rsidRPr="00DC3A0D">
        <w:rPr>
          <w:rFonts w:hint="eastAsia"/>
        </w:rPr>
        <w:t>银行不再是</w:t>
      </w:r>
      <w:r w:rsidR="00B55E3A" w:rsidRPr="00DC3A0D">
        <w:rPr>
          <w:rFonts w:hint="eastAsia"/>
        </w:rPr>
        <w:t>只</w:t>
      </w:r>
      <w:r w:rsidRPr="00DC3A0D">
        <w:rPr>
          <w:rFonts w:hint="eastAsia"/>
        </w:rPr>
        <w:t>承担吸收存款、发放贷款的</w:t>
      </w:r>
      <w:r w:rsidR="00BF3677" w:rsidRPr="00DC3A0D">
        <w:rPr>
          <w:rFonts w:hint="eastAsia"/>
        </w:rPr>
        <w:t>单纯</w:t>
      </w:r>
      <w:r w:rsidRPr="00DC3A0D">
        <w:rPr>
          <w:rFonts w:hint="eastAsia"/>
        </w:rPr>
        <w:t>间接金融中介，而是越来越深刻地“嵌入”到直接金融体系之中。以</w:t>
      </w:r>
      <w:r w:rsidRPr="00DC3A0D">
        <w:rPr>
          <w:rFonts w:hint="eastAsia"/>
        </w:rPr>
        <w:t>2</w:t>
      </w:r>
      <w:r w:rsidRPr="00DC3A0D">
        <w:t>019</w:t>
      </w:r>
      <w:r w:rsidRPr="00DC3A0D">
        <w:rPr>
          <w:rFonts w:hint="eastAsia"/>
        </w:rPr>
        <w:t>年为例，大型银行全部资金运用中（除去存款准备金）用于各项贷款的比重仅为</w:t>
      </w:r>
      <w:r w:rsidRPr="00DC3A0D">
        <w:rPr>
          <w:rFonts w:hint="eastAsia"/>
        </w:rPr>
        <w:t>6</w:t>
      </w:r>
      <w:r w:rsidRPr="00DC3A0D">
        <w:t>6.64</w:t>
      </w:r>
      <w:r w:rsidRPr="00DC3A0D">
        <w:rPr>
          <w:rFonts w:hint="eastAsia"/>
        </w:rPr>
        <w:t>%</w:t>
      </w:r>
      <w:r w:rsidRPr="00DC3A0D">
        <w:rPr>
          <w:rFonts w:hint="eastAsia"/>
        </w:rPr>
        <w:t>，用于债权投资的比例已经达到</w:t>
      </w:r>
      <w:r w:rsidRPr="00DC3A0D">
        <w:rPr>
          <w:rFonts w:hint="eastAsia"/>
        </w:rPr>
        <w:t>2</w:t>
      </w:r>
      <w:r w:rsidRPr="00DC3A0D">
        <w:t>5.13</w:t>
      </w:r>
      <w:r w:rsidRPr="00DC3A0D">
        <w:rPr>
          <w:rFonts w:hint="eastAsia"/>
        </w:rPr>
        <w:t>%</w:t>
      </w:r>
      <w:r w:rsidRPr="00DC3A0D">
        <w:rPr>
          <w:rFonts w:hint="eastAsia"/>
        </w:rPr>
        <w:t>，另外还有部分资金用于股权等其他投资。对于中小型商业银行而言这一格局变化更为</w:t>
      </w:r>
      <w:r w:rsidR="00BD472C">
        <w:rPr>
          <w:rFonts w:hint="eastAsia"/>
        </w:rPr>
        <w:t>明</w:t>
      </w:r>
      <w:r w:rsidR="00FC0527" w:rsidRPr="00DC3A0D">
        <w:rPr>
          <w:rFonts w:hint="eastAsia"/>
        </w:rPr>
        <w:t>显</w:t>
      </w:r>
      <w:r w:rsidR="00BD472C">
        <w:rPr>
          <w:rFonts w:hint="eastAsia"/>
        </w:rPr>
        <w:t>。</w:t>
      </w:r>
      <w:r w:rsidRPr="00DC3A0D">
        <w:t>2010</w:t>
      </w:r>
      <w:r w:rsidRPr="00DC3A0D">
        <w:rPr>
          <w:rFonts w:hint="eastAsia"/>
        </w:rPr>
        <w:t>-</w:t>
      </w:r>
      <w:r w:rsidRPr="00DC3A0D">
        <w:t>2016</w:t>
      </w:r>
      <w:r w:rsidRPr="00DC3A0D">
        <w:rPr>
          <w:rFonts w:hint="eastAsia"/>
        </w:rPr>
        <w:t>年期间，全国性中小型商业银行</w:t>
      </w:r>
      <w:r w:rsidR="00803C8F" w:rsidRPr="00DC3A0D">
        <w:rPr>
          <w:rFonts w:hint="eastAsia"/>
        </w:rPr>
        <w:t>用于发放贷款的</w:t>
      </w:r>
      <w:r w:rsidR="00803C8F">
        <w:rPr>
          <w:rFonts w:hint="eastAsia"/>
        </w:rPr>
        <w:t>资金</w:t>
      </w:r>
      <w:r w:rsidR="00803C8F" w:rsidRPr="00DC3A0D">
        <w:rPr>
          <w:rFonts w:hint="eastAsia"/>
        </w:rPr>
        <w:t>占除存款准备金外</w:t>
      </w:r>
      <w:r w:rsidR="00803C8F">
        <w:rPr>
          <w:rFonts w:hint="eastAsia"/>
        </w:rPr>
        <w:t>全部</w:t>
      </w:r>
      <w:r w:rsidR="00803C8F" w:rsidRPr="00DC3A0D">
        <w:rPr>
          <w:rFonts w:hint="eastAsia"/>
        </w:rPr>
        <w:t>资金运用的比例由</w:t>
      </w:r>
      <w:r w:rsidR="00803C8F" w:rsidRPr="00DC3A0D">
        <w:rPr>
          <w:rFonts w:hint="eastAsia"/>
        </w:rPr>
        <w:t>7</w:t>
      </w:r>
      <w:r w:rsidR="00803C8F" w:rsidRPr="00DC3A0D">
        <w:t>5.97</w:t>
      </w:r>
      <w:r w:rsidR="00803C8F" w:rsidRPr="00DC3A0D">
        <w:rPr>
          <w:rFonts w:hint="eastAsia"/>
        </w:rPr>
        <w:t>%</w:t>
      </w:r>
      <w:r w:rsidR="00803C8F" w:rsidRPr="00DC3A0D">
        <w:rPr>
          <w:rFonts w:hint="eastAsia"/>
        </w:rPr>
        <w:t>下降至</w:t>
      </w:r>
      <w:r w:rsidR="00803C8F" w:rsidRPr="00DC3A0D">
        <w:rPr>
          <w:rFonts w:hint="eastAsia"/>
        </w:rPr>
        <w:t>5</w:t>
      </w:r>
      <w:r w:rsidR="00803C8F" w:rsidRPr="00DC3A0D">
        <w:t>2.22</w:t>
      </w:r>
      <w:r w:rsidR="00803C8F" w:rsidRPr="00DC3A0D">
        <w:rPr>
          <w:rFonts w:hint="eastAsia"/>
        </w:rPr>
        <w:t>%</w:t>
      </w:r>
      <w:r w:rsidR="00803C8F" w:rsidRPr="00DC3A0D">
        <w:rPr>
          <w:rFonts w:hint="eastAsia"/>
        </w:rPr>
        <w:t>，降低了约</w:t>
      </w:r>
      <w:r w:rsidR="00803C8F" w:rsidRPr="00DC3A0D">
        <w:rPr>
          <w:rFonts w:hint="eastAsia"/>
        </w:rPr>
        <w:t>2</w:t>
      </w:r>
      <w:r w:rsidR="00803C8F" w:rsidRPr="00DC3A0D">
        <w:t>3</w:t>
      </w:r>
      <w:r w:rsidR="00803C8F" w:rsidRPr="00DC3A0D">
        <w:rPr>
          <w:rFonts w:hint="eastAsia"/>
        </w:rPr>
        <w:t>个百分点</w:t>
      </w:r>
      <w:r w:rsidR="00BD472C">
        <w:rPr>
          <w:rFonts w:hint="eastAsia"/>
        </w:rPr>
        <w:t>，</w:t>
      </w:r>
      <w:r w:rsidR="00803C8F">
        <w:rPr>
          <w:rFonts w:hint="eastAsia"/>
        </w:rPr>
        <w:t>与此同时，用于债权投资</w:t>
      </w:r>
      <w:r w:rsidR="00803C8F" w:rsidRPr="00DC3A0D">
        <w:rPr>
          <w:rFonts w:hint="eastAsia"/>
        </w:rPr>
        <w:t>的资金占除存款准备金外</w:t>
      </w:r>
      <w:r w:rsidR="00803C8F">
        <w:rPr>
          <w:rFonts w:hint="eastAsia"/>
        </w:rPr>
        <w:t>全部</w:t>
      </w:r>
      <w:r w:rsidR="00803C8F" w:rsidRPr="00DC3A0D">
        <w:rPr>
          <w:rFonts w:hint="eastAsia"/>
        </w:rPr>
        <w:t>资金运用的比例</w:t>
      </w:r>
      <w:r w:rsidR="00803C8F">
        <w:rPr>
          <w:rFonts w:hint="eastAsia"/>
        </w:rPr>
        <w:t>维持在</w:t>
      </w:r>
      <w:r w:rsidR="00803C8F">
        <w:rPr>
          <w:rFonts w:hint="eastAsia"/>
        </w:rPr>
        <w:t>1</w:t>
      </w:r>
      <w:r w:rsidR="00803C8F">
        <w:t>7</w:t>
      </w:r>
      <w:r w:rsidR="00803C8F">
        <w:rPr>
          <w:rFonts w:hint="eastAsia"/>
        </w:rPr>
        <w:t>%</w:t>
      </w:r>
      <w:r w:rsidR="00803C8F">
        <w:rPr>
          <w:rFonts w:hint="eastAsia"/>
        </w:rPr>
        <w:t>左右，用于</w:t>
      </w:r>
      <w:r w:rsidRPr="00DC3A0D">
        <w:rPr>
          <w:rFonts w:hint="eastAsia"/>
        </w:rPr>
        <w:t>股权及其他投资</w:t>
      </w:r>
      <w:r w:rsidRPr="00F51C9C">
        <w:rPr>
          <w:rStyle w:val="aa"/>
          <w:rFonts w:ascii="宋体" w:hAnsi="宋体"/>
          <w:highlight w:val="yellow"/>
        </w:rPr>
        <w:footnoteReference w:id="27"/>
      </w:r>
      <w:r w:rsidRPr="00DC3A0D">
        <w:rPr>
          <w:rFonts w:hint="eastAsia"/>
        </w:rPr>
        <w:t>的</w:t>
      </w:r>
      <w:r w:rsidR="00E009E4" w:rsidRPr="00DC3A0D">
        <w:rPr>
          <w:rFonts w:hint="eastAsia"/>
        </w:rPr>
        <w:t>资金</w:t>
      </w:r>
      <w:r w:rsidRPr="00DC3A0D">
        <w:rPr>
          <w:rFonts w:hint="eastAsia"/>
        </w:rPr>
        <w:t>占除存款准备金外</w:t>
      </w:r>
      <w:r w:rsidR="00803C8F">
        <w:rPr>
          <w:rFonts w:hint="eastAsia"/>
        </w:rPr>
        <w:t>全部</w:t>
      </w:r>
      <w:r w:rsidRPr="00DC3A0D">
        <w:rPr>
          <w:rFonts w:hint="eastAsia"/>
        </w:rPr>
        <w:t>资金运用的比例由</w:t>
      </w:r>
      <w:r w:rsidRPr="00DC3A0D">
        <w:rPr>
          <w:rFonts w:hint="eastAsia"/>
        </w:rPr>
        <w:t>0</w:t>
      </w:r>
      <w:r w:rsidRPr="00DC3A0D">
        <w:t>.93</w:t>
      </w:r>
      <w:r w:rsidRPr="00DC3A0D">
        <w:rPr>
          <w:rFonts w:hint="eastAsia"/>
        </w:rPr>
        <w:t>%</w:t>
      </w:r>
      <w:r w:rsidRPr="00DC3A0D">
        <w:rPr>
          <w:rFonts w:hint="eastAsia"/>
        </w:rPr>
        <w:t>上升至</w:t>
      </w:r>
      <w:r w:rsidRPr="00DC3A0D">
        <w:rPr>
          <w:rFonts w:hint="eastAsia"/>
        </w:rPr>
        <w:t>1</w:t>
      </w:r>
      <w:r w:rsidRPr="00DC3A0D">
        <w:t>9.09</w:t>
      </w:r>
      <w:r w:rsidRPr="00DC3A0D">
        <w:rPr>
          <w:rFonts w:hint="eastAsia"/>
        </w:rPr>
        <w:t>%</w:t>
      </w:r>
      <w:r w:rsidRPr="00DC3A0D">
        <w:rPr>
          <w:rFonts w:hint="eastAsia"/>
        </w:rPr>
        <w:t>。随着</w:t>
      </w:r>
      <w:r w:rsidRPr="00DC3A0D">
        <w:rPr>
          <w:rFonts w:hint="eastAsia"/>
        </w:rPr>
        <w:t>2</w:t>
      </w:r>
      <w:r w:rsidRPr="00DC3A0D">
        <w:t>017</w:t>
      </w:r>
      <w:r w:rsidRPr="00DC3A0D">
        <w:rPr>
          <w:rFonts w:hint="eastAsia"/>
        </w:rPr>
        <w:t>年以来对“影子银行”业务的规范治理，这种局面在过去三年有所转变，</w:t>
      </w:r>
      <w:r w:rsidR="00A94D4D" w:rsidRPr="00DC3A0D">
        <w:rPr>
          <w:rFonts w:hint="eastAsia"/>
        </w:rPr>
        <w:t>但无论如何，</w:t>
      </w:r>
      <w:r w:rsidR="00517964" w:rsidRPr="00DC3A0D">
        <w:rPr>
          <w:rFonts w:hint="eastAsia"/>
        </w:rPr>
        <w:t>商业银行已经成</w:t>
      </w:r>
      <w:r w:rsidR="00D45D90" w:rsidRPr="00DC3A0D">
        <w:rPr>
          <w:rFonts w:hint="eastAsia"/>
        </w:rPr>
        <w:t>为</w:t>
      </w:r>
      <w:r w:rsidR="00517964" w:rsidRPr="00DC3A0D">
        <w:rPr>
          <w:rFonts w:hint="eastAsia"/>
        </w:rPr>
        <w:t>资本市场上</w:t>
      </w:r>
      <w:r w:rsidR="008423FE" w:rsidRPr="00DC3A0D">
        <w:rPr>
          <w:rFonts w:hint="eastAsia"/>
        </w:rPr>
        <w:t>的</w:t>
      </w:r>
      <w:r w:rsidR="00517964" w:rsidRPr="00DC3A0D">
        <w:rPr>
          <w:rFonts w:hint="eastAsia"/>
        </w:rPr>
        <w:t>重要</w:t>
      </w:r>
      <w:r w:rsidR="004748D9" w:rsidRPr="00DC3A0D">
        <w:rPr>
          <w:rFonts w:hint="eastAsia"/>
        </w:rPr>
        <w:t>参与者</w:t>
      </w:r>
      <w:r w:rsidR="00E33A1C" w:rsidRPr="00DC3A0D">
        <w:rPr>
          <w:rFonts w:hint="eastAsia"/>
        </w:rPr>
        <w:t>，</w:t>
      </w:r>
      <w:r w:rsidR="00D57349" w:rsidRPr="00DC3A0D">
        <w:rPr>
          <w:rFonts w:hint="eastAsia"/>
        </w:rPr>
        <w:t>同时在</w:t>
      </w:r>
      <w:r w:rsidR="009E1018" w:rsidRPr="00DC3A0D">
        <w:rPr>
          <w:rFonts w:hint="eastAsia"/>
        </w:rPr>
        <w:t>直接融资和间接融资</w:t>
      </w:r>
      <w:r w:rsidR="00D57349" w:rsidRPr="00DC3A0D">
        <w:rPr>
          <w:rFonts w:hint="eastAsia"/>
        </w:rPr>
        <w:t>中发挥</w:t>
      </w:r>
      <w:r w:rsidR="00BD472C">
        <w:rPr>
          <w:rFonts w:hint="eastAsia"/>
        </w:rPr>
        <w:t>重要</w:t>
      </w:r>
      <w:r w:rsidR="00D57349" w:rsidRPr="00DC3A0D">
        <w:rPr>
          <w:rFonts w:hint="eastAsia"/>
        </w:rPr>
        <w:t>作用</w:t>
      </w:r>
      <w:r w:rsidRPr="00DC3A0D">
        <w:rPr>
          <w:rFonts w:hint="eastAsia"/>
        </w:rPr>
        <w:t>。</w:t>
      </w:r>
    </w:p>
    <w:p w14:paraId="53925FFB" w14:textId="3AD1BD4D" w:rsidR="00314AEB" w:rsidRDefault="00A3383D" w:rsidP="00053EB4">
      <w:pPr>
        <w:ind w:firstLineChars="200" w:firstLine="420"/>
      </w:pPr>
      <w:r w:rsidRPr="00DC3A0D">
        <w:rPr>
          <w:rFonts w:hint="eastAsia"/>
        </w:rPr>
        <w:t>混合融资模式的典型表现之二是银行理财业务</w:t>
      </w:r>
      <w:r w:rsidR="00314AEB">
        <w:rPr>
          <w:rFonts w:hint="eastAsia"/>
        </w:rPr>
        <w:t>的</w:t>
      </w:r>
      <w:r w:rsidRPr="00DC3A0D">
        <w:rPr>
          <w:rFonts w:hint="eastAsia"/>
        </w:rPr>
        <w:t>大规模扩张。</w:t>
      </w:r>
      <w:r w:rsidRPr="00DC3A0D">
        <w:rPr>
          <w:rFonts w:hint="eastAsia"/>
        </w:rPr>
        <w:t>2</w:t>
      </w:r>
      <w:r w:rsidRPr="00DC3A0D">
        <w:t>010</w:t>
      </w:r>
      <w:r w:rsidRPr="00DC3A0D">
        <w:rPr>
          <w:rFonts w:hint="eastAsia"/>
        </w:rPr>
        <w:t>年初，我国银行理财产品资金余额仅为</w:t>
      </w:r>
      <w:r w:rsidRPr="00DC3A0D">
        <w:rPr>
          <w:rFonts w:hint="eastAsia"/>
        </w:rPr>
        <w:t>1</w:t>
      </w:r>
      <w:r w:rsidRPr="00DC3A0D">
        <w:t>.7</w:t>
      </w:r>
      <w:r w:rsidRPr="00DC3A0D">
        <w:rPr>
          <w:rFonts w:hint="eastAsia"/>
        </w:rPr>
        <w:t>万亿元，到</w:t>
      </w:r>
      <w:r w:rsidRPr="00DC3A0D">
        <w:rPr>
          <w:rFonts w:hint="eastAsia"/>
        </w:rPr>
        <w:t>2</w:t>
      </w:r>
      <w:r w:rsidRPr="00DC3A0D">
        <w:t>018</w:t>
      </w:r>
      <w:r w:rsidRPr="00DC3A0D">
        <w:rPr>
          <w:rFonts w:hint="eastAsia"/>
        </w:rPr>
        <w:t>年末攀升至</w:t>
      </w:r>
      <w:r w:rsidRPr="00DC3A0D">
        <w:rPr>
          <w:rFonts w:hint="eastAsia"/>
        </w:rPr>
        <w:t>3</w:t>
      </w:r>
      <w:r w:rsidRPr="00DC3A0D">
        <w:t>2.1</w:t>
      </w:r>
      <w:r w:rsidRPr="00DC3A0D">
        <w:rPr>
          <w:rFonts w:hint="eastAsia"/>
        </w:rPr>
        <w:t>万亿元。银行理财产品资金规模相较于金融机构各项贷款总额的</w:t>
      </w:r>
      <w:r w:rsidR="00506443" w:rsidRPr="00DC3A0D">
        <w:rPr>
          <w:rFonts w:hint="eastAsia"/>
        </w:rPr>
        <w:t>比例</w:t>
      </w:r>
      <w:r w:rsidRPr="00DC3A0D">
        <w:rPr>
          <w:rFonts w:hint="eastAsia"/>
        </w:rPr>
        <w:t>已经由十年前的不足</w:t>
      </w:r>
      <w:r w:rsidRPr="00DC3A0D">
        <w:t>5%</w:t>
      </w:r>
      <w:r w:rsidRPr="00DC3A0D">
        <w:t>上升至超过</w:t>
      </w:r>
      <w:r w:rsidRPr="00DC3A0D">
        <w:t>20%</w:t>
      </w:r>
      <w:r w:rsidRPr="00DC3A0D">
        <w:t>，对宏观融资结构</w:t>
      </w:r>
      <w:r w:rsidR="00506443" w:rsidRPr="00DC3A0D">
        <w:rPr>
          <w:rFonts w:hint="eastAsia"/>
        </w:rPr>
        <w:t>产生了不容忽视</w:t>
      </w:r>
      <w:r w:rsidRPr="00DC3A0D">
        <w:t>的影响。</w:t>
      </w:r>
      <w:r w:rsidRPr="00DC3A0D">
        <w:rPr>
          <w:rFonts w:hint="eastAsia"/>
        </w:rPr>
        <w:t>此后，银行理财产品规模受监管规则影响有所下降，到</w:t>
      </w:r>
      <w:r w:rsidRPr="00DC3A0D">
        <w:rPr>
          <w:rFonts w:hint="eastAsia"/>
        </w:rPr>
        <w:t>2</w:t>
      </w:r>
      <w:r w:rsidRPr="00DC3A0D">
        <w:t>019</w:t>
      </w:r>
      <w:r w:rsidRPr="00DC3A0D">
        <w:rPr>
          <w:rFonts w:hint="eastAsia"/>
        </w:rPr>
        <w:t>年末减少至</w:t>
      </w:r>
      <w:r w:rsidRPr="00DC3A0D">
        <w:rPr>
          <w:rFonts w:hint="eastAsia"/>
        </w:rPr>
        <w:t>2</w:t>
      </w:r>
      <w:r w:rsidRPr="00DC3A0D">
        <w:t>3.4</w:t>
      </w:r>
      <w:r w:rsidRPr="00DC3A0D">
        <w:rPr>
          <w:rFonts w:hint="eastAsia"/>
        </w:rPr>
        <w:t>万亿元</w:t>
      </w:r>
      <w:r w:rsidRPr="00F51C9C">
        <w:rPr>
          <w:rStyle w:val="aa"/>
          <w:rFonts w:ascii="宋体" w:hAnsi="宋体"/>
          <w:highlight w:val="yellow"/>
        </w:rPr>
        <w:footnoteReference w:id="28"/>
      </w:r>
      <w:r w:rsidRPr="00DC3A0D">
        <w:rPr>
          <w:rFonts w:hint="eastAsia"/>
        </w:rPr>
        <w:t>。根据理财产品的合约设计，投资收益与风险通常由客户承担，银行只是接受客户的委托授权管理资金</w:t>
      </w:r>
      <w:r w:rsidR="00BD472C">
        <w:rPr>
          <w:rFonts w:hint="eastAsia"/>
        </w:rPr>
        <w:t>。</w:t>
      </w:r>
      <w:r w:rsidRPr="00DC3A0D">
        <w:rPr>
          <w:rFonts w:hint="eastAsia"/>
        </w:rPr>
        <w:t>从这一角度而言，银行理财当属直接融资</w:t>
      </w:r>
      <w:r w:rsidR="00BD472C">
        <w:rPr>
          <w:rFonts w:hint="eastAsia"/>
        </w:rPr>
        <w:t>，</w:t>
      </w:r>
      <w:r w:rsidRPr="00DC3A0D">
        <w:rPr>
          <w:rFonts w:hint="eastAsia"/>
        </w:rPr>
        <w:t>但实践中情况则要复杂得多</w:t>
      </w:r>
      <w:r w:rsidR="00BD472C">
        <w:rPr>
          <w:rFonts w:hint="eastAsia"/>
        </w:rPr>
        <w:t>。</w:t>
      </w:r>
      <w:r w:rsidRPr="00DC3A0D">
        <w:rPr>
          <w:rFonts w:hint="eastAsia"/>
        </w:rPr>
        <w:t>银行理财分为保本理财和非保本理财两种类型</w:t>
      </w:r>
      <w:r w:rsidR="00634BD5" w:rsidRPr="00DC3A0D">
        <w:rPr>
          <w:rFonts w:hint="eastAsia"/>
        </w:rPr>
        <w:t>：</w:t>
      </w:r>
      <w:r w:rsidRPr="00DC3A0D">
        <w:rPr>
          <w:rFonts w:hint="eastAsia"/>
        </w:rPr>
        <w:t>保本理财从业务本质上更接近于银行存款，因而具有间接融资的属性</w:t>
      </w:r>
      <w:r w:rsidR="00370BC4" w:rsidRPr="00DC3A0D">
        <w:rPr>
          <w:rFonts w:hint="eastAsia"/>
        </w:rPr>
        <w:t>；</w:t>
      </w:r>
      <w:r w:rsidRPr="00DC3A0D">
        <w:rPr>
          <w:rFonts w:hint="eastAsia"/>
        </w:rPr>
        <w:t>即便是非保本理财的，由于“资管新规”颁布以前理财市场长期存在刚性兑付预期和操作惯例，因而事实上也与传统的直接融资之间存在本质差异，而</w:t>
      </w:r>
      <w:r w:rsidR="00677D77" w:rsidRPr="00DC3A0D">
        <w:rPr>
          <w:rFonts w:hint="eastAsia"/>
        </w:rPr>
        <w:t>附带</w:t>
      </w:r>
      <w:r w:rsidR="00A130E3" w:rsidRPr="00DC3A0D">
        <w:rPr>
          <w:rFonts w:hint="eastAsia"/>
        </w:rPr>
        <w:t>了</w:t>
      </w:r>
      <w:r w:rsidRPr="00DC3A0D">
        <w:rPr>
          <w:rFonts w:hint="eastAsia"/>
        </w:rPr>
        <w:t>一定的间接融资属性。</w:t>
      </w:r>
    </w:p>
    <w:p w14:paraId="210AD064" w14:textId="1B580852" w:rsidR="00773DB5" w:rsidRPr="00DC3A0D" w:rsidRDefault="00314AEB" w:rsidP="00053EB4">
      <w:pPr>
        <w:ind w:firstLineChars="200" w:firstLine="420"/>
      </w:pPr>
      <w:r>
        <w:rPr>
          <w:rFonts w:hint="eastAsia"/>
        </w:rPr>
        <w:t>综上所述</w:t>
      </w:r>
      <w:r w:rsidR="00A3383D" w:rsidRPr="00DC3A0D">
        <w:rPr>
          <w:rFonts w:hint="eastAsia"/>
        </w:rPr>
        <w:t>，传统</w:t>
      </w:r>
      <w:r w:rsidR="00A3383D" w:rsidRPr="00DC3A0D">
        <w:rPr>
          <w:rFonts w:hint="eastAsia"/>
          <w:szCs w:val="21"/>
        </w:rPr>
        <w:t>银行业务与非银业务之间的联系已经变得更加紧密，呈现出融合发展之势</w:t>
      </w:r>
      <w:r w:rsidR="00BD472C">
        <w:rPr>
          <w:rFonts w:hint="eastAsia"/>
          <w:szCs w:val="21"/>
        </w:rPr>
        <w:t>，</w:t>
      </w:r>
      <w:r w:rsidR="00A3383D" w:rsidRPr="00DC3A0D">
        <w:rPr>
          <w:rFonts w:hint="eastAsia"/>
        </w:rPr>
        <w:t>一方面，银行仍然在中国金融体系中扮演着主导性的角色，但另一方面，近年来不论是银行自身还是银行与其他金融机构的关系</w:t>
      </w:r>
      <w:r w:rsidR="00DB434E" w:rsidRPr="00DC3A0D">
        <w:rPr>
          <w:rFonts w:hint="eastAsia"/>
        </w:rPr>
        <w:t>，</w:t>
      </w:r>
      <w:r w:rsidR="00A3383D" w:rsidRPr="00DC3A0D">
        <w:rPr>
          <w:rFonts w:hint="eastAsia"/>
        </w:rPr>
        <w:t>都在发生深刻转型。银行不再局限于传统的存贷款业务，而是越来越多地参与到资本市场和非银金融业务之中。考虑到这些变化，</w:t>
      </w:r>
      <w:r w:rsidR="00A4168F" w:rsidRPr="00DC3A0D">
        <w:rPr>
          <w:rFonts w:hint="eastAsia"/>
        </w:rPr>
        <w:t>经典</w:t>
      </w:r>
      <w:r w:rsidR="00A3383D" w:rsidRPr="00DC3A0D">
        <w:rPr>
          <w:rFonts w:hint="eastAsia"/>
        </w:rPr>
        <w:t>的“银行”与“资本市场”的简单二分法的有效性有所减弱，两者之间的</w:t>
      </w:r>
      <w:r w:rsidR="00DB434E" w:rsidRPr="00DC3A0D">
        <w:rPr>
          <w:rFonts w:hint="eastAsia"/>
        </w:rPr>
        <w:t>传统边界</w:t>
      </w:r>
      <w:r w:rsidR="00A3383D" w:rsidRPr="00DC3A0D">
        <w:rPr>
          <w:rFonts w:hint="eastAsia"/>
        </w:rPr>
        <w:t>开始变得模糊。</w:t>
      </w:r>
    </w:p>
    <w:p w14:paraId="0B0DB23B" w14:textId="612429B6" w:rsidR="00A3383D" w:rsidRPr="00DC3A0D" w:rsidRDefault="00A3383D" w:rsidP="00713B93">
      <w:pPr>
        <w:ind w:firstLineChars="200" w:firstLine="420"/>
      </w:pPr>
      <w:r w:rsidRPr="00DC3A0D">
        <w:rPr>
          <w:rFonts w:hint="eastAsia"/>
        </w:rPr>
        <w:t>混合融资模式的典型表现之三是保险资管业务的快速成长。保险资金近年来成为</w:t>
      </w:r>
      <w:r w:rsidR="00DA7C06" w:rsidRPr="00DC3A0D">
        <w:rPr>
          <w:rFonts w:hint="eastAsia"/>
        </w:rPr>
        <w:t>我国宏观融资体系</w:t>
      </w:r>
      <w:r w:rsidR="00250344" w:rsidRPr="00DC3A0D">
        <w:rPr>
          <w:rFonts w:hint="eastAsia"/>
        </w:rPr>
        <w:t>中</w:t>
      </w:r>
      <w:r w:rsidRPr="00DC3A0D">
        <w:rPr>
          <w:rFonts w:hint="eastAsia"/>
        </w:rPr>
        <w:t>越来越重要的融资来源。</w:t>
      </w:r>
      <w:r w:rsidR="00CB2D1C" w:rsidRPr="00DC3A0D">
        <w:rPr>
          <w:rFonts w:hint="eastAsia"/>
        </w:rPr>
        <w:t>截至</w:t>
      </w:r>
      <w:r w:rsidRPr="00DC3A0D">
        <w:rPr>
          <w:rFonts w:hint="eastAsia"/>
        </w:rPr>
        <w:t>2</w:t>
      </w:r>
      <w:r w:rsidRPr="00DC3A0D">
        <w:t>019</w:t>
      </w:r>
      <w:r w:rsidRPr="00DC3A0D">
        <w:rPr>
          <w:rFonts w:hint="eastAsia"/>
        </w:rPr>
        <w:t>年末，我国保险资产管理行业管理的总资产规模达到</w:t>
      </w:r>
      <w:r w:rsidRPr="00DC3A0D">
        <w:rPr>
          <w:rFonts w:hint="eastAsia"/>
        </w:rPr>
        <w:t>1</w:t>
      </w:r>
      <w:r w:rsidRPr="00DC3A0D">
        <w:t>8.11</w:t>
      </w:r>
      <w:r w:rsidRPr="00DC3A0D">
        <w:rPr>
          <w:rFonts w:hint="eastAsia"/>
        </w:rPr>
        <w:t>万亿元</w:t>
      </w:r>
      <w:r w:rsidRPr="00F51C9C">
        <w:rPr>
          <w:rStyle w:val="aa"/>
          <w:rFonts w:ascii="宋体" w:hAnsi="宋体"/>
          <w:highlight w:val="yellow"/>
        </w:rPr>
        <w:footnoteReference w:id="29"/>
      </w:r>
      <w:r w:rsidRPr="00DC3A0D">
        <w:rPr>
          <w:rFonts w:hint="eastAsia"/>
        </w:rPr>
        <w:t>。保险资金从投保人到最终资金需求方的渠道大体上</w:t>
      </w:r>
      <w:r w:rsidR="00C969D4" w:rsidRPr="00DC3A0D">
        <w:rPr>
          <w:rFonts w:hint="eastAsia"/>
        </w:rPr>
        <w:t>有</w:t>
      </w:r>
      <w:r w:rsidRPr="00DC3A0D">
        <w:rPr>
          <w:rFonts w:hint="eastAsia"/>
        </w:rPr>
        <w:t>三种：</w:t>
      </w:r>
      <w:r w:rsidR="00A7732A" w:rsidRPr="00DC3A0D">
        <w:rPr>
          <w:rFonts w:hint="eastAsia"/>
        </w:rPr>
        <w:t>一</w:t>
      </w:r>
      <w:r w:rsidR="00BD472C">
        <w:rPr>
          <w:rFonts w:hint="eastAsia"/>
        </w:rPr>
        <w:t>是</w:t>
      </w:r>
      <w:r w:rsidRPr="00DC3A0D">
        <w:rPr>
          <w:rFonts w:hint="eastAsia"/>
        </w:rPr>
        <w:t>保险资管机构将资金存</w:t>
      </w:r>
      <w:r w:rsidRPr="00DC3A0D">
        <w:rPr>
          <w:rFonts w:hint="eastAsia"/>
        </w:rPr>
        <w:lastRenderedPageBreak/>
        <w:t>入银行，然后经银行发放贷款</w:t>
      </w:r>
      <w:r w:rsidR="007C7DC3">
        <w:rPr>
          <w:rFonts w:hint="eastAsia"/>
        </w:rPr>
        <w:t>或购买债券</w:t>
      </w:r>
      <w:r w:rsidRPr="00DC3A0D">
        <w:rPr>
          <w:rFonts w:hint="eastAsia"/>
        </w:rPr>
        <w:t>等形式转移给实体经济</w:t>
      </w:r>
      <w:r w:rsidR="00BD472C">
        <w:rPr>
          <w:rFonts w:hint="eastAsia"/>
        </w:rPr>
        <w:t>；</w:t>
      </w:r>
      <w:r w:rsidR="00A7732A" w:rsidRPr="00DC3A0D">
        <w:rPr>
          <w:rFonts w:hint="eastAsia"/>
        </w:rPr>
        <w:t>二</w:t>
      </w:r>
      <w:r w:rsidR="00BD472C">
        <w:rPr>
          <w:rFonts w:hint="eastAsia"/>
        </w:rPr>
        <w:t>是</w:t>
      </w:r>
      <w:r w:rsidRPr="00DC3A0D">
        <w:rPr>
          <w:rFonts w:hint="eastAsia"/>
        </w:rPr>
        <w:t>保险资管机构直接购买股票和债券为实体经济提供资金</w:t>
      </w:r>
      <w:r w:rsidR="00BD472C">
        <w:rPr>
          <w:rFonts w:hint="eastAsia"/>
        </w:rPr>
        <w:t>；</w:t>
      </w:r>
      <w:r w:rsidR="00A7732A" w:rsidRPr="00DC3A0D">
        <w:rPr>
          <w:rFonts w:hint="eastAsia"/>
        </w:rPr>
        <w:t>三</w:t>
      </w:r>
      <w:r w:rsidR="00BD472C">
        <w:rPr>
          <w:rFonts w:hint="eastAsia"/>
        </w:rPr>
        <w:t>是</w:t>
      </w:r>
      <w:r w:rsidRPr="00DC3A0D">
        <w:rPr>
          <w:rFonts w:hint="eastAsia"/>
        </w:rPr>
        <w:t>保险资管机构通过股权债券</w:t>
      </w:r>
      <w:r w:rsidR="00AB3BD4" w:rsidRPr="00DC3A0D">
        <w:rPr>
          <w:rFonts w:hint="eastAsia"/>
        </w:rPr>
        <w:t>投资</w:t>
      </w:r>
      <w:r w:rsidRPr="00DC3A0D">
        <w:rPr>
          <w:rFonts w:hint="eastAsia"/>
        </w:rPr>
        <w:t>基金等形式传输给实体经济。如果以投保人</w:t>
      </w:r>
      <w:r w:rsidR="00FC0167" w:rsidRPr="00DC3A0D">
        <w:rPr>
          <w:rFonts w:hint="eastAsia"/>
        </w:rPr>
        <w:t>这一保险资金的最初来源</w:t>
      </w:r>
      <w:r w:rsidRPr="00DC3A0D">
        <w:rPr>
          <w:rFonts w:hint="eastAsia"/>
        </w:rPr>
        <w:t>作为资金链条始点</w:t>
      </w:r>
      <w:r w:rsidR="00A2577D" w:rsidRPr="00DC3A0D">
        <w:rPr>
          <w:rFonts w:hint="eastAsia"/>
        </w:rPr>
        <w:t>来看的话</w:t>
      </w:r>
      <w:r w:rsidRPr="00DC3A0D">
        <w:rPr>
          <w:rFonts w:hint="eastAsia"/>
        </w:rPr>
        <w:t>，那么从交易合约设计和风险承担方式来看，上述三种渠道中除了第一种属于嵌套的间接融资之外，其他两种都属于间接融资与直接融资嵌套的混合融资模式</w:t>
      </w:r>
      <w:r w:rsidRPr="00F51C9C">
        <w:rPr>
          <w:rStyle w:val="aa"/>
          <w:rFonts w:ascii="宋体" w:hAnsi="宋体"/>
          <w:highlight w:val="yellow"/>
        </w:rPr>
        <w:footnoteReference w:id="30"/>
      </w:r>
      <w:r w:rsidRPr="00DC3A0D">
        <w:rPr>
          <w:rFonts w:hint="eastAsia"/>
        </w:rPr>
        <w:t>。</w:t>
      </w:r>
    </w:p>
    <w:p w14:paraId="6E633FD5" w14:textId="514F6E39" w:rsidR="00A3383D" w:rsidRPr="00DC3A0D" w:rsidRDefault="00A3383D" w:rsidP="00713B93">
      <w:pPr>
        <w:ind w:firstLineChars="200" w:firstLine="420"/>
      </w:pPr>
      <w:r w:rsidRPr="00DC3A0D">
        <w:rPr>
          <w:rFonts w:hint="eastAsia"/>
        </w:rPr>
        <w:t>除</w:t>
      </w:r>
      <w:r w:rsidR="004C07EF" w:rsidRPr="00DC3A0D">
        <w:rPr>
          <w:rFonts w:hint="eastAsia"/>
        </w:rPr>
        <w:t>了上述三类典型表现之外</w:t>
      </w:r>
      <w:r w:rsidRPr="00DC3A0D">
        <w:rPr>
          <w:rFonts w:hint="eastAsia"/>
        </w:rPr>
        <w:t>，</w:t>
      </w:r>
      <w:r w:rsidR="00D90D3E" w:rsidRPr="00DC3A0D">
        <w:rPr>
          <w:rFonts w:hint="eastAsia"/>
        </w:rPr>
        <w:t>金融市场上活跃的</w:t>
      </w:r>
      <w:r w:rsidRPr="00DC3A0D">
        <w:rPr>
          <w:rFonts w:hint="eastAsia"/>
        </w:rPr>
        <w:t>各类资产证券化融资工具</w:t>
      </w:r>
      <w:r w:rsidR="00884FD4" w:rsidRPr="00DC3A0D">
        <w:rPr>
          <w:rFonts w:hint="eastAsia"/>
        </w:rPr>
        <w:t>的</w:t>
      </w:r>
      <w:r w:rsidRPr="00DC3A0D">
        <w:rPr>
          <w:rFonts w:hint="eastAsia"/>
        </w:rPr>
        <w:t>合约设计和收益风险承担分配方式也往往介于</w:t>
      </w:r>
      <w:r w:rsidR="00CC6468">
        <w:rPr>
          <w:rFonts w:hint="eastAsia"/>
        </w:rPr>
        <w:t>典型</w:t>
      </w:r>
      <w:r w:rsidRPr="00DC3A0D">
        <w:rPr>
          <w:rFonts w:hint="eastAsia"/>
        </w:rPr>
        <w:t>的间接融资和直接融资之间，具有混合融资模式的属性。</w:t>
      </w:r>
    </w:p>
    <w:p w14:paraId="0EC77E2E" w14:textId="7E964E5A" w:rsidR="00A3383D" w:rsidRPr="00DC3A0D" w:rsidRDefault="001C6E09" w:rsidP="00713B93">
      <w:pPr>
        <w:ind w:firstLineChars="200" w:firstLine="420"/>
      </w:pPr>
      <w:r w:rsidRPr="00DC3A0D">
        <w:rPr>
          <w:rFonts w:hint="eastAsia"/>
        </w:rPr>
        <w:t>与此同时，混合融资模式还集中体现在</w:t>
      </w:r>
      <w:r w:rsidR="00A3383D" w:rsidRPr="00DC3A0D">
        <w:rPr>
          <w:rFonts w:hint="eastAsia"/>
        </w:rPr>
        <w:t>股权融资与债务融资之间出现了一定的嵌套或交叉。</w:t>
      </w:r>
      <w:r w:rsidR="00A7732A" w:rsidRPr="00DC3A0D">
        <w:rPr>
          <w:rFonts w:hint="eastAsia"/>
        </w:rPr>
        <w:t>首先，</w:t>
      </w:r>
      <w:r w:rsidR="00A3383D" w:rsidRPr="00DC3A0D">
        <w:rPr>
          <w:rFonts w:hint="eastAsia"/>
        </w:rPr>
        <w:t>包括公募私募基金、银行理财、保险资管、信托投资计划、证券投资计划等在内的资金常常同时投资于权益项目和债券项目，因而对于资金链条上的初始</w:t>
      </w:r>
      <w:r w:rsidR="004570B5" w:rsidRPr="00DC3A0D">
        <w:rPr>
          <w:rFonts w:hint="eastAsia"/>
        </w:rPr>
        <w:t>资金</w:t>
      </w:r>
      <w:r w:rsidR="00C167E3" w:rsidRPr="00DC3A0D">
        <w:rPr>
          <w:rFonts w:hint="eastAsia"/>
        </w:rPr>
        <w:t>供给</w:t>
      </w:r>
      <w:r w:rsidR="004570B5" w:rsidRPr="00DC3A0D">
        <w:rPr>
          <w:rFonts w:hint="eastAsia"/>
        </w:rPr>
        <w:t>方</w:t>
      </w:r>
      <w:r w:rsidR="00A3383D" w:rsidRPr="00DC3A0D">
        <w:rPr>
          <w:rFonts w:hint="eastAsia"/>
        </w:rPr>
        <w:t>而言，这些投融资工具属于</w:t>
      </w:r>
      <w:r w:rsidR="000F1E9B" w:rsidRPr="00DC3A0D">
        <w:rPr>
          <w:rFonts w:hint="eastAsia"/>
        </w:rPr>
        <w:t>“</w:t>
      </w:r>
      <w:r w:rsidR="00A3383D" w:rsidRPr="00DC3A0D">
        <w:rPr>
          <w:rFonts w:hint="eastAsia"/>
        </w:rPr>
        <w:t>股债混合型</w:t>
      </w:r>
      <w:r w:rsidR="000F1E9B" w:rsidRPr="00DC3A0D">
        <w:rPr>
          <w:rFonts w:hint="eastAsia"/>
        </w:rPr>
        <w:t>”</w:t>
      </w:r>
      <w:r w:rsidR="00A3383D" w:rsidRPr="00DC3A0D">
        <w:rPr>
          <w:rFonts w:hint="eastAsia"/>
        </w:rPr>
        <w:t>。</w:t>
      </w:r>
      <w:r w:rsidR="00A7732A" w:rsidRPr="00DC3A0D">
        <w:rPr>
          <w:rFonts w:hint="eastAsia"/>
        </w:rPr>
        <w:t>其次，</w:t>
      </w:r>
      <w:r w:rsidR="00A3383D" w:rsidRPr="00DC3A0D">
        <w:rPr>
          <w:rFonts w:hint="eastAsia"/>
        </w:rPr>
        <w:t>金融实践中出现了大量的合法或非法的“明股实债”投融资交易</w:t>
      </w:r>
      <w:r w:rsidR="00924954" w:rsidRPr="00DC3A0D">
        <w:rPr>
          <w:rFonts w:hint="eastAsia"/>
        </w:rPr>
        <w:t>合约</w:t>
      </w:r>
      <w:r w:rsidR="00A3383D" w:rsidRPr="00DC3A0D">
        <w:rPr>
          <w:rFonts w:hint="eastAsia"/>
        </w:rPr>
        <w:t>。</w:t>
      </w:r>
      <w:r w:rsidR="00A43EC9" w:rsidRPr="00DC3A0D">
        <w:rPr>
          <w:rFonts w:hint="eastAsia"/>
        </w:rPr>
        <w:t>出于</w:t>
      </w:r>
      <w:r w:rsidR="00A3383D" w:rsidRPr="00DC3A0D">
        <w:rPr>
          <w:rFonts w:hint="eastAsia"/>
        </w:rPr>
        <w:t>降低杠杆率</w:t>
      </w:r>
      <w:r w:rsidR="008B5363" w:rsidRPr="00DC3A0D">
        <w:rPr>
          <w:rFonts w:hint="eastAsia"/>
        </w:rPr>
        <w:t>、</w:t>
      </w:r>
      <w:r w:rsidR="00A3383D" w:rsidRPr="00DC3A0D">
        <w:rPr>
          <w:rFonts w:hint="eastAsia"/>
        </w:rPr>
        <w:t>规避监管</w:t>
      </w:r>
      <w:r w:rsidR="008B5363" w:rsidRPr="00DC3A0D">
        <w:rPr>
          <w:rFonts w:hint="eastAsia"/>
        </w:rPr>
        <w:t>、</w:t>
      </w:r>
      <w:r w:rsidR="000F1D64">
        <w:rPr>
          <w:rFonts w:hint="eastAsia"/>
        </w:rPr>
        <w:t>防范</w:t>
      </w:r>
      <w:r w:rsidR="00A3383D" w:rsidRPr="00DC3A0D">
        <w:rPr>
          <w:rFonts w:hint="eastAsia"/>
        </w:rPr>
        <w:t>道德风险</w:t>
      </w:r>
      <w:r w:rsidR="00B135C3" w:rsidRPr="00DC3A0D">
        <w:rPr>
          <w:rFonts w:hint="eastAsia"/>
        </w:rPr>
        <w:t>、激励管理层提升业绩实施对赌</w:t>
      </w:r>
      <w:r w:rsidR="008B5363" w:rsidRPr="00DC3A0D">
        <w:rPr>
          <w:rFonts w:hint="eastAsia"/>
        </w:rPr>
        <w:t>等种种</w:t>
      </w:r>
      <w:r w:rsidR="00A43EC9" w:rsidRPr="00DC3A0D">
        <w:rPr>
          <w:rFonts w:hint="eastAsia"/>
        </w:rPr>
        <w:t>因素考虑</w:t>
      </w:r>
      <w:r w:rsidR="008B5363" w:rsidRPr="00DC3A0D">
        <w:rPr>
          <w:rFonts w:hint="eastAsia"/>
        </w:rPr>
        <w:t>，</w:t>
      </w:r>
      <w:r w:rsidR="00A43EC9" w:rsidRPr="00DC3A0D">
        <w:rPr>
          <w:rFonts w:hint="eastAsia"/>
        </w:rPr>
        <w:t>明股实债</w:t>
      </w:r>
      <w:r w:rsidR="00924954" w:rsidRPr="00DC3A0D">
        <w:rPr>
          <w:rFonts w:hint="eastAsia"/>
        </w:rPr>
        <w:t>型合约</w:t>
      </w:r>
      <w:r w:rsidR="00AC44A3" w:rsidRPr="00DC3A0D">
        <w:rPr>
          <w:rFonts w:hint="eastAsia"/>
        </w:rPr>
        <w:t>虽然</w:t>
      </w:r>
      <w:r w:rsidR="00A3383D" w:rsidRPr="00DC3A0D">
        <w:rPr>
          <w:rFonts w:hint="eastAsia"/>
        </w:rPr>
        <w:t>表面上以股权合同的形式呈现，但又通过</w:t>
      </w:r>
      <w:r w:rsidR="006F2F90" w:rsidRPr="00DC3A0D">
        <w:rPr>
          <w:rFonts w:hint="eastAsia"/>
        </w:rPr>
        <w:t>合约</w:t>
      </w:r>
      <w:r w:rsidR="00A3383D" w:rsidRPr="00DC3A0D">
        <w:rPr>
          <w:rFonts w:hint="eastAsia"/>
        </w:rPr>
        <w:t>附件或配套合约的形式设计出实质上的债权债务关系。</w:t>
      </w:r>
    </w:p>
    <w:p w14:paraId="43ED9413" w14:textId="5264E8BD" w:rsidR="009A454A" w:rsidRDefault="000F1D64">
      <w:pPr>
        <w:ind w:firstLineChars="200" w:firstLine="420"/>
        <w:rPr>
          <w:rFonts w:ascii="黑体" w:eastAsia="黑体" w:hAnsi="黑体"/>
        </w:rPr>
      </w:pPr>
      <w:r>
        <w:rPr>
          <w:rFonts w:hint="eastAsia"/>
        </w:rPr>
        <w:t>总而言之</w:t>
      </w:r>
      <w:r w:rsidR="00E004E9" w:rsidRPr="00DC3A0D">
        <w:rPr>
          <w:rFonts w:hint="eastAsia"/>
        </w:rPr>
        <w:t>，</w:t>
      </w:r>
      <w:r w:rsidR="00A3383D" w:rsidRPr="00DC3A0D">
        <w:rPr>
          <w:rFonts w:hint="eastAsia"/>
        </w:rPr>
        <w:t>间接融资与直接融资之间、股权融资与债务融资之间非黑即白的简单“二分法”</w:t>
      </w:r>
      <w:r w:rsidR="00F95251" w:rsidRPr="00DC3A0D">
        <w:rPr>
          <w:rFonts w:hint="eastAsia"/>
        </w:rPr>
        <w:t>已经</w:t>
      </w:r>
      <w:r w:rsidR="00701CAE" w:rsidRPr="00DC3A0D">
        <w:rPr>
          <w:rFonts w:hint="eastAsia"/>
        </w:rPr>
        <w:t>变得</w:t>
      </w:r>
      <w:r w:rsidR="00A3383D" w:rsidRPr="00DC3A0D">
        <w:rPr>
          <w:rFonts w:hint="eastAsia"/>
        </w:rPr>
        <w:t>难以适用于</w:t>
      </w:r>
      <w:r w:rsidR="00FD28DE" w:rsidRPr="00DC3A0D">
        <w:rPr>
          <w:rFonts w:hint="eastAsia"/>
        </w:rPr>
        <w:t>近年来</w:t>
      </w:r>
      <w:r w:rsidR="005B065B" w:rsidRPr="00DC3A0D">
        <w:rPr>
          <w:rFonts w:hint="eastAsia"/>
        </w:rPr>
        <w:t>不断发展的</w:t>
      </w:r>
      <w:r w:rsidR="00A3383D" w:rsidRPr="00DC3A0D">
        <w:rPr>
          <w:rFonts w:hint="eastAsia"/>
        </w:rPr>
        <w:t>金融实践。随着金融专业分工不断细化和金融业态日趋丰富，合约设计和收益风险分配</w:t>
      </w:r>
      <w:r w:rsidR="00282204">
        <w:rPr>
          <w:rFonts w:hint="eastAsia"/>
        </w:rPr>
        <w:t>将</w:t>
      </w:r>
      <w:r w:rsidR="00A3383D" w:rsidRPr="00DC3A0D">
        <w:rPr>
          <w:rFonts w:hint="eastAsia"/>
        </w:rPr>
        <w:t>会越来越趋向于多元化</w:t>
      </w:r>
      <w:r w:rsidR="00282204">
        <w:rPr>
          <w:rFonts w:hint="eastAsia"/>
        </w:rPr>
        <w:t>、</w:t>
      </w:r>
      <w:r w:rsidR="00A3383D" w:rsidRPr="00DC3A0D">
        <w:rPr>
          <w:rFonts w:hint="eastAsia"/>
        </w:rPr>
        <w:t>针对不同投资者和融资者的特点匹配差异化的投融资合约和收益风险分配方式。在这一过程中，间接融资与直接融资之间、股权融资与债务融资之间的界限趋于模糊，</w:t>
      </w:r>
      <w:r w:rsidR="004D7D57">
        <w:rPr>
          <w:rFonts w:hint="eastAsia"/>
        </w:rPr>
        <w:t>“混合融资模式”</w:t>
      </w:r>
      <w:r w:rsidR="00282204">
        <w:rPr>
          <w:rFonts w:hint="eastAsia"/>
        </w:rPr>
        <w:t>将</w:t>
      </w:r>
      <w:r w:rsidR="004D7D57">
        <w:rPr>
          <w:rFonts w:hint="eastAsia"/>
        </w:rPr>
        <w:t>在</w:t>
      </w:r>
      <w:r w:rsidR="0009660B">
        <w:rPr>
          <w:rFonts w:hint="eastAsia"/>
        </w:rPr>
        <w:t>融资渠道</w:t>
      </w:r>
      <w:r w:rsidR="004E453D">
        <w:rPr>
          <w:rFonts w:hint="eastAsia"/>
        </w:rPr>
        <w:t>中</w:t>
      </w:r>
      <w:r w:rsidR="003064A1">
        <w:rPr>
          <w:rFonts w:hint="eastAsia"/>
        </w:rPr>
        <w:t>发</w:t>
      </w:r>
      <w:r w:rsidR="00BD472C">
        <w:rPr>
          <w:rFonts w:hint="eastAsia"/>
        </w:rPr>
        <w:t>挥</w:t>
      </w:r>
      <w:r w:rsidR="003064A1">
        <w:rPr>
          <w:rFonts w:hint="eastAsia"/>
        </w:rPr>
        <w:t>越来越突出的作用</w:t>
      </w:r>
      <w:r w:rsidR="00A3383D" w:rsidRPr="00DC3A0D">
        <w:rPr>
          <w:rFonts w:hint="eastAsia"/>
        </w:rPr>
        <w:t>。</w:t>
      </w:r>
    </w:p>
    <w:p w14:paraId="67D77002" w14:textId="427CAC5F" w:rsidR="00133B60" w:rsidRPr="009A454A" w:rsidRDefault="00133B60" w:rsidP="009A454A">
      <w:pPr>
        <w:ind w:firstLineChars="200" w:firstLine="420"/>
        <w:rPr>
          <w:rFonts w:ascii="黑体" w:eastAsia="黑体" w:hAnsi="黑体"/>
        </w:rPr>
      </w:pPr>
      <w:r w:rsidRPr="009A454A">
        <w:rPr>
          <w:rFonts w:ascii="黑体" w:eastAsia="黑体" w:hAnsi="黑体" w:hint="eastAsia"/>
        </w:rPr>
        <w:t>（</w:t>
      </w:r>
      <w:r w:rsidR="009477DC" w:rsidRPr="009A454A">
        <w:rPr>
          <w:rFonts w:ascii="黑体" w:eastAsia="黑体" w:hAnsi="黑体" w:hint="eastAsia"/>
        </w:rPr>
        <w:t>三</w:t>
      </w:r>
      <w:r w:rsidRPr="009A454A">
        <w:rPr>
          <w:rFonts w:ascii="黑体" w:eastAsia="黑体" w:hAnsi="黑体" w:hint="eastAsia"/>
        </w:rPr>
        <w:t>）金融业态发展导致融资链条拉长</w:t>
      </w:r>
    </w:p>
    <w:p w14:paraId="5899E3E5" w14:textId="006043EF" w:rsidR="00716B8D" w:rsidRDefault="00A55497" w:rsidP="00133B60">
      <w:pPr>
        <w:ind w:firstLineChars="200" w:firstLine="420"/>
      </w:pPr>
      <w:r>
        <w:rPr>
          <w:rFonts w:hint="eastAsia"/>
        </w:rPr>
        <w:t>融资渠道结构转型的另外一个表现是</w:t>
      </w:r>
      <w:r w:rsidR="006E4A21">
        <w:rPr>
          <w:rFonts w:hint="eastAsia"/>
        </w:rPr>
        <w:t>融资链条拉长</w:t>
      </w:r>
      <w:r>
        <w:rPr>
          <w:rFonts w:hint="eastAsia"/>
        </w:rPr>
        <w:t>。</w:t>
      </w:r>
      <w:r w:rsidR="00133B60" w:rsidRPr="00DC3A0D">
        <w:rPr>
          <w:rFonts w:hint="eastAsia"/>
        </w:rPr>
        <w:t>在</w:t>
      </w:r>
      <w:r w:rsidR="00CA5453">
        <w:rPr>
          <w:rFonts w:hint="eastAsia"/>
        </w:rPr>
        <w:t>传统</w:t>
      </w:r>
      <w:r w:rsidR="00133B60" w:rsidRPr="00DC3A0D">
        <w:rPr>
          <w:rFonts w:hint="eastAsia"/>
        </w:rPr>
        <w:t>贷款业务中，资金由商业银行直接流向用款企业或居民</w:t>
      </w:r>
      <w:r w:rsidR="00AD66FC">
        <w:rPr>
          <w:rFonts w:hint="eastAsia"/>
        </w:rPr>
        <w:t>，资金传导链条较为直接</w:t>
      </w:r>
      <w:r w:rsidR="00282204">
        <w:rPr>
          <w:rFonts w:hint="eastAsia"/>
        </w:rPr>
        <w:t>。</w:t>
      </w:r>
      <w:r w:rsidR="00EE297A">
        <w:rPr>
          <w:rFonts w:hint="eastAsia"/>
        </w:rPr>
        <w:t>然而</w:t>
      </w:r>
      <w:r w:rsidR="00133B60" w:rsidRPr="00DC3A0D">
        <w:rPr>
          <w:rFonts w:hint="eastAsia"/>
        </w:rPr>
        <w:t>近年来</w:t>
      </w:r>
      <w:r w:rsidR="00282204">
        <w:rPr>
          <w:rFonts w:hint="eastAsia"/>
        </w:rPr>
        <w:t>，</w:t>
      </w:r>
      <w:r w:rsidR="00133B60" w:rsidRPr="00DC3A0D">
        <w:rPr>
          <w:rFonts w:hint="eastAsia"/>
        </w:rPr>
        <w:t>在金融脱媒、规避监管、监管套利等因素的作用下，银行与非银金融机构设计出更为复杂的业务模式，增加了资金在金融系统内传递的环节。代表性的业务模式包括：银信合作、银证合作等“通道</w:t>
      </w:r>
      <w:r w:rsidR="00133B60" w:rsidRPr="00DC3A0D">
        <w:rPr>
          <w:rFonts w:hint="eastAsia"/>
        </w:rPr>
        <w:t>+</w:t>
      </w:r>
      <w:r w:rsidR="00133B60" w:rsidRPr="00DC3A0D">
        <w:rPr>
          <w:rFonts w:hint="eastAsia"/>
        </w:rPr>
        <w:t>非标”模式；商业银行之间相互发行</w:t>
      </w:r>
      <w:r w:rsidR="00D30297">
        <w:rPr>
          <w:rFonts w:hint="eastAsia"/>
        </w:rPr>
        <w:t>和</w:t>
      </w:r>
      <w:r w:rsidR="00133B60" w:rsidRPr="00DC3A0D">
        <w:rPr>
          <w:rFonts w:hint="eastAsia"/>
        </w:rPr>
        <w:t>购买同业存单</w:t>
      </w:r>
      <w:r w:rsidR="00D30297">
        <w:rPr>
          <w:rFonts w:hint="eastAsia"/>
        </w:rPr>
        <w:t>或开展</w:t>
      </w:r>
      <w:r w:rsidR="00133B60" w:rsidRPr="00DC3A0D">
        <w:rPr>
          <w:rFonts w:hint="eastAsia"/>
        </w:rPr>
        <w:t>同业理财业务；</w:t>
      </w:r>
      <w:r w:rsidR="00560EDB">
        <w:rPr>
          <w:rFonts w:hint="eastAsia"/>
        </w:rPr>
        <w:t>商业银行</w:t>
      </w:r>
      <w:r w:rsidR="00133B60" w:rsidRPr="00DC3A0D">
        <w:rPr>
          <w:rFonts w:hint="eastAsia"/>
        </w:rPr>
        <w:t>将资金委托给证券公司、基金公司、保险资管公司等外部机构进行投资。在这些模式下，资金往往至少要经过两个甚至</w:t>
      </w:r>
      <w:r w:rsidR="00182BA7" w:rsidRPr="00DC3A0D">
        <w:rPr>
          <w:rFonts w:hint="eastAsia"/>
        </w:rPr>
        <w:t>多</w:t>
      </w:r>
      <w:r w:rsidR="00133B60" w:rsidRPr="00DC3A0D">
        <w:rPr>
          <w:rFonts w:hint="eastAsia"/>
        </w:rPr>
        <w:t>个中间环节才能传递至实体经济中的最终资金需求方。</w:t>
      </w:r>
    </w:p>
    <w:p w14:paraId="4EF0EC25" w14:textId="081AE5B8" w:rsidR="00133B60" w:rsidRPr="00DC3A0D" w:rsidRDefault="00133B60" w:rsidP="00133B60">
      <w:pPr>
        <w:ind w:firstLineChars="200" w:firstLine="420"/>
      </w:pPr>
      <w:r w:rsidRPr="00DC3A0D">
        <w:rPr>
          <w:rFonts w:hint="eastAsia"/>
        </w:rPr>
        <w:t>由于业务模式复杂多变、数据</w:t>
      </w:r>
      <w:r w:rsidR="00716B8D">
        <w:rPr>
          <w:rFonts w:hint="eastAsia"/>
        </w:rPr>
        <w:t>不透明等原因</w:t>
      </w:r>
      <w:r w:rsidRPr="00DC3A0D">
        <w:rPr>
          <w:rFonts w:hint="eastAsia"/>
        </w:rPr>
        <w:t>，目前文献中尚</w:t>
      </w:r>
      <w:r w:rsidR="00716B8D">
        <w:rPr>
          <w:rFonts w:hint="eastAsia"/>
        </w:rPr>
        <w:t>缺乏对</w:t>
      </w:r>
      <w:r w:rsidRPr="00DC3A0D">
        <w:rPr>
          <w:rFonts w:hint="eastAsia"/>
        </w:rPr>
        <w:t>资金传导链条长度</w:t>
      </w:r>
      <w:r w:rsidR="00716B8D">
        <w:rPr>
          <w:rFonts w:hint="eastAsia"/>
        </w:rPr>
        <w:t>的定量研究</w:t>
      </w:r>
      <w:r w:rsidRPr="00DC3A0D">
        <w:rPr>
          <w:rFonts w:hint="eastAsia"/>
        </w:rPr>
        <w:t>。本文采用</w:t>
      </w:r>
      <w:r w:rsidR="003834AC" w:rsidRPr="00DC3A0D">
        <w:rPr>
          <w:rFonts w:hint="eastAsia"/>
        </w:rPr>
        <w:t>中国人民银行“金融业机构资产负债统计”中的</w:t>
      </w:r>
      <w:r w:rsidR="00390CCA" w:rsidRPr="00DC3A0D">
        <w:rPr>
          <w:rFonts w:hint="eastAsia"/>
        </w:rPr>
        <w:t>其他存款性公司</w:t>
      </w:r>
      <w:r w:rsidR="009F29C1" w:rsidRPr="00DC3A0D">
        <w:rPr>
          <w:rFonts w:hint="eastAsia"/>
        </w:rPr>
        <w:t>资产负债表数据</w:t>
      </w:r>
      <w:r w:rsidR="009F001C" w:rsidRPr="00DC3A0D">
        <w:rPr>
          <w:rFonts w:hint="eastAsia"/>
        </w:rPr>
        <w:t>资料</w:t>
      </w:r>
      <w:r w:rsidR="00151413" w:rsidRPr="00F51C9C">
        <w:rPr>
          <w:rStyle w:val="aa"/>
          <w:highlight w:val="yellow"/>
        </w:rPr>
        <w:footnoteReference w:id="31"/>
      </w:r>
      <w:r w:rsidR="009F29C1" w:rsidRPr="00DC3A0D">
        <w:rPr>
          <w:rFonts w:hint="eastAsia"/>
        </w:rPr>
        <w:t>，</w:t>
      </w:r>
      <w:r w:rsidR="00282204">
        <w:rPr>
          <w:rFonts w:hint="eastAsia"/>
        </w:rPr>
        <w:t>通过</w:t>
      </w:r>
      <w:r w:rsidR="00EC149F" w:rsidRPr="00DC3A0D">
        <w:rPr>
          <w:rFonts w:hint="eastAsia"/>
        </w:rPr>
        <w:t>构建</w:t>
      </w:r>
      <w:r w:rsidRPr="00DC3A0D">
        <w:rPr>
          <w:rFonts w:hint="eastAsia"/>
        </w:rPr>
        <w:t>“（对其他存款性公司债权</w:t>
      </w:r>
      <w:r w:rsidRPr="00DC3A0D">
        <w:rPr>
          <w:rFonts w:hint="eastAsia"/>
        </w:rPr>
        <w:t>+</w:t>
      </w:r>
      <w:r w:rsidRPr="00DC3A0D">
        <w:rPr>
          <w:rFonts w:hint="eastAsia"/>
        </w:rPr>
        <w:t>对其他金融机构债权</w:t>
      </w:r>
      <w:r w:rsidRPr="00DC3A0D">
        <w:rPr>
          <w:rFonts w:hint="eastAsia"/>
        </w:rPr>
        <w:t>+</w:t>
      </w:r>
      <w:r w:rsidR="004B01BE" w:rsidRPr="00DC3A0D">
        <w:rPr>
          <w:rFonts w:hint="eastAsia"/>
        </w:rPr>
        <w:t>对政府债权</w:t>
      </w:r>
      <w:r w:rsidR="004B01BE" w:rsidRPr="00DC3A0D">
        <w:rPr>
          <w:rFonts w:hint="eastAsia"/>
        </w:rPr>
        <w:t>+</w:t>
      </w:r>
      <w:r w:rsidR="001C6616" w:rsidRPr="00DC3A0D">
        <w:rPr>
          <w:rFonts w:hint="eastAsia"/>
        </w:rPr>
        <w:t>对非金融机构债权</w:t>
      </w:r>
      <w:r w:rsidR="00973F17" w:rsidRPr="00DC3A0D">
        <w:rPr>
          <w:rFonts w:hint="eastAsia"/>
        </w:rPr>
        <w:t>+</w:t>
      </w:r>
      <w:r w:rsidR="00973F17" w:rsidRPr="00DC3A0D">
        <w:rPr>
          <w:rFonts w:hint="eastAsia"/>
        </w:rPr>
        <w:t>对其他</w:t>
      </w:r>
      <w:r w:rsidR="00D9060E" w:rsidRPr="00DC3A0D">
        <w:rPr>
          <w:rFonts w:hint="eastAsia"/>
        </w:rPr>
        <w:t>住户部门</w:t>
      </w:r>
      <w:r w:rsidR="00973F17" w:rsidRPr="00DC3A0D">
        <w:rPr>
          <w:rFonts w:hint="eastAsia"/>
        </w:rPr>
        <w:t>债权</w:t>
      </w:r>
      <w:r w:rsidRPr="00DC3A0D">
        <w:rPr>
          <w:rFonts w:hint="eastAsia"/>
        </w:rPr>
        <w:t>）</w:t>
      </w:r>
      <w:r w:rsidRPr="00DC3A0D">
        <w:rPr>
          <w:rFonts w:hint="eastAsia"/>
        </w:rPr>
        <w:t>/</w:t>
      </w:r>
      <w:r w:rsidR="004B01BE" w:rsidRPr="00DC3A0D">
        <w:rPr>
          <w:rFonts w:hint="eastAsia"/>
        </w:rPr>
        <w:t>（对政府债权</w:t>
      </w:r>
      <w:r w:rsidR="004B01BE" w:rsidRPr="00DC3A0D">
        <w:rPr>
          <w:rFonts w:hint="eastAsia"/>
        </w:rPr>
        <w:t>+</w:t>
      </w:r>
      <w:r w:rsidR="004B01BE" w:rsidRPr="00DC3A0D">
        <w:rPr>
          <w:rFonts w:hint="eastAsia"/>
        </w:rPr>
        <w:t>对非金融机构债权</w:t>
      </w:r>
      <w:r w:rsidR="004B01BE" w:rsidRPr="00DC3A0D">
        <w:rPr>
          <w:rFonts w:hint="eastAsia"/>
        </w:rPr>
        <w:t>+</w:t>
      </w:r>
      <w:r w:rsidR="004B01BE" w:rsidRPr="00DC3A0D">
        <w:rPr>
          <w:rFonts w:hint="eastAsia"/>
        </w:rPr>
        <w:t>对其他</w:t>
      </w:r>
      <w:r w:rsidR="00D9060E" w:rsidRPr="00DC3A0D">
        <w:rPr>
          <w:rFonts w:hint="eastAsia"/>
        </w:rPr>
        <w:t>住户部门</w:t>
      </w:r>
      <w:r w:rsidR="004B01BE" w:rsidRPr="00DC3A0D">
        <w:rPr>
          <w:rFonts w:hint="eastAsia"/>
        </w:rPr>
        <w:t>债权）</w:t>
      </w:r>
      <w:r w:rsidRPr="00DC3A0D">
        <w:rPr>
          <w:rFonts w:hint="eastAsia"/>
        </w:rPr>
        <w:t>”指标来简化衡量</w:t>
      </w:r>
      <w:r w:rsidR="00EB6AEC" w:rsidRPr="00DC3A0D">
        <w:rPr>
          <w:rFonts w:hint="eastAsia"/>
        </w:rPr>
        <w:t>正规</w:t>
      </w:r>
      <w:r w:rsidRPr="00DC3A0D">
        <w:rPr>
          <w:rFonts w:hint="eastAsia"/>
        </w:rPr>
        <w:t>金融</w:t>
      </w:r>
      <w:r w:rsidR="00EB6AEC" w:rsidRPr="00DC3A0D">
        <w:rPr>
          <w:rFonts w:hint="eastAsia"/>
        </w:rPr>
        <w:t>体系</w:t>
      </w:r>
      <w:r w:rsidR="00D14672" w:rsidRPr="00DC3A0D">
        <w:rPr>
          <w:rFonts w:hint="eastAsia"/>
        </w:rPr>
        <w:t>中</w:t>
      </w:r>
      <w:r w:rsidRPr="00DC3A0D">
        <w:rPr>
          <w:rFonts w:hint="eastAsia"/>
        </w:rPr>
        <w:t>债权类资金</w:t>
      </w:r>
      <w:r w:rsidR="00E53D66" w:rsidRPr="00DC3A0D">
        <w:rPr>
          <w:rFonts w:hint="eastAsia"/>
        </w:rPr>
        <w:t>流向</w:t>
      </w:r>
      <w:r w:rsidR="00CA57C9" w:rsidRPr="00DC3A0D">
        <w:rPr>
          <w:rFonts w:hint="eastAsia"/>
        </w:rPr>
        <w:t>实体经济</w:t>
      </w:r>
      <w:r w:rsidRPr="00DC3A0D">
        <w:rPr>
          <w:rFonts w:hint="eastAsia"/>
        </w:rPr>
        <w:t>的传导链条长度</w:t>
      </w:r>
      <w:r w:rsidRPr="00F51C9C">
        <w:rPr>
          <w:highlight w:val="yellow"/>
          <w:vertAlign w:val="superscript"/>
        </w:rPr>
        <w:footnoteReference w:id="32"/>
      </w:r>
      <w:r w:rsidRPr="00DC3A0D">
        <w:rPr>
          <w:rFonts w:hint="eastAsia"/>
        </w:rPr>
        <w:t>。其中</w:t>
      </w:r>
      <w:r w:rsidR="00282204">
        <w:rPr>
          <w:rFonts w:hint="eastAsia"/>
        </w:rPr>
        <w:t>，</w:t>
      </w:r>
      <w:r w:rsidR="003B4A6F" w:rsidRPr="00DC3A0D">
        <w:rPr>
          <w:rFonts w:hint="eastAsia"/>
        </w:rPr>
        <w:t>“对政府债权</w:t>
      </w:r>
      <w:r w:rsidR="003B4A6F" w:rsidRPr="00DC3A0D">
        <w:rPr>
          <w:rFonts w:hint="eastAsia"/>
        </w:rPr>
        <w:t>+</w:t>
      </w:r>
      <w:r w:rsidR="003B4A6F" w:rsidRPr="00DC3A0D">
        <w:rPr>
          <w:rFonts w:hint="eastAsia"/>
        </w:rPr>
        <w:t>对非金融机构债权</w:t>
      </w:r>
      <w:r w:rsidR="003B4A6F" w:rsidRPr="00DC3A0D">
        <w:rPr>
          <w:rFonts w:hint="eastAsia"/>
        </w:rPr>
        <w:t>+</w:t>
      </w:r>
      <w:r w:rsidR="003B4A6F" w:rsidRPr="00DC3A0D">
        <w:rPr>
          <w:rFonts w:hint="eastAsia"/>
        </w:rPr>
        <w:t>对其他</w:t>
      </w:r>
      <w:r w:rsidR="00D9060E" w:rsidRPr="00DC3A0D">
        <w:rPr>
          <w:rFonts w:hint="eastAsia"/>
        </w:rPr>
        <w:t>住户部门</w:t>
      </w:r>
      <w:r w:rsidR="003B4A6F" w:rsidRPr="00DC3A0D">
        <w:rPr>
          <w:rFonts w:hint="eastAsia"/>
        </w:rPr>
        <w:t>债权”</w:t>
      </w:r>
      <w:r w:rsidRPr="00DC3A0D">
        <w:rPr>
          <w:rFonts w:hint="eastAsia"/>
        </w:rPr>
        <w:t>表示实体经济</w:t>
      </w:r>
      <w:r w:rsidR="003B4A6F" w:rsidRPr="00DC3A0D">
        <w:rPr>
          <w:rFonts w:hint="eastAsia"/>
        </w:rPr>
        <w:t>作为</w:t>
      </w:r>
      <w:r w:rsidRPr="00DC3A0D">
        <w:rPr>
          <w:rFonts w:hint="eastAsia"/>
        </w:rPr>
        <w:t>资金</w:t>
      </w:r>
      <w:r w:rsidR="003B4A6F" w:rsidRPr="00DC3A0D">
        <w:rPr>
          <w:rFonts w:hint="eastAsia"/>
        </w:rPr>
        <w:t>最终</w:t>
      </w:r>
      <w:r w:rsidRPr="00DC3A0D">
        <w:rPr>
          <w:rFonts w:hint="eastAsia"/>
        </w:rPr>
        <w:t>使用方获得的</w:t>
      </w:r>
      <w:r w:rsidR="00DA5321">
        <w:rPr>
          <w:rFonts w:hint="eastAsia"/>
        </w:rPr>
        <w:t>债权</w:t>
      </w:r>
      <w:r w:rsidR="00E742BD" w:rsidRPr="00DC3A0D">
        <w:rPr>
          <w:rFonts w:hint="eastAsia"/>
        </w:rPr>
        <w:t>资金额</w:t>
      </w:r>
      <w:r w:rsidRPr="00DC3A0D">
        <w:rPr>
          <w:rFonts w:hint="eastAsia"/>
        </w:rPr>
        <w:t>，</w:t>
      </w:r>
      <w:r w:rsidR="0004456F">
        <w:rPr>
          <w:rFonts w:hint="eastAsia"/>
        </w:rPr>
        <w:t>“</w:t>
      </w:r>
      <w:r w:rsidRPr="00DC3A0D">
        <w:rPr>
          <w:rFonts w:hint="eastAsia"/>
        </w:rPr>
        <w:t>对其他存款性公司债权</w:t>
      </w:r>
      <w:r w:rsidR="0004456F">
        <w:rPr>
          <w:rFonts w:hint="eastAsia"/>
        </w:rPr>
        <w:t>”</w:t>
      </w:r>
      <w:r w:rsidRPr="00DC3A0D">
        <w:rPr>
          <w:rFonts w:hint="eastAsia"/>
        </w:rPr>
        <w:t>和</w:t>
      </w:r>
      <w:r w:rsidR="0004456F">
        <w:rPr>
          <w:rFonts w:hint="eastAsia"/>
        </w:rPr>
        <w:t>“</w:t>
      </w:r>
      <w:r w:rsidRPr="00DC3A0D">
        <w:rPr>
          <w:rFonts w:hint="eastAsia"/>
        </w:rPr>
        <w:t>对其他金融机构债权</w:t>
      </w:r>
      <w:r w:rsidR="0004456F">
        <w:rPr>
          <w:rFonts w:hint="eastAsia"/>
        </w:rPr>
        <w:t>”</w:t>
      </w:r>
      <w:r w:rsidRPr="00DC3A0D">
        <w:rPr>
          <w:rFonts w:hint="eastAsia"/>
        </w:rPr>
        <w:t>表示资金在银行之间以及在银行与非银金融机构之间的传导。</w:t>
      </w:r>
      <w:r w:rsidR="009A7D9F" w:rsidRPr="00DC3A0D">
        <w:rPr>
          <w:rFonts w:hint="eastAsia"/>
        </w:rPr>
        <w:t>该指标</w:t>
      </w:r>
      <w:r w:rsidRPr="00DC3A0D">
        <w:rPr>
          <w:rFonts w:hint="eastAsia"/>
        </w:rPr>
        <w:t>在</w:t>
      </w:r>
      <w:r w:rsidR="007B60BA" w:rsidRPr="00DC3A0D">
        <w:rPr>
          <w:rFonts w:hint="eastAsia"/>
        </w:rPr>
        <w:t>2</w:t>
      </w:r>
      <w:r w:rsidR="007B60BA" w:rsidRPr="00DC3A0D">
        <w:t>010</w:t>
      </w:r>
      <w:r w:rsidRPr="00DC3A0D">
        <w:rPr>
          <w:rFonts w:hint="eastAsia"/>
        </w:rPr>
        <w:t>年之后</w:t>
      </w:r>
      <w:r w:rsidR="004F6845" w:rsidRPr="00DC3A0D">
        <w:rPr>
          <w:rFonts w:hint="eastAsia"/>
        </w:rPr>
        <w:t>上升速度较快</w:t>
      </w:r>
      <w:r w:rsidRPr="00DC3A0D">
        <w:rPr>
          <w:rFonts w:hint="eastAsia"/>
        </w:rPr>
        <w:t>，由</w:t>
      </w:r>
      <w:r w:rsidRPr="00DC3A0D">
        <w:rPr>
          <w:rFonts w:hint="eastAsia"/>
        </w:rPr>
        <w:t>1</w:t>
      </w:r>
      <w:r w:rsidRPr="00DC3A0D">
        <w:t>.</w:t>
      </w:r>
      <w:r w:rsidR="007B60BA" w:rsidRPr="00DC3A0D">
        <w:t>2</w:t>
      </w:r>
      <w:r w:rsidRPr="00DC3A0D">
        <w:rPr>
          <w:rFonts w:hint="eastAsia"/>
        </w:rPr>
        <w:t>左右</w:t>
      </w:r>
      <w:r w:rsidR="00254DEB" w:rsidRPr="00DC3A0D">
        <w:rPr>
          <w:rFonts w:hint="eastAsia"/>
        </w:rPr>
        <w:t>抬升至</w:t>
      </w:r>
      <w:r w:rsidR="007B60BA" w:rsidRPr="00DC3A0D">
        <w:t>1.4</w:t>
      </w:r>
      <w:r w:rsidR="007B60BA" w:rsidRPr="00DC3A0D">
        <w:rPr>
          <w:rFonts w:hint="eastAsia"/>
        </w:rPr>
        <w:t>以上</w:t>
      </w:r>
      <w:r w:rsidRPr="00DC3A0D">
        <w:rPr>
          <w:rFonts w:hint="eastAsia"/>
        </w:rPr>
        <w:t>。这意味着，实体经济终端资金使用者从正规金融体系中每获得</w:t>
      </w:r>
      <w:r w:rsidRPr="00DC3A0D">
        <w:rPr>
          <w:rFonts w:hint="eastAsia"/>
        </w:rPr>
        <w:t>1</w:t>
      </w:r>
      <w:r w:rsidRPr="00DC3A0D">
        <w:rPr>
          <w:rFonts w:hint="eastAsia"/>
        </w:rPr>
        <w:t>亿元的债务资金，相应的金融系统内部的债权债务</w:t>
      </w:r>
      <w:r w:rsidR="00501780">
        <w:rPr>
          <w:rFonts w:hint="eastAsia"/>
        </w:rPr>
        <w:t>合约</w:t>
      </w:r>
      <w:r w:rsidRPr="00DC3A0D">
        <w:rPr>
          <w:rFonts w:hint="eastAsia"/>
        </w:rPr>
        <w:t>平均而言由原来的</w:t>
      </w:r>
      <w:r w:rsidR="005463DA" w:rsidRPr="00DC3A0D">
        <w:t>2000</w:t>
      </w:r>
      <w:r w:rsidRPr="00DC3A0D">
        <w:rPr>
          <w:rFonts w:hint="eastAsia"/>
        </w:rPr>
        <w:t>万元增长到了</w:t>
      </w:r>
      <w:r w:rsidR="0069198D" w:rsidRPr="00DC3A0D">
        <w:t>4</w:t>
      </w:r>
      <w:r w:rsidRPr="00DC3A0D">
        <w:t>000</w:t>
      </w:r>
      <w:r w:rsidRPr="00DC3A0D">
        <w:rPr>
          <w:rFonts w:hint="eastAsia"/>
        </w:rPr>
        <w:t>万元。</w:t>
      </w:r>
      <w:r w:rsidR="00970194" w:rsidRPr="00DC3A0D">
        <w:rPr>
          <w:rFonts w:hint="eastAsia"/>
        </w:rPr>
        <w:t>图</w:t>
      </w:r>
      <w:r w:rsidR="000D389C">
        <w:t>9</w:t>
      </w:r>
      <w:r w:rsidR="00970194" w:rsidRPr="00DC3A0D">
        <w:rPr>
          <w:rFonts w:hint="eastAsia"/>
        </w:rPr>
        <w:t>中，对其他存款性公司债权和对其他金融机构债权</w:t>
      </w:r>
      <w:r w:rsidR="00501780">
        <w:rPr>
          <w:rFonts w:hint="eastAsia"/>
        </w:rPr>
        <w:t>规模</w:t>
      </w:r>
      <w:r w:rsidR="00970194" w:rsidRPr="00DC3A0D">
        <w:rPr>
          <w:rFonts w:hint="eastAsia"/>
        </w:rPr>
        <w:t>在</w:t>
      </w:r>
      <w:r w:rsidR="00970194" w:rsidRPr="00DC3A0D">
        <w:rPr>
          <w:rFonts w:hint="eastAsia"/>
        </w:rPr>
        <w:t>2</w:t>
      </w:r>
      <w:r w:rsidR="00970194" w:rsidRPr="00DC3A0D">
        <w:t>010</w:t>
      </w:r>
      <w:r w:rsidR="00970194" w:rsidRPr="00DC3A0D">
        <w:rPr>
          <w:rFonts w:hint="eastAsia"/>
        </w:rPr>
        <w:t>年之后</w:t>
      </w:r>
      <w:r w:rsidR="00622E69" w:rsidRPr="00DC3A0D">
        <w:rPr>
          <w:rFonts w:hint="eastAsia"/>
        </w:rPr>
        <w:t>一段时期</w:t>
      </w:r>
      <w:r w:rsidR="00970194" w:rsidRPr="00DC3A0D">
        <w:rPr>
          <w:rFonts w:hint="eastAsia"/>
        </w:rPr>
        <w:t>的</w:t>
      </w:r>
      <w:r w:rsidR="00501780">
        <w:rPr>
          <w:rFonts w:hint="eastAsia"/>
        </w:rPr>
        <w:t>快速扩张</w:t>
      </w:r>
      <w:r w:rsidR="006106C9" w:rsidRPr="00DC3A0D">
        <w:rPr>
          <w:rFonts w:hint="eastAsia"/>
        </w:rPr>
        <w:t>也</w:t>
      </w:r>
      <w:r w:rsidR="004D4C70" w:rsidRPr="00DC3A0D">
        <w:rPr>
          <w:rFonts w:hint="eastAsia"/>
        </w:rPr>
        <w:t>印证了这一点</w:t>
      </w:r>
      <w:r w:rsidR="00970194" w:rsidRPr="00DC3A0D">
        <w:rPr>
          <w:rFonts w:hint="eastAsia"/>
        </w:rPr>
        <w:t>。</w:t>
      </w:r>
      <w:r w:rsidRPr="00DC3A0D">
        <w:rPr>
          <w:rFonts w:hint="eastAsia"/>
        </w:rPr>
        <w:t>2</w:t>
      </w:r>
      <w:r w:rsidRPr="00DC3A0D">
        <w:t>017</w:t>
      </w:r>
      <w:r w:rsidRPr="00DC3A0D">
        <w:rPr>
          <w:rFonts w:hint="eastAsia"/>
        </w:rPr>
        <w:t>年</w:t>
      </w:r>
      <w:r w:rsidR="003B2678">
        <w:rPr>
          <w:rFonts w:hint="eastAsia"/>
        </w:rPr>
        <w:t>以</w:t>
      </w:r>
      <w:r w:rsidRPr="00DC3A0D">
        <w:rPr>
          <w:rFonts w:hint="eastAsia"/>
        </w:rPr>
        <w:t>后</w:t>
      </w:r>
      <w:r w:rsidR="009901BC">
        <w:rPr>
          <w:rFonts w:hint="eastAsia"/>
        </w:rPr>
        <w:t>，</w:t>
      </w:r>
      <w:r w:rsidRPr="00DC3A0D">
        <w:rPr>
          <w:rFonts w:hint="eastAsia"/>
        </w:rPr>
        <w:t>随着政策当局对影子银行业务的</w:t>
      </w:r>
      <w:r w:rsidRPr="00DC3A0D">
        <w:rPr>
          <w:rFonts w:hint="eastAsia"/>
        </w:rPr>
        <w:lastRenderedPageBreak/>
        <w:t>治理，</w:t>
      </w:r>
      <w:r w:rsidR="003002F5" w:rsidRPr="00DC3A0D">
        <w:rPr>
          <w:rFonts w:hint="eastAsia"/>
        </w:rPr>
        <w:t>金融体系内部的</w:t>
      </w:r>
      <w:r w:rsidR="009901BC">
        <w:rPr>
          <w:rFonts w:hint="eastAsia"/>
        </w:rPr>
        <w:t>“资金空转”问题得到一定程度遏制</w:t>
      </w:r>
      <w:r w:rsidR="003002F5" w:rsidRPr="00DC3A0D">
        <w:rPr>
          <w:rFonts w:hint="eastAsia"/>
        </w:rPr>
        <w:t>，</w:t>
      </w:r>
      <w:r w:rsidR="00B62756" w:rsidRPr="00DC3A0D">
        <w:rPr>
          <w:rFonts w:hint="eastAsia"/>
        </w:rPr>
        <w:t>上述资金传导链条</w:t>
      </w:r>
      <w:r w:rsidR="009D4C5F" w:rsidRPr="00DC3A0D">
        <w:rPr>
          <w:rFonts w:hint="eastAsia"/>
        </w:rPr>
        <w:t>长度</w:t>
      </w:r>
      <w:r w:rsidR="00B62756" w:rsidRPr="00DC3A0D">
        <w:rPr>
          <w:rFonts w:hint="eastAsia"/>
        </w:rPr>
        <w:t>指标</w:t>
      </w:r>
      <w:r w:rsidR="00752A09" w:rsidRPr="00DC3A0D">
        <w:rPr>
          <w:rFonts w:hint="eastAsia"/>
        </w:rPr>
        <w:t>也</w:t>
      </w:r>
      <w:r w:rsidR="004476C1">
        <w:rPr>
          <w:rFonts w:hint="eastAsia"/>
        </w:rPr>
        <w:t>相应地</w:t>
      </w:r>
      <w:r w:rsidR="00287D8D" w:rsidRPr="00DC3A0D">
        <w:rPr>
          <w:rFonts w:hint="eastAsia"/>
        </w:rPr>
        <w:t>转升为降</w:t>
      </w:r>
      <w:r w:rsidRPr="00DC3A0D">
        <w:rPr>
          <w:rFonts w:hint="eastAsia"/>
        </w:rPr>
        <w:t>。</w:t>
      </w:r>
    </w:p>
    <w:p w14:paraId="0BA0251B" w14:textId="2AF47834" w:rsidR="00133B60" w:rsidRPr="00DC3A0D" w:rsidRDefault="00133B60" w:rsidP="00133B60">
      <w:pPr>
        <w:ind w:firstLineChars="200" w:firstLine="420"/>
      </w:pPr>
      <w:r w:rsidRPr="00DC3A0D">
        <w:rPr>
          <w:rFonts w:hint="eastAsia"/>
        </w:rPr>
        <w:t>需要</w:t>
      </w:r>
      <w:r w:rsidR="004D7849">
        <w:rPr>
          <w:rFonts w:hint="eastAsia"/>
        </w:rPr>
        <w:t>特别</w:t>
      </w:r>
      <w:r w:rsidRPr="00DC3A0D">
        <w:rPr>
          <w:rFonts w:hint="eastAsia"/>
        </w:rPr>
        <w:t>澄清的是，资金传导链条</w:t>
      </w:r>
      <w:r w:rsidR="001D4422">
        <w:rPr>
          <w:rFonts w:hint="eastAsia"/>
        </w:rPr>
        <w:t>拉长</w:t>
      </w:r>
      <w:r w:rsidRPr="00DC3A0D">
        <w:rPr>
          <w:rFonts w:hint="eastAsia"/>
        </w:rPr>
        <w:t>是否必然意味着</w:t>
      </w:r>
      <w:r w:rsidR="000C3CFD" w:rsidRPr="00DC3A0D">
        <w:rPr>
          <w:rFonts w:hint="eastAsia"/>
        </w:rPr>
        <w:t>融资</w:t>
      </w:r>
      <w:r w:rsidR="00B83627">
        <w:rPr>
          <w:rFonts w:hint="eastAsia"/>
        </w:rPr>
        <w:t>渠道</w:t>
      </w:r>
      <w:r w:rsidRPr="00DC3A0D">
        <w:rPr>
          <w:rFonts w:hint="eastAsia"/>
        </w:rPr>
        <w:t>效率</w:t>
      </w:r>
      <w:r w:rsidR="00385CF5">
        <w:rPr>
          <w:rFonts w:hint="eastAsia"/>
        </w:rPr>
        <w:t>降低</w:t>
      </w:r>
      <w:r w:rsidRPr="00DC3A0D">
        <w:rPr>
          <w:rFonts w:hint="eastAsia"/>
        </w:rPr>
        <w:t>，仍然是一个存在争议的开放性问题。</w:t>
      </w:r>
      <w:r w:rsidR="00F35B79">
        <w:rPr>
          <w:rFonts w:hint="eastAsia"/>
        </w:rPr>
        <w:t>近年来</w:t>
      </w:r>
      <w:r w:rsidR="004476C1">
        <w:rPr>
          <w:rFonts w:hint="eastAsia"/>
        </w:rPr>
        <w:t>，</w:t>
      </w:r>
      <w:r w:rsidRPr="00DC3A0D">
        <w:rPr>
          <w:rFonts w:hint="eastAsia"/>
        </w:rPr>
        <w:t>非银金融业务发展的过程以及银行与非银金融相互融合的过程</w:t>
      </w:r>
      <w:r w:rsidR="00F35B79">
        <w:rPr>
          <w:rFonts w:hint="eastAsia"/>
        </w:rPr>
        <w:t>，</w:t>
      </w:r>
      <w:r w:rsidRPr="00DC3A0D">
        <w:rPr>
          <w:rFonts w:hint="eastAsia"/>
        </w:rPr>
        <w:t>主要是在两方面因素的推动</w:t>
      </w:r>
      <w:r w:rsidR="0023608F">
        <w:rPr>
          <w:rFonts w:hint="eastAsia"/>
        </w:rPr>
        <w:t>发生</w:t>
      </w:r>
      <w:r w:rsidRPr="00DC3A0D">
        <w:rPr>
          <w:rFonts w:hint="eastAsia"/>
        </w:rPr>
        <w:t>的</w:t>
      </w:r>
      <w:r w:rsidR="004476C1">
        <w:rPr>
          <w:rFonts w:hint="eastAsia"/>
        </w:rPr>
        <w:t>。</w:t>
      </w:r>
      <w:r w:rsidR="001D0AF0">
        <w:rPr>
          <w:rFonts w:hint="eastAsia"/>
        </w:rPr>
        <w:t>第一个</w:t>
      </w:r>
      <w:r w:rsidR="00C86385">
        <w:rPr>
          <w:rFonts w:hint="eastAsia"/>
        </w:rPr>
        <w:t>因素是</w:t>
      </w:r>
      <w:r w:rsidRPr="00DC3A0D">
        <w:rPr>
          <w:rFonts w:hint="eastAsia"/>
        </w:rPr>
        <w:t>监管套利与监管规避。例如，在</w:t>
      </w:r>
      <w:r w:rsidRPr="00DC3A0D">
        <w:rPr>
          <w:rFonts w:hint="eastAsia"/>
        </w:rPr>
        <w:t>2</w:t>
      </w:r>
      <w:r w:rsidRPr="00DC3A0D">
        <w:t>015</w:t>
      </w:r>
      <w:r w:rsidRPr="00DC3A0D">
        <w:rPr>
          <w:rFonts w:hint="eastAsia"/>
        </w:rPr>
        <w:t>年</w:t>
      </w:r>
      <w:r w:rsidRPr="00DC3A0D">
        <w:rPr>
          <w:rFonts w:hint="eastAsia"/>
        </w:rPr>
        <w:t>6</w:t>
      </w:r>
      <w:r w:rsidRPr="00DC3A0D">
        <w:rPr>
          <w:rFonts w:hint="eastAsia"/>
        </w:rPr>
        <w:t>月“存贷比”监管指标取消之前，由于表外理财产品不纳入存贷比考核，因而银行有激励</w:t>
      </w:r>
      <w:r w:rsidR="00B03F67">
        <w:rPr>
          <w:rFonts w:hint="eastAsia"/>
        </w:rPr>
        <w:t>一方面</w:t>
      </w:r>
      <w:r w:rsidRPr="00DC3A0D">
        <w:rPr>
          <w:rFonts w:hint="eastAsia"/>
        </w:rPr>
        <w:t>在发行理财产品与吸收存款之间进行套利</w:t>
      </w:r>
      <w:r w:rsidR="00B03F67">
        <w:rPr>
          <w:rFonts w:hint="eastAsia"/>
        </w:rPr>
        <w:t>，另一方面通过银信合作、银证合作等模式使得</w:t>
      </w:r>
      <w:r w:rsidRPr="00DC3A0D">
        <w:rPr>
          <w:rFonts w:hint="eastAsia"/>
        </w:rPr>
        <w:t>理财资金通过信托计划、基金、证券资管计划等非银</w:t>
      </w:r>
      <w:r w:rsidR="00A85838">
        <w:rPr>
          <w:rFonts w:hint="eastAsia"/>
        </w:rPr>
        <w:t>金融</w:t>
      </w:r>
      <w:r w:rsidRPr="00DC3A0D">
        <w:rPr>
          <w:rFonts w:hint="eastAsia"/>
        </w:rPr>
        <w:t>途径</w:t>
      </w:r>
      <w:r w:rsidR="004341E8">
        <w:rPr>
          <w:rFonts w:hint="eastAsia"/>
        </w:rPr>
        <w:t>间接</w:t>
      </w:r>
      <w:r w:rsidRPr="00DC3A0D">
        <w:rPr>
          <w:rFonts w:hint="eastAsia"/>
        </w:rPr>
        <w:t>传导至实体经济。又如，在</w:t>
      </w:r>
      <w:r w:rsidRPr="00DC3A0D">
        <w:rPr>
          <w:rFonts w:hint="eastAsia"/>
        </w:rPr>
        <w:t>2</w:t>
      </w:r>
      <w:r w:rsidRPr="00DC3A0D">
        <w:t>017</w:t>
      </w:r>
      <w:r w:rsidRPr="00DC3A0D">
        <w:rPr>
          <w:rFonts w:hint="eastAsia"/>
        </w:rPr>
        <w:t>年表外理财纳入</w:t>
      </w:r>
      <w:r w:rsidRPr="00DC3A0D">
        <w:t>MPA</w:t>
      </w:r>
      <w:r w:rsidR="001D0AF0">
        <w:rPr>
          <w:rFonts w:hint="eastAsia"/>
        </w:rPr>
        <w:t>（</w:t>
      </w:r>
      <w:r w:rsidRPr="00DC3A0D">
        <w:t>宏观审慎评估体系</w:t>
      </w:r>
      <w:r w:rsidR="001D0AF0">
        <w:rPr>
          <w:rFonts w:hint="eastAsia"/>
        </w:rPr>
        <w:t>）</w:t>
      </w:r>
      <w:r w:rsidRPr="00DC3A0D">
        <w:t>考核</w:t>
      </w:r>
      <w:r w:rsidRPr="00DC3A0D">
        <w:rPr>
          <w:rFonts w:hint="eastAsia"/>
        </w:rPr>
        <w:t>之前，银行有激励通过表外理财向政策限制类项目或高风险项目输送资金，进行表外信贷扩张。</w:t>
      </w:r>
      <w:r w:rsidR="001D0AF0">
        <w:rPr>
          <w:rFonts w:hint="eastAsia"/>
        </w:rPr>
        <w:t>第二个</w:t>
      </w:r>
      <w:r w:rsidR="00C86385">
        <w:rPr>
          <w:rFonts w:hint="eastAsia"/>
        </w:rPr>
        <w:t>因素是</w:t>
      </w:r>
      <w:r w:rsidRPr="00DC3A0D">
        <w:rPr>
          <w:rFonts w:hint="eastAsia"/>
        </w:rPr>
        <w:t>金融业内部专业分工的不断细化。例如，由于网点覆盖、人员配备等方面的差异，地域性</w:t>
      </w:r>
      <w:r w:rsidR="00015452">
        <w:rPr>
          <w:rFonts w:hint="eastAsia"/>
        </w:rPr>
        <w:t>中小商业银行</w:t>
      </w:r>
      <w:r w:rsidRPr="00DC3A0D">
        <w:rPr>
          <w:rFonts w:hint="eastAsia"/>
        </w:rPr>
        <w:t>相比于全国性大型银行而言，在服务本地中小微企业方面可能具有比较优势。又如，相比于银行而言，信托公司能够通过更灵活的合约设计向融资主体提供具有针对性的差异化服务。</w:t>
      </w:r>
      <w:r w:rsidR="0029019C">
        <w:rPr>
          <w:rFonts w:hint="eastAsia"/>
        </w:rPr>
        <w:t>尽管</w:t>
      </w:r>
      <w:r w:rsidRPr="00DC3A0D">
        <w:rPr>
          <w:rFonts w:hint="eastAsia"/>
        </w:rPr>
        <w:t>上述两</w:t>
      </w:r>
      <w:r w:rsidR="008036F8">
        <w:rPr>
          <w:rFonts w:hint="eastAsia"/>
        </w:rPr>
        <w:t>类</w:t>
      </w:r>
      <w:r w:rsidRPr="00DC3A0D">
        <w:rPr>
          <w:rFonts w:hint="eastAsia"/>
        </w:rPr>
        <w:t>因素都可能</w:t>
      </w:r>
      <w:r w:rsidR="0029019C">
        <w:rPr>
          <w:rFonts w:hint="eastAsia"/>
        </w:rPr>
        <w:t>导致</w:t>
      </w:r>
      <w:r w:rsidRPr="00DC3A0D">
        <w:rPr>
          <w:rFonts w:hint="eastAsia"/>
        </w:rPr>
        <w:t>资金传导链条</w:t>
      </w:r>
      <w:r w:rsidR="0029019C">
        <w:rPr>
          <w:rFonts w:hint="eastAsia"/>
        </w:rPr>
        <w:t>拉长</w:t>
      </w:r>
      <w:r w:rsidRPr="00DC3A0D">
        <w:rPr>
          <w:rFonts w:hint="eastAsia"/>
        </w:rPr>
        <w:t>，但前者</w:t>
      </w:r>
      <w:r w:rsidR="008036F8">
        <w:rPr>
          <w:rFonts w:hint="eastAsia"/>
        </w:rPr>
        <w:t>总体上</w:t>
      </w:r>
      <w:r w:rsidRPr="00DC3A0D">
        <w:rPr>
          <w:rFonts w:hint="eastAsia"/>
        </w:rPr>
        <w:t>不利于资金有效配置，后者</w:t>
      </w:r>
      <w:r w:rsidR="008036F8">
        <w:rPr>
          <w:rFonts w:hint="eastAsia"/>
        </w:rPr>
        <w:t>总体上</w:t>
      </w:r>
      <w:r w:rsidRPr="00DC3A0D">
        <w:rPr>
          <w:rFonts w:hint="eastAsia"/>
        </w:rPr>
        <w:t>有利于资金有效配置</w:t>
      </w:r>
      <w:r w:rsidR="00537A93">
        <w:rPr>
          <w:rFonts w:hint="eastAsia"/>
        </w:rPr>
        <w:t>，</w:t>
      </w:r>
      <w:r w:rsidR="00DF5143">
        <w:rPr>
          <w:rFonts w:hint="eastAsia"/>
        </w:rPr>
        <w:t>不论在学术研究中还是在政策监管中都</w:t>
      </w:r>
      <w:r w:rsidR="008036F8">
        <w:rPr>
          <w:rFonts w:hint="eastAsia"/>
        </w:rPr>
        <w:t>应</w:t>
      </w:r>
      <w:r w:rsidR="00B12B35">
        <w:rPr>
          <w:rFonts w:hint="eastAsia"/>
        </w:rPr>
        <w:t>加以仔细甄别</w:t>
      </w:r>
      <w:r w:rsidR="00A47FDD">
        <w:rPr>
          <w:rFonts w:hint="eastAsia"/>
        </w:rPr>
        <w:t>，</w:t>
      </w:r>
      <w:r w:rsidR="008036F8">
        <w:rPr>
          <w:rFonts w:hint="eastAsia"/>
        </w:rPr>
        <w:t>区分</w:t>
      </w:r>
      <w:r w:rsidR="00DA5668">
        <w:rPr>
          <w:rFonts w:hint="eastAsia"/>
        </w:rPr>
        <w:t>对待</w:t>
      </w:r>
      <w:r w:rsidRPr="00DC3A0D">
        <w:rPr>
          <w:rFonts w:hint="eastAsia"/>
        </w:rPr>
        <w:t>。</w:t>
      </w:r>
    </w:p>
    <w:p w14:paraId="69E32454" w14:textId="77777777" w:rsidR="007A142C" w:rsidRPr="00DC3A0D" w:rsidRDefault="007A142C" w:rsidP="007A142C">
      <w:pPr>
        <w:jc w:val="center"/>
      </w:pPr>
      <w:r w:rsidRPr="00DC3A0D">
        <w:rPr>
          <w:noProof/>
        </w:rPr>
        <w:drawing>
          <wp:inline distT="0" distB="0" distL="0" distR="0" wp14:anchorId="20E680DA" wp14:editId="2BD69A70">
            <wp:extent cx="3063123" cy="1841132"/>
            <wp:effectExtent l="0" t="0" r="4445"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3063123" cy="1841132"/>
                    </a:xfrm>
                    <a:prstGeom prst="rect">
                      <a:avLst/>
                    </a:prstGeom>
                    <a:noFill/>
                  </pic:spPr>
                </pic:pic>
              </a:graphicData>
            </a:graphic>
          </wp:inline>
        </w:drawing>
      </w:r>
    </w:p>
    <w:p w14:paraId="49F59A9C" w14:textId="3755E2F4" w:rsidR="007A142C" w:rsidRPr="00DC3A0D" w:rsidRDefault="007A142C" w:rsidP="007A142C">
      <w:pPr>
        <w:spacing w:line="276" w:lineRule="auto"/>
        <w:jc w:val="center"/>
        <w:rPr>
          <w:rFonts w:ascii="楷体" w:eastAsia="楷体" w:hAnsi="楷体"/>
          <w:noProof/>
          <w:szCs w:val="21"/>
        </w:rPr>
      </w:pPr>
      <w:r w:rsidRPr="00DC3A0D">
        <w:rPr>
          <w:rFonts w:ascii="楷体" w:eastAsia="楷体" w:hAnsi="楷体" w:hint="eastAsia"/>
          <w:noProof/>
          <w:szCs w:val="21"/>
        </w:rPr>
        <w:t>图</w:t>
      </w:r>
      <w:r w:rsidR="000D389C">
        <w:rPr>
          <w:rFonts w:ascii="楷体" w:eastAsia="楷体" w:hAnsi="楷体" w:hint="eastAsia"/>
          <w:noProof/>
          <w:szCs w:val="21"/>
        </w:rPr>
        <w:t>9</w:t>
      </w:r>
      <w:r w:rsidR="00181149">
        <w:rPr>
          <w:rFonts w:ascii="楷体" w:eastAsia="楷体" w:hAnsi="楷体"/>
          <w:noProof/>
          <w:szCs w:val="21"/>
        </w:rPr>
        <w:t xml:space="preserve">  </w:t>
      </w:r>
      <w:r w:rsidRPr="00DC3A0D">
        <w:rPr>
          <w:rFonts w:ascii="楷体" w:eastAsia="楷体" w:hAnsi="楷体" w:hint="eastAsia"/>
          <w:noProof/>
          <w:szCs w:val="21"/>
        </w:rPr>
        <w:t>金融体系内部债权债务关系积累较快</w:t>
      </w:r>
    </w:p>
    <w:p w14:paraId="6E392251" w14:textId="193F661A" w:rsidR="007A142C" w:rsidRPr="00F51C9C" w:rsidRDefault="007A142C" w:rsidP="00F51C9C">
      <w:pPr>
        <w:spacing w:line="276" w:lineRule="auto"/>
        <w:ind w:firstLineChars="200" w:firstLine="300"/>
        <w:rPr>
          <w:rFonts w:ascii="楷体" w:eastAsia="楷体" w:hAnsi="楷体"/>
          <w:noProof/>
          <w:sz w:val="15"/>
          <w:szCs w:val="15"/>
        </w:rPr>
      </w:pPr>
      <w:r w:rsidRPr="00F51C9C">
        <w:rPr>
          <w:rFonts w:ascii="楷体" w:eastAsia="楷体" w:hAnsi="楷体" w:hint="eastAsia"/>
          <w:noProof/>
          <w:sz w:val="15"/>
          <w:szCs w:val="15"/>
        </w:rPr>
        <w:t>数据来源：中国人民银行“金融业机构资产负债统计”</w:t>
      </w:r>
      <w:r w:rsidRPr="00F51C9C">
        <w:rPr>
          <w:rFonts w:ascii="楷体" w:eastAsia="楷体" w:hAnsi="楷体"/>
          <w:noProof/>
          <w:sz w:val="15"/>
          <w:szCs w:val="15"/>
        </w:rPr>
        <w:t>。</w:t>
      </w:r>
    </w:p>
    <w:p w14:paraId="34C44DA3" w14:textId="77777777" w:rsidR="007A142C" w:rsidRPr="00DC3A0D" w:rsidRDefault="007A142C" w:rsidP="00133B60">
      <w:pPr>
        <w:spacing w:line="276" w:lineRule="auto"/>
        <w:jc w:val="center"/>
        <w:rPr>
          <w:rFonts w:ascii="楷体" w:eastAsia="楷体" w:hAnsi="楷体"/>
          <w:noProof/>
          <w:szCs w:val="21"/>
        </w:rPr>
      </w:pPr>
    </w:p>
    <w:p w14:paraId="724978EB" w14:textId="4C048D7A" w:rsidR="0068607D" w:rsidRPr="001A219D" w:rsidRDefault="00262703" w:rsidP="001A219D">
      <w:pPr>
        <w:jc w:val="center"/>
        <w:rPr>
          <w:rFonts w:ascii="黑体" w:eastAsia="黑体" w:hAnsi="黑体"/>
          <w:sz w:val="28"/>
          <w:szCs w:val="28"/>
        </w:rPr>
      </w:pPr>
      <w:r w:rsidRPr="001A219D">
        <w:rPr>
          <w:rFonts w:ascii="黑体" w:eastAsia="黑体" w:hAnsi="黑体" w:hint="eastAsia"/>
          <w:sz w:val="28"/>
          <w:szCs w:val="28"/>
        </w:rPr>
        <w:t>六</w:t>
      </w:r>
      <w:r w:rsidR="009D2291" w:rsidRPr="001A219D">
        <w:rPr>
          <w:rFonts w:ascii="黑体" w:eastAsia="黑体" w:hAnsi="黑体" w:hint="eastAsia"/>
          <w:sz w:val="28"/>
          <w:szCs w:val="28"/>
        </w:rPr>
        <w:t>、</w:t>
      </w:r>
      <w:r w:rsidR="00435015" w:rsidRPr="001A219D">
        <w:rPr>
          <w:rFonts w:ascii="黑体" w:eastAsia="黑体" w:hAnsi="黑体" w:hint="eastAsia"/>
          <w:sz w:val="28"/>
          <w:szCs w:val="28"/>
        </w:rPr>
        <w:t>总结与政策启示</w:t>
      </w:r>
    </w:p>
    <w:p w14:paraId="65B46C3E" w14:textId="77777777" w:rsidR="001A219D" w:rsidRPr="00F51C9C" w:rsidRDefault="001A219D" w:rsidP="001A219D"/>
    <w:p w14:paraId="7396E2A3" w14:textId="7FB42024" w:rsidR="00C65EB7" w:rsidRPr="00DC3A0D" w:rsidRDefault="002C0574" w:rsidP="00672734">
      <w:pPr>
        <w:ind w:firstLineChars="200" w:firstLine="420"/>
      </w:pPr>
      <w:r w:rsidRPr="00DC3A0D">
        <w:rPr>
          <w:rFonts w:hint="eastAsia"/>
        </w:rPr>
        <w:t>自全球金融危机以来的十余年间</w:t>
      </w:r>
      <w:r w:rsidR="00945D2A" w:rsidRPr="00DC3A0D">
        <w:rPr>
          <w:rFonts w:hint="eastAsia"/>
        </w:rPr>
        <w:t>，我国</w:t>
      </w:r>
      <w:r w:rsidR="00E34370">
        <w:rPr>
          <w:rFonts w:hint="eastAsia"/>
        </w:rPr>
        <w:t>的</w:t>
      </w:r>
      <w:r w:rsidR="00A134B6" w:rsidRPr="00DC3A0D">
        <w:rPr>
          <w:rFonts w:hint="eastAsia"/>
        </w:rPr>
        <w:t>宏观融资结构</w:t>
      </w:r>
      <w:r w:rsidR="00B44C8A" w:rsidRPr="00DC3A0D">
        <w:rPr>
          <w:rFonts w:hint="eastAsia"/>
        </w:rPr>
        <w:t>（</w:t>
      </w:r>
      <w:r w:rsidR="00B44C8A" w:rsidRPr="00DC3A0D">
        <w:rPr>
          <w:rFonts w:hint="eastAsia"/>
        </w:rPr>
        <w:t>M</w:t>
      </w:r>
      <w:r w:rsidR="00B44C8A" w:rsidRPr="00DC3A0D">
        <w:t>FS</w:t>
      </w:r>
      <w:r w:rsidR="00B44C8A" w:rsidRPr="00DC3A0D">
        <w:rPr>
          <w:rFonts w:hint="eastAsia"/>
        </w:rPr>
        <w:t>）</w:t>
      </w:r>
      <w:r w:rsidR="00327CA0">
        <w:rPr>
          <w:rFonts w:hint="eastAsia"/>
        </w:rPr>
        <w:t>表现出如下三方面的</w:t>
      </w:r>
      <w:r w:rsidR="00A134B6" w:rsidRPr="00DC3A0D">
        <w:rPr>
          <w:rFonts w:hint="eastAsia"/>
        </w:rPr>
        <w:t>转型</w:t>
      </w:r>
      <w:r w:rsidR="00DE5A23">
        <w:rPr>
          <w:rFonts w:hint="eastAsia"/>
        </w:rPr>
        <w:t>特征</w:t>
      </w:r>
      <w:r w:rsidR="00251C0F" w:rsidRPr="00DC3A0D">
        <w:rPr>
          <w:rFonts w:hint="eastAsia"/>
        </w:rPr>
        <w:t>：</w:t>
      </w:r>
      <w:r w:rsidR="0091069E" w:rsidRPr="00DC3A0D">
        <w:rPr>
          <w:rFonts w:hint="eastAsia"/>
        </w:rPr>
        <w:t>第一，</w:t>
      </w:r>
      <w:r w:rsidR="00940314" w:rsidRPr="00DC3A0D">
        <w:rPr>
          <w:rFonts w:hint="eastAsia"/>
        </w:rPr>
        <w:t>在融资主体结构方面，住户部门净融出和非金融企业部门净融入相对收缩，广义政府部门成为更重要融资主体</w:t>
      </w:r>
      <w:r w:rsidR="00B87DF2">
        <w:rPr>
          <w:rFonts w:hint="eastAsia"/>
        </w:rPr>
        <w:t>；</w:t>
      </w:r>
      <w:r w:rsidR="0091069E" w:rsidRPr="00DC3A0D">
        <w:rPr>
          <w:rFonts w:hint="eastAsia"/>
        </w:rPr>
        <w:t>第二，</w:t>
      </w:r>
      <w:r w:rsidR="00940314" w:rsidRPr="00DC3A0D">
        <w:rPr>
          <w:rFonts w:hint="eastAsia"/>
        </w:rPr>
        <w:t>在</w:t>
      </w:r>
      <w:r w:rsidR="00957A06" w:rsidRPr="00DC3A0D">
        <w:rPr>
          <w:rFonts w:hint="eastAsia"/>
        </w:rPr>
        <w:t>融资</w:t>
      </w:r>
      <w:r w:rsidR="00940314" w:rsidRPr="00DC3A0D">
        <w:rPr>
          <w:rFonts w:hint="eastAsia"/>
        </w:rPr>
        <w:t>用途结构方面，社会总融资中非生产性融资</w:t>
      </w:r>
      <w:r w:rsidR="00816F99" w:rsidRPr="00DC3A0D">
        <w:rPr>
          <w:rFonts w:hint="eastAsia"/>
        </w:rPr>
        <w:t>和间接生产性</w:t>
      </w:r>
      <w:r w:rsidR="00CE462C" w:rsidRPr="00DC3A0D">
        <w:rPr>
          <w:rFonts w:hint="eastAsia"/>
        </w:rPr>
        <w:t>融资</w:t>
      </w:r>
      <w:r w:rsidR="00940314" w:rsidRPr="00DC3A0D">
        <w:rPr>
          <w:rFonts w:hint="eastAsia"/>
        </w:rPr>
        <w:t>占比上升，产业融资尤其是制造业融资占比大幅下降，存量债务利息支出负担明显加重。</w:t>
      </w:r>
      <w:r w:rsidR="0091069E" w:rsidRPr="00DC3A0D">
        <w:rPr>
          <w:rFonts w:hint="eastAsia"/>
        </w:rPr>
        <w:t>第三，</w:t>
      </w:r>
      <w:r w:rsidR="00940314" w:rsidRPr="00DC3A0D">
        <w:rPr>
          <w:rFonts w:hint="eastAsia"/>
        </w:rPr>
        <w:t>在融资渠道结构方面，</w:t>
      </w:r>
      <w:r w:rsidR="00CF3238">
        <w:rPr>
          <w:rFonts w:hint="eastAsia"/>
        </w:rPr>
        <w:t>在</w:t>
      </w:r>
      <w:r w:rsidR="00D23439" w:rsidRPr="00D23439">
        <w:rPr>
          <w:rFonts w:hint="eastAsia"/>
        </w:rPr>
        <w:t>间接融资和债务融资为主</w:t>
      </w:r>
      <w:r w:rsidR="00940314" w:rsidRPr="00DC3A0D">
        <w:rPr>
          <w:rFonts w:hint="eastAsia"/>
        </w:rPr>
        <w:t>格局仍然突出的同时，间接融资与直接融资之间</w:t>
      </w:r>
      <w:r w:rsidR="00CF3238">
        <w:rPr>
          <w:rFonts w:hint="eastAsia"/>
        </w:rPr>
        <w:t>、股权融资与债务融资之间</w:t>
      </w:r>
      <w:r w:rsidR="00940314" w:rsidRPr="00DC3A0D">
        <w:rPr>
          <w:rFonts w:hint="eastAsia"/>
        </w:rPr>
        <w:t>的传统边界被突破，“混合融资模式”发展较快，金融业态发展导致融资链条拉长。</w:t>
      </w:r>
      <w:r w:rsidR="003B4D6D" w:rsidRPr="00DC3A0D">
        <w:rPr>
          <w:rFonts w:hint="eastAsia"/>
        </w:rPr>
        <w:t>上述</w:t>
      </w:r>
      <w:r w:rsidR="00D90C88" w:rsidRPr="00DC3A0D">
        <w:rPr>
          <w:rFonts w:hint="eastAsia"/>
        </w:rPr>
        <w:t>三方面结构</w:t>
      </w:r>
      <w:r w:rsidR="00CA0274" w:rsidRPr="00DC3A0D">
        <w:rPr>
          <w:rFonts w:hint="eastAsia"/>
        </w:rPr>
        <w:t>转型</w:t>
      </w:r>
      <w:r w:rsidR="00274509" w:rsidRPr="00DC3A0D">
        <w:rPr>
          <w:rFonts w:hint="eastAsia"/>
        </w:rPr>
        <w:t>之间</w:t>
      </w:r>
      <w:r w:rsidR="00847B81">
        <w:rPr>
          <w:rFonts w:hint="eastAsia"/>
        </w:rPr>
        <w:t>具有</w:t>
      </w:r>
      <w:r w:rsidR="00274509" w:rsidRPr="00DC3A0D">
        <w:rPr>
          <w:rFonts w:hint="eastAsia"/>
        </w:rPr>
        <w:t>一定</w:t>
      </w:r>
      <w:r w:rsidR="00C6421A">
        <w:rPr>
          <w:rFonts w:hint="eastAsia"/>
        </w:rPr>
        <w:t>的</w:t>
      </w:r>
      <w:r w:rsidR="00274509" w:rsidRPr="00DC3A0D">
        <w:rPr>
          <w:rFonts w:hint="eastAsia"/>
        </w:rPr>
        <w:t>内在</w:t>
      </w:r>
      <w:r w:rsidR="00C44C75" w:rsidRPr="00DC3A0D">
        <w:rPr>
          <w:rFonts w:hint="eastAsia"/>
        </w:rPr>
        <w:t>关联</w:t>
      </w:r>
      <w:r w:rsidR="00D0702B" w:rsidRPr="00DC3A0D">
        <w:rPr>
          <w:rFonts w:hint="eastAsia"/>
        </w:rPr>
        <w:t>：首先，</w:t>
      </w:r>
      <w:r w:rsidR="003F78AA" w:rsidRPr="00DC3A0D">
        <w:rPr>
          <w:rFonts w:hint="eastAsia"/>
        </w:rPr>
        <w:t>融资主体</w:t>
      </w:r>
      <w:r w:rsidR="006249DB" w:rsidRPr="00DC3A0D">
        <w:rPr>
          <w:rFonts w:hint="eastAsia"/>
        </w:rPr>
        <w:t>与</w:t>
      </w:r>
      <w:r w:rsidR="00957A06" w:rsidRPr="00DC3A0D">
        <w:rPr>
          <w:rFonts w:hint="eastAsia"/>
        </w:rPr>
        <w:t>融资</w:t>
      </w:r>
      <w:r w:rsidR="00325F74" w:rsidRPr="00DC3A0D">
        <w:rPr>
          <w:rFonts w:hint="eastAsia"/>
        </w:rPr>
        <w:t>用途</w:t>
      </w:r>
      <w:r w:rsidR="005812AF" w:rsidRPr="00DC3A0D">
        <w:rPr>
          <w:rFonts w:hint="eastAsia"/>
        </w:rPr>
        <w:t>之间</w:t>
      </w:r>
      <w:r w:rsidR="00560F44" w:rsidRPr="00DC3A0D">
        <w:rPr>
          <w:rFonts w:hint="eastAsia"/>
        </w:rPr>
        <w:t>通常存在</w:t>
      </w:r>
      <w:r w:rsidR="00847B81">
        <w:rPr>
          <w:rFonts w:hint="eastAsia"/>
        </w:rPr>
        <w:t>某种</w:t>
      </w:r>
      <w:r w:rsidR="00560F44" w:rsidRPr="00DC3A0D">
        <w:rPr>
          <w:rFonts w:hint="eastAsia"/>
        </w:rPr>
        <w:t>对应关系</w:t>
      </w:r>
      <w:r w:rsidR="009749F0">
        <w:rPr>
          <w:rFonts w:hint="eastAsia"/>
        </w:rPr>
        <w:t>。例如</w:t>
      </w:r>
      <w:r w:rsidR="004C04DC">
        <w:rPr>
          <w:rFonts w:hint="eastAsia"/>
        </w:rPr>
        <w:t>，</w:t>
      </w:r>
      <w:r w:rsidR="008F0D86" w:rsidRPr="00DC3A0D">
        <w:rPr>
          <w:rFonts w:hint="eastAsia"/>
        </w:rPr>
        <w:t>我国住户部门融资</w:t>
      </w:r>
      <w:r w:rsidR="00BD7AC5">
        <w:rPr>
          <w:rFonts w:hint="eastAsia"/>
        </w:rPr>
        <w:t>中的大部分</w:t>
      </w:r>
      <w:r w:rsidR="008F0D86" w:rsidRPr="00DC3A0D">
        <w:rPr>
          <w:rFonts w:hint="eastAsia"/>
        </w:rPr>
        <w:t>对应于购买住房，广义政府融资中</w:t>
      </w:r>
      <w:r w:rsidR="00870A5D" w:rsidRPr="00DC3A0D">
        <w:rPr>
          <w:rFonts w:hint="eastAsia"/>
        </w:rPr>
        <w:t>的</w:t>
      </w:r>
      <w:r w:rsidR="008F0D86" w:rsidRPr="00DC3A0D">
        <w:rPr>
          <w:rFonts w:hint="eastAsia"/>
        </w:rPr>
        <w:t>大部分</w:t>
      </w:r>
      <w:r w:rsidR="00FC5941">
        <w:rPr>
          <w:rFonts w:hint="eastAsia"/>
        </w:rPr>
        <w:t>用于</w:t>
      </w:r>
      <w:r w:rsidR="008F0D86" w:rsidRPr="00DC3A0D">
        <w:rPr>
          <w:rFonts w:hint="eastAsia"/>
        </w:rPr>
        <w:t>基础设施建设。</w:t>
      </w:r>
      <w:r w:rsidR="00BC1B6B" w:rsidRPr="00DC3A0D">
        <w:rPr>
          <w:rFonts w:hint="eastAsia"/>
        </w:rPr>
        <w:t>因而</w:t>
      </w:r>
      <w:r w:rsidR="00EF740D" w:rsidRPr="00DC3A0D">
        <w:rPr>
          <w:rFonts w:hint="eastAsia"/>
        </w:rPr>
        <w:t>，</w:t>
      </w:r>
      <w:r w:rsidR="000D4C8A">
        <w:rPr>
          <w:rFonts w:hint="eastAsia"/>
        </w:rPr>
        <w:t>实体经济层面</w:t>
      </w:r>
      <w:r w:rsidR="000D4C8A" w:rsidRPr="00DC3A0D">
        <w:rPr>
          <w:rFonts w:hint="eastAsia"/>
        </w:rPr>
        <w:t>过去十余年间房地产和基础设施的大发展</w:t>
      </w:r>
      <w:r w:rsidR="000D4C8A">
        <w:rPr>
          <w:rFonts w:hint="eastAsia"/>
        </w:rPr>
        <w:t>是</w:t>
      </w:r>
      <w:r w:rsidR="00870A5D" w:rsidRPr="00DC3A0D">
        <w:rPr>
          <w:rFonts w:hint="eastAsia"/>
        </w:rPr>
        <w:t>引起</w:t>
      </w:r>
      <w:r w:rsidR="000D4C8A">
        <w:rPr>
          <w:rFonts w:hint="eastAsia"/>
        </w:rPr>
        <w:t>金融层面</w:t>
      </w:r>
      <w:r w:rsidR="00257072">
        <w:rPr>
          <w:rFonts w:hint="eastAsia"/>
        </w:rPr>
        <w:t>宏观</w:t>
      </w:r>
      <w:r w:rsidR="00EB4034" w:rsidRPr="00DC3A0D">
        <w:rPr>
          <w:rFonts w:hint="eastAsia"/>
        </w:rPr>
        <w:t>融资主体结构和</w:t>
      </w:r>
      <w:r w:rsidR="00DA750C">
        <w:rPr>
          <w:rFonts w:hint="eastAsia"/>
        </w:rPr>
        <w:t>宏观</w:t>
      </w:r>
      <w:r w:rsidR="00957A06" w:rsidRPr="00DC3A0D">
        <w:rPr>
          <w:rFonts w:hint="eastAsia"/>
        </w:rPr>
        <w:t>融资</w:t>
      </w:r>
      <w:r w:rsidR="00EB4034" w:rsidRPr="00DC3A0D">
        <w:rPr>
          <w:rFonts w:hint="eastAsia"/>
        </w:rPr>
        <w:t>用途结构</w:t>
      </w:r>
      <w:r w:rsidR="00553765">
        <w:rPr>
          <w:rFonts w:hint="eastAsia"/>
        </w:rPr>
        <w:t>变化</w:t>
      </w:r>
      <w:r w:rsidR="00147CB3" w:rsidRPr="00DC3A0D">
        <w:rPr>
          <w:rFonts w:hint="eastAsia"/>
        </w:rPr>
        <w:t>的</w:t>
      </w:r>
      <w:r w:rsidR="007413F2">
        <w:rPr>
          <w:rFonts w:hint="eastAsia"/>
        </w:rPr>
        <w:t>共同</w:t>
      </w:r>
      <w:r w:rsidR="00621140" w:rsidRPr="00DC3A0D">
        <w:rPr>
          <w:rFonts w:hint="eastAsia"/>
        </w:rPr>
        <w:t>驱动因素</w:t>
      </w:r>
      <w:r w:rsidR="00705CCF" w:rsidRPr="00DC3A0D">
        <w:rPr>
          <w:rFonts w:hint="eastAsia"/>
        </w:rPr>
        <w:t>。</w:t>
      </w:r>
      <w:r w:rsidR="006E6D8A" w:rsidRPr="00DC3A0D">
        <w:rPr>
          <w:rFonts w:hint="eastAsia"/>
        </w:rPr>
        <w:t>其次，</w:t>
      </w:r>
      <w:r w:rsidR="002C3E89" w:rsidRPr="00DC3A0D">
        <w:rPr>
          <w:rFonts w:hint="eastAsia"/>
        </w:rPr>
        <w:t>融资渠道</w:t>
      </w:r>
      <w:r w:rsidR="00DD06AA" w:rsidRPr="00DC3A0D">
        <w:rPr>
          <w:rFonts w:hint="eastAsia"/>
        </w:rPr>
        <w:t>与</w:t>
      </w:r>
      <w:r w:rsidR="00670AF7" w:rsidRPr="00DC3A0D">
        <w:rPr>
          <w:rFonts w:hint="eastAsia"/>
        </w:rPr>
        <w:t>融资主体、</w:t>
      </w:r>
      <w:r w:rsidR="00957A06" w:rsidRPr="00DC3A0D">
        <w:rPr>
          <w:rFonts w:hint="eastAsia"/>
        </w:rPr>
        <w:t>融资</w:t>
      </w:r>
      <w:r w:rsidR="00670AF7" w:rsidRPr="00DC3A0D">
        <w:rPr>
          <w:rFonts w:hint="eastAsia"/>
        </w:rPr>
        <w:t>用途之间也存在</w:t>
      </w:r>
      <w:r w:rsidR="007F49C1">
        <w:rPr>
          <w:rFonts w:hint="eastAsia"/>
        </w:rPr>
        <w:t>某种</w:t>
      </w:r>
      <w:r w:rsidR="00670AF7" w:rsidRPr="00DC3A0D">
        <w:rPr>
          <w:rFonts w:hint="eastAsia"/>
        </w:rPr>
        <w:t>对应关系。</w:t>
      </w:r>
      <w:r w:rsidR="00834459" w:rsidRPr="00DC3A0D">
        <w:rPr>
          <w:rFonts w:hint="eastAsia"/>
        </w:rPr>
        <w:t>住户部门用于购买住房的融资主要</w:t>
      </w:r>
      <w:r w:rsidR="00912EC2" w:rsidRPr="00DC3A0D">
        <w:rPr>
          <w:rFonts w:hint="eastAsia"/>
        </w:rPr>
        <w:t>经由</w:t>
      </w:r>
      <w:r w:rsidR="009E13A1" w:rsidRPr="00DC3A0D">
        <w:rPr>
          <w:rFonts w:hint="eastAsia"/>
        </w:rPr>
        <w:t>银行</w:t>
      </w:r>
      <w:r w:rsidR="00124834" w:rsidRPr="00DC3A0D">
        <w:rPr>
          <w:rFonts w:hint="eastAsia"/>
        </w:rPr>
        <w:t>贷款渠道，</w:t>
      </w:r>
      <w:r w:rsidR="00C65EB7" w:rsidRPr="00DC3A0D">
        <w:rPr>
          <w:rFonts w:hint="eastAsia"/>
        </w:rPr>
        <w:t>广义政府部门用于基础设施建设的融资</w:t>
      </w:r>
      <w:r w:rsidR="00031816" w:rsidRPr="00DC3A0D">
        <w:rPr>
          <w:rFonts w:hint="eastAsia"/>
        </w:rPr>
        <w:t>亦主要</w:t>
      </w:r>
      <w:r w:rsidR="00F40351" w:rsidRPr="00DC3A0D">
        <w:rPr>
          <w:rFonts w:hint="eastAsia"/>
        </w:rPr>
        <w:t>是从</w:t>
      </w:r>
      <w:r w:rsidR="002A06CF" w:rsidRPr="00DC3A0D">
        <w:rPr>
          <w:rFonts w:hint="eastAsia"/>
        </w:rPr>
        <w:t>债券市场或</w:t>
      </w:r>
      <w:r w:rsidR="0002410D" w:rsidRPr="00DC3A0D">
        <w:rPr>
          <w:rFonts w:hint="eastAsia"/>
        </w:rPr>
        <w:t>各类</w:t>
      </w:r>
      <w:r w:rsidR="002A06CF" w:rsidRPr="00DC3A0D">
        <w:rPr>
          <w:rFonts w:hint="eastAsia"/>
        </w:rPr>
        <w:t>金融中介</w:t>
      </w:r>
      <w:r w:rsidR="00F40351" w:rsidRPr="00DC3A0D">
        <w:rPr>
          <w:rFonts w:hint="eastAsia"/>
        </w:rPr>
        <w:t>得到的债务</w:t>
      </w:r>
      <w:r w:rsidR="00456039" w:rsidRPr="00DC3A0D">
        <w:rPr>
          <w:rFonts w:hint="eastAsia"/>
        </w:rPr>
        <w:t>资金</w:t>
      </w:r>
      <w:r w:rsidR="009242FB" w:rsidRPr="00DC3A0D">
        <w:rPr>
          <w:rFonts w:hint="eastAsia"/>
        </w:rPr>
        <w:t>，</w:t>
      </w:r>
      <w:r w:rsidR="00C65EB7" w:rsidRPr="00DC3A0D">
        <w:rPr>
          <w:rFonts w:hint="eastAsia"/>
        </w:rPr>
        <w:t>非金融企业部门生产性</w:t>
      </w:r>
      <w:r w:rsidR="00304B5C" w:rsidRPr="00DC3A0D">
        <w:rPr>
          <w:rFonts w:hint="eastAsia"/>
        </w:rPr>
        <w:t>融资</w:t>
      </w:r>
      <w:r w:rsidR="007505A0" w:rsidRPr="00DC3A0D">
        <w:rPr>
          <w:rFonts w:hint="eastAsia"/>
        </w:rPr>
        <w:t>的渠道</w:t>
      </w:r>
      <w:r w:rsidR="0080332C" w:rsidRPr="00DC3A0D">
        <w:rPr>
          <w:rFonts w:hint="eastAsia"/>
        </w:rPr>
        <w:t>则</w:t>
      </w:r>
      <w:r w:rsidR="00F94B4C" w:rsidRPr="00DC3A0D">
        <w:rPr>
          <w:rFonts w:hint="eastAsia"/>
        </w:rPr>
        <w:t>相对多元化</w:t>
      </w:r>
      <w:r w:rsidR="009D52A4" w:rsidRPr="00DC3A0D">
        <w:rPr>
          <w:rFonts w:hint="eastAsia"/>
        </w:rPr>
        <w:t>。</w:t>
      </w:r>
      <w:r w:rsidR="00825C10" w:rsidRPr="00DC3A0D">
        <w:rPr>
          <w:rFonts w:hint="eastAsia"/>
        </w:rPr>
        <w:t>于是，</w:t>
      </w:r>
      <w:r w:rsidR="009A309C" w:rsidRPr="00DC3A0D">
        <w:rPr>
          <w:rFonts w:hint="eastAsia"/>
        </w:rPr>
        <w:t>当</w:t>
      </w:r>
      <w:r w:rsidR="00A14EEA" w:rsidRPr="00DC3A0D">
        <w:rPr>
          <w:rFonts w:hint="eastAsia"/>
        </w:rPr>
        <w:t>房地产和</w:t>
      </w:r>
      <w:r w:rsidR="00AC0BC6" w:rsidRPr="00DC3A0D">
        <w:rPr>
          <w:rFonts w:hint="eastAsia"/>
        </w:rPr>
        <w:t>基础设施建设在经济活动中占比上升</w:t>
      </w:r>
      <w:r w:rsidR="009A309C" w:rsidRPr="00DC3A0D">
        <w:rPr>
          <w:rFonts w:hint="eastAsia"/>
        </w:rPr>
        <w:t>时，也容易</w:t>
      </w:r>
      <w:r w:rsidR="00071F0B" w:rsidRPr="00DC3A0D">
        <w:rPr>
          <w:rFonts w:hint="eastAsia"/>
        </w:rPr>
        <w:t>加</w:t>
      </w:r>
      <w:r w:rsidR="00071F0B" w:rsidRPr="00DC3A0D">
        <w:rPr>
          <w:rFonts w:hint="eastAsia"/>
        </w:rPr>
        <w:lastRenderedPageBreak/>
        <w:t>剧</w:t>
      </w:r>
      <w:r w:rsidR="006F1BC2" w:rsidRPr="00DC3A0D">
        <w:rPr>
          <w:rFonts w:hint="eastAsia"/>
        </w:rPr>
        <w:t>总体融资结构对</w:t>
      </w:r>
      <w:r w:rsidR="00BE0952" w:rsidRPr="00DC3A0D">
        <w:rPr>
          <w:rFonts w:hint="eastAsia"/>
        </w:rPr>
        <w:t>债务融资</w:t>
      </w:r>
      <w:r w:rsidR="006F1BC2" w:rsidRPr="00DC3A0D">
        <w:rPr>
          <w:rFonts w:hint="eastAsia"/>
        </w:rPr>
        <w:t>的依赖</w:t>
      </w:r>
      <w:r w:rsidR="00D16A61" w:rsidRPr="00DC3A0D">
        <w:rPr>
          <w:rFonts w:hint="eastAsia"/>
        </w:rPr>
        <w:t>；</w:t>
      </w:r>
      <w:r w:rsidR="00D279CA" w:rsidRPr="00DC3A0D">
        <w:rPr>
          <w:rFonts w:hint="eastAsia"/>
        </w:rPr>
        <w:t>而</w:t>
      </w:r>
      <w:r w:rsidR="001B16B5" w:rsidRPr="00DC3A0D">
        <w:rPr>
          <w:rFonts w:hint="eastAsia"/>
        </w:rPr>
        <w:t>一旦</w:t>
      </w:r>
      <w:r w:rsidR="00354831" w:rsidRPr="00DC3A0D">
        <w:rPr>
          <w:rFonts w:hint="eastAsia"/>
        </w:rPr>
        <w:t>监管部门</w:t>
      </w:r>
      <w:r w:rsidR="00457C00" w:rsidRPr="00DC3A0D">
        <w:rPr>
          <w:rFonts w:hint="eastAsia"/>
        </w:rPr>
        <w:t>出于宏观调控和防范金融风险</w:t>
      </w:r>
      <w:r w:rsidR="00766D3D">
        <w:rPr>
          <w:rFonts w:hint="eastAsia"/>
        </w:rPr>
        <w:t>动机</w:t>
      </w:r>
      <w:r w:rsidR="00354831" w:rsidRPr="00DC3A0D">
        <w:rPr>
          <w:rFonts w:hint="eastAsia"/>
        </w:rPr>
        <w:t>对</w:t>
      </w:r>
      <w:r w:rsidR="00D208E5" w:rsidRPr="00DC3A0D">
        <w:rPr>
          <w:rFonts w:hint="eastAsia"/>
        </w:rPr>
        <w:t>房地产融资和基础设施融资活动施加</w:t>
      </w:r>
      <w:r w:rsidR="00C70C4D" w:rsidRPr="00DC3A0D">
        <w:rPr>
          <w:rFonts w:hint="eastAsia"/>
        </w:rPr>
        <w:t>限制时，</w:t>
      </w:r>
      <w:r w:rsidR="00917505" w:rsidRPr="00DC3A0D">
        <w:rPr>
          <w:rFonts w:hint="eastAsia"/>
        </w:rPr>
        <w:t>规避监管</w:t>
      </w:r>
      <w:r w:rsidR="00B7267A">
        <w:rPr>
          <w:rFonts w:hint="eastAsia"/>
        </w:rPr>
        <w:t>倾向</w:t>
      </w:r>
      <w:r w:rsidR="00917505" w:rsidRPr="00DC3A0D">
        <w:rPr>
          <w:rFonts w:hint="eastAsia"/>
        </w:rPr>
        <w:t>则</w:t>
      </w:r>
      <w:r w:rsidR="005E3D15">
        <w:rPr>
          <w:rFonts w:hint="eastAsia"/>
        </w:rPr>
        <w:t>会</w:t>
      </w:r>
      <w:r w:rsidR="008E0FD6" w:rsidRPr="00DC3A0D">
        <w:rPr>
          <w:rFonts w:hint="eastAsia"/>
        </w:rPr>
        <w:t>刺激</w:t>
      </w:r>
      <w:r w:rsidR="00917505" w:rsidRPr="00DC3A0D">
        <w:rPr>
          <w:rFonts w:hint="eastAsia"/>
        </w:rPr>
        <w:t>混合融资</w:t>
      </w:r>
      <w:r w:rsidR="001A3C21" w:rsidRPr="00DC3A0D">
        <w:rPr>
          <w:rFonts w:hint="eastAsia"/>
        </w:rPr>
        <w:t>模式</w:t>
      </w:r>
      <w:r w:rsidR="008E0FD6" w:rsidRPr="00DC3A0D">
        <w:rPr>
          <w:rFonts w:hint="eastAsia"/>
        </w:rPr>
        <w:t>的</w:t>
      </w:r>
      <w:r w:rsidR="00917505" w:rsidRPr="00DC3A0D">
        <w:rPr>
          <w:rFonts w:hint="eastAsia"/>
        </w:rPr>
        <w:t>发展</w:t>
      </w:r>
      <w:r w:rsidR="002160B4" w:rsidRPr="00DC3A0D">
        <w:rPr>
          <w:rFonts w:hint="eastAsia"/>
        </w:rPr>
        <w:t>。</w:t>
      </w:r>
    </w:p>
    <w:p w14:paraId="473C06FB" w14:textId="18B0EC56" w:rsidR="00294BB5" w:rsidRPr="00DC3A0D" w:rsidRDefault="00902378" w:rsidP="00672734">
      <w:pPr>
        <w:ind w:firstLineChars="200" w:firstLine="420"/>
      </w:pPr>
      <w:r w:rsidRPr="00DC3A0D">
        <w:rPr>
          <w:rFonts w:hint="eastAsia"/>
        </w:rPr>
        <w:t>本文</w:t>
      </w:r>
      <w:r w:rsidR="003D4AC4" w:rsidRPr="00DC3A0D">
        <w:rPr>
          <w:rFonts w:hint="eastAsia"/>
        </w:rPr>
        <w:t>研究</w:t>
      </w:r>
      <w:r w:rsidR="00995FEB">
        <w:rPr>
          <w:rFonts w:hint="eastAsia"/>
        </w:rPr>
        <w:t>的一个</w:t>
      </w:r>
      <w:r w:rsidR="00C147D3">
        <w:rPr>
          <w:rFonts w:hint="eastAsia"/>
        </w:rPr>
        <w:t>重要</w:t>
      </w:r>
      <w:r w:rsidR="001D3D26">
        <w:rPr>
          <w:rFonts w:hint="eastAsia"/>
        </w:rPr>
        <w:t>启示在于</w:t>
      </w:r>
      <w:r w:rsidRPr="00DC3A0D">
        <w:rPr>
          <w:rFonts w:hint="eastAsia"/>
        </w:rPr>
        <w:t>，</w:t>
      </w:r>
      <w:r w:rsidR="0095519F">
        <w:rPr>
          <w:rFonts w:hint="eastAsia"/>
        </w:rPr>
        <w:t>近年来</w:t>
      </w:r>
      <w:r w:rsidR="0095519F" w:rsidRPr="00DC3A0D">
        <w:rPr>
          <w:rFonts w:hint="eastAsia"/>
        </w:rPr>
        <w:t>我国金融体系</w:t>
      </w:r>
      <w:r w:rsidR="0095519F">
        <w:rPr>
          <w:rFonts w:hint="eastAsia"/>
        </w:rPr>
        <w:t>中</w:t>
      </w:r>
      <w:r w:rsidR="0095519F" w:rsidRPr="00DC3A0D">
        <w:rPr>
          <w:rFonts w:hint="eastAsia"/>
        </w:rPr>
        <w:t>存在</w:t>
      </w:r>
      <w:r w:rsidR="005C1352">
        <w:rPr>
          <w:rFonts w:hint="eastAsia"/>
        </w:rPr>
        <w:t>的</w:t>
      </w:r>
      <w:r w:rsidR="001B3422" w:rsidRPr="00DC3A0D">
        <w:rPr>
          <w:rFonts w:hint="eastAsia"/>
        </w:rPr>
        <w:t>社会</w:t>
      </w:r>
      <w:r w:rsidR="000C3CFD" w:rsidRPr="00DC3A0D">
        <w:rPr>
          <w:rFonts w:hint="eastAsia"/>
        </w:rPr>
        <w:t>融资</w:t>
      </w:r>
      <w:r w:rsidR="001B3422" w:rsidRPr="00DC3A0D">
        <w:rPr>
          <w:rFonts w:hint="eastAsia"/>
        </w:rPr>
        <w:t>总体回报率下降</w:t>
      </w:r>
      <w:r w:rsidR="00A57D2D" w:rsidRPr="00DC3A0D">
        <w:rPr>
          <w:rFonts w:hint="eastAsia"/>
        </w:rPr>
        <w:t>和宏观杠杆率攀升</w:t>
      </w:r>
      <w:r w:rsidR="001B3422" w:rsidRPr="00DC3A0D">
        <w:rPr>
          <w:rFonts w:hint="eastAsia"/>
        </w:rPr>
        <w:t>等问题，主要不是总量问题，而是结构问题。</w:t>
      </w:r>
      <w:r w:rsidR="00C0631B" w:rsidRPr="00DC3A0D">
        <w:rPr>
          <w:rFonts w:hint="eastAsia"/>
        </w:rPr>
        <w:t>未来提升金融资源配置效率的根本在于优化融资结构</w:t>
      </w:r>
      <w:r w:rsidR="00F71BA5">
        <w:rPr>
          <w:rFonts w:hint="eastAsia"/>
        </w:rPr>
        <w:t>，</w:t>
      </w:r>
      <w:r w:rsidR="001E41C9">
        <w:rPr>
          <w:rFonts w:hint="eastAsia"/>
        </w:rPr>
        <w:t>而</w:t>
      </w:r>
      <w:r w:rsidR="00294BB5" w:rsidRPr="00DC3A0D">
        <w:rPr>
          <w:rFonts w:hint="eastAsia"/>
        </w:rPr>
        <w:t>宏观融资结构转型</w:t>
      </w:r>
      <w:r w:rsidR="00BA584D" w:rsidRPr="00DC3A0D">
        <w:rPr>
          <w:rFonts w:hint="eastAsia"/>
        </w:rPr>
        <w:t>是由经济发展阶段</w:t>
      </w:r>
      <w:r w:rsidR="000F184A" w:rsidRPr="00DC3A0D">
        <w:rPr>
          <w:rFonts w:hint="eastAsia"/>
        </w:rPr>
        <w:t>变化</w:t>
      </w:r>
      <w:r w:rsidR="00BA584D" w:rsidRPr="00DC3A0D">
        <w:rPr>
          <w:rFonts w:hint="eastAsia"/>
        </w:rPr>
        <w:t>、</w:t>
      </w:r>
      <w:r w:rsidR="00F71BA5">
        <w:rPr>
          <w:rFonts w:hint="eastAsia"/>
        </w:rPr>
        <w:t>产业</w:t>
      </w:r>
      <w:r w:rsidR="005165B9" w:rsidRPr="00DC3A0D">
        <w:rPr>
          <w:rFonts w:hint="eastAsia"/>
        </w:rPr>
        <w:t>结构转型、</w:t>
      </w:r>
      <w:r w:rsidR="00D861E0" w:rsidRPr="00DC3A0D">
        <w:rPr>
          <w:rFonts w:hint="eastAsia"/>
        </w:rPr>
        <w:t>宏观</w:t>
      </w:r>
      <w:r w:rsidR="00492321" w:rsidRPr="00DC3A0D">
        <w:rPr>
          <w:rFonts w:hint="eastAsia"/>
        </w:rPr>
        <w:t>经济周期</w:t>
      </w:r>
      <w:r w:rsidR="006F564A" w:rsidRPr="00DC3A0D">
        <w:rPr>
          <w:rFonts w:hint="eastAsia"/>
        </w:rPr>
        <w:t>及</w:t>
      </w:r>
      <w:r w:rsidR="00D861E0" w:rsidRPr="00DC3A0D">
        <w:rPr>
          <w:rFonts w:hint="eastAsia"/>
        </w:rPr>
        <w:t>政策调整等</w:t>
      </w:r>
      <w:r w:rsidR="00255BD0" w:rsidRPr="00DC3A0D">
        <w:rPr>
          <w:rFonts w:hint="eastAsia"/>
        </w:rPr>
        <w:t>多种因素综合导致的</w:t>
      </w:r>
      <w:r w:rsidR="00B04ACA" w:rsidRPr="00DC3A0D">
        <w:rPr>
          <w:rFonts w:hint="eastAsia"/>
        </w:rPr>
        <w:t>，</w:t>
      </w:r>
      <w:r w:rsidR="00C825B7" w:rsidRPr="00DC3A0D">
        <w:rPr>
          <w:rFonts w:hint="eastAsia"/>
        </w:rPr>
        <w:t>因而</w:t>
      </w:r>
      <w:r w:rsidR="002002E4" w:rsidRPr="00DC3A0D">
        <w:rPr>
          <w:rFonts w:hint="eastAsia"/>
        </w:rPr>
        <w:t>须</w:t>
      </w:r>
      <w:r w:rsidR="00E63976" w:rsidRPr="00DC3A0D">
        <w:rPr>
          <w:rFonts w:hint="eastAsia"/>
        </w:rPr>
        <w:t>要</w:t>
      </w:r>
      <w:r w:rsidR="00C51B47" w:rsidRPr="00DC3A0D">
        <w:rPr>
          <w:rFonts w:hint="eastAsia"/>
        </w:rPr>
        <w:t>以全面、客观、辩证地</w:t>
      </w:r>
      <w:r w:rsidR="009F1E00" w:rsidRPr="00DC3A0D">
        <w:rPr>
          <w:rFonts w:hint="eastAsia"/>
        </w:rPr>
        <w:t>态度看待</w:t>
      </w:r>
      <w:r w:rsidR="00B04ACA" w:rsidRPr="00DC3A0D">
        <w:rPr>
          <w:rFonts w:hint="eastAsia"/>
        </w:rPr>
        <w:t>这一</w:t>
      </w:r>
      <w:r w:rsidR="009F1E00" w:rsidRPr="00DC3A0D">
        <w:rPr>
          <w:rFonts w:hint="eastAsia"/>
        </w:rPr>
        <w:t>转型</w:t>
      </w:r>
      <w:r w:rsidR="00B04ACA" w:rsidRPr="00DC3A0D">
        <w:rPr>
          <w:rFonts w:hint="eastAsia"/>
        </w:rPr>
        <w:t>过程</w:t>
      </w:r>
      <w:r w:rsidR="009F1E00" w:rsidRPr="00DC3A0D">
        <w:rPr>
          <w:rFonts w:hint="eastAsia"/>
        </w:rPr>
        <w:t>及其</w:t>
      </w:r>
      <w:r w:rsidR="00B36826" w:rsidRPr="00DC3A0D">
        <w:rPr>
          <w:rFonts w:hint="eastAsia"/>
        </w:rPr>
        <w:t>影响</w:t>
      </w:r>
      <w:r w:rsidR="009F1E00" w:rsidRPr="00DC3A0D">
        <w:rPr>
          <w:rFonts w:hint="eastAsia"/>
        </w:rPr>
        <w:t>。</w:t>
      </w:r>
    </w:p>
    <w:p w14:paraId="1CB4F32E" w14:textId="217A235E" w:rsidR="001947C7" w:rsidRPr="00DC3A0D" w:rsidRDefault="007333C1" w:rsidP="00713B93">
      <w:pPr>
        <w:ind w:firstLineChars="200" w:firstLine="420"/>
      </w:pPr>
      <w:r w:rsidRPr="00DC3A0D">
        <w:rPr>
          <w:rFonts w:hint="eastAsia"/>
        </w:rPr>
        <w:t>其一</w:t>
      </w:r>
      <w:r w:rsidR="00270BFA" w:rsidRPr="00DC3A0D">
        <w:rPr>
          <w:rFonts w:hint="eastAsia"/>
        </w:rPr>
        <w:t>，</w:t>
      </w:r>
      <w:r w:rsidR="00411B56" w:rsidRPr="00DC3A0D">
        <w:rPr>
          <w:rFonts w:hint="eastAsia"/>
        </w:rPr>
        <w:t>从融资主体视角来看，</w:t>
      </w:r>
      <w:r w:rsidR="001947C7" w:rsidRPr="00DC3A0D">
        <w:rPr>
          <w:rFonts w:hint="eastAsia"/>
        </w:rPr>
        <w:t>以居民住房贷款和基础设施建设融资为代表的非产业性融资</w:t>
      </w:r>
      <w:r w:rsidR="00CF33E4">
        <w:rPr>
          <w:rFonts w:hint="eastAsia"/>
        </w:rPr>
        <w:t>或间接生产性融资</w:t>
      </w:r>
      <w:r w:rsidR="00EA3A44" w:rsidRPr="00DC3A0D">
        <w:rPr>
          <w:rFonts w:hint="eastAsia"/>
        </w:rPr>
        <w:t>是</w:t>
      </w:r>
      <w:r w:rsidR="0051340B">
        <w:rPr>
          <w:rFonts w:hint="eastAsia"/>
        </w:rPr>
        <w:t>现阶段</w:t>
      </w:r>
      <w:r w:rsidR="00C909EE" w:rsidRPr="00DC3A0D">
        <w:rPr>
          <w:rFonts w:hint="eastAsia"/>
        </w:rPr>
        <w:t>对我国宏观融资结构转型影响最大的两种融资类型</w:t>
      </w:r>
      <w:r w:rsidR="005A09B9" w:rsidRPr="00DC3A0D">
        <w:rPr>
          <w:rFonts w:hint="eastAsia"/>
        </w:rPr>
        <w:t>，是</w:t>
      </w:r>
      <w:r w:rsidR="00C909EE" w:rsidRPr="00DC3A0D">
        <w:rPr>
          <w:rFonts w:hint="eastAsia"/>
        </w:rPr>
        <w:t>导致融资主体结构向住户部门和广义政府部门偏移、债务负担</w:t>
      </w:r>
      <w:r w:rsidR="00483D29" w:rsidRPr="00DC3A0D">
        <w:rPr>
          <w:rFonts w:hint="eastAsia"/>
        </w:rPr>
        <w:t>加重的重要原因</w:t>
      </w:r>
      <w:r w:rsidR="00C909EE" w:rsidRPr="00DC3A0D">
        <w:rPr>
          <w:rFonts w:hint="eastAsia"/>
        </w:rPr>
        <w:t>。</w:t>
      </w:r>
      <w:r w:rsidR="00F075C8">
        <w:rPr>
          <w:rFonts w:hint="eastAsia"/>
        </w:rPr>
        <w:t>在未来一段时期，</w:t>
      </w:r>
      <w:r w:rsidR="00ED08F7">
        <w:rPr>
          <w:rFonts w:hint="eastAsia"/>
        </w:rPr>
        <w:t>这两</w:t>
      </w:r>
      <w:r w:rsidR="00F756A0">
        <w:rPr>
          <w:rFonts w:hint="eastAsia"/>
        </w:rPr>
        <w:t>类</w:t>
      </w:r>
      <w:r w:rsidR="00367BCA">
        <w:rPr>
          <w:rFonts w:hint="eastAsia"/>
        </w:rPr>
        <w:t>融资需求</w:t>
      </w:r>
      <w:r w:rsidR="002B7023">
        <w:rPr>
          <w:rFonts w:hint="eastAsia"/>
        </w:rPr>
        <w:t>仍</w:t>
      </w:r>
      <w:r w:rsidR="00035C1E">
        <w:rPr>
          <w:rFonts w:hint="eastAsia"/>
        </w:rPr>
        <w:t>会较为旺盛</w:t>
      </w:r>
      <w:r w:rsidR="0051340B">
        <w:rPr>
          <w:rFonts w:hint="eastAsia"/>
        </w:rPr>
        <w:t>。</w:t>
      </w:r>
      <w:r w:rsidR="00C909EE" w:rsidRPr="00DC3A0D">
        <w:rPr>
          <w:rFonts w:hint="eastAsia"/>
        </w:rPr>
        <w:t>究其本质，</w:t>
      </w:r>
      <w:r w:rsidR="00E660BD" w:rsidRPr="00DC3A0D">
        <w:rPr>
          <w:rFonts w:hint="eastAsia"/>
        </w:rPr>
        <w:t>居民</w:t>
      </w:r>
      <w:r w:rsidR="00C909EE" w:rsidRPr="00DC3A0D">
        <w:rPr>
          <w:rFonts w:hint="eastAsia"/>
        </w:rPr>
        <w:t>住房贷款和基础设施建设融资与一般性的商业性融资</w:t>
      </w:r>
      <w:r w:rsidR="00BA1394" w:rsidRPr="00DC3A0D">
        <w:rPr>
          <w:rFonts w:hint="eastAsia"/>
        </w:rPr>
        <w:t>之间存在</w:t>
      </w:r>
      <w:r w:rsidR="0071298D" w:rsidRPr="00DC3A0D">
        <w:rPr>
          <w:rFonts w:hint="eastAsia"/>
        </w:rPr>
        <w:t>根本不同</w:t>
      </w:r>
      <w:r w:rsidR="00C909EE" w:rsidRPr="00DC3A0D">
        <w:rPr>
          <w:rFonts w:hint="eastAsia"/>
        </w:rPr>
        <w:t>：</w:t>
      </w:r>
      <w:r w:rsidR="00E660BD" w:rsidRPr="00DC3A0D">
        <w:rPr>
          <w:rFonts w:hint="eastAsia"/>
        </w:rPr>
        <w:t>在我国，居民</w:t>
      </w:r>
      <w:r w:rsidR="00C909EE" w:rsidRPr="00DC3A0D">
        <w:rPr>
          <w:rFonts w:hint="eastAsia"/>
        </w:rPr>
        <w:t>住房贷款一般被认为是现金流稳定、风险较低、资产负债管理相对简单的稳健型金融产品；基础设施建设融资一般具有资金规模大、投资周期长、现金流回收慢、正外部性等特点，且具有一定程度的公共品属性。</w:t>
      </w:r>
      <w:r w:rsidR="00B8404E" w:rsidRPr="00DC3A0D">
        <w:rPr>
          <w:rFonts w:hint="eastAsia"/>
        </w:rPr>
        <w:t>对此</w:t>
      </w:r>
      <w:r w:rsidR="001D2B7A" w:rsidRPr="00DC3A0D">
        <w:rPr>
          <w:rFonts w:hint="eastAsia"/>
        </w:rPr>
        <w:t>，</w:t>
      </w:r>
      <w:r w:rsidR="00DA6ED5" w:rsidRPr="00DC3A0D">
        <w:rPr>
          <w:rFonts w:hint="eastAsia"/>
        </w:rPr>
        <w:t>可考虑</w:t>
      </w:r>
      <w:r w:rsidR="00A53873" w:rsidRPr="00DC3A0D">
        <w:rPr>
          <w:rFonts w:hint="eastAsia"/>
        </w:rPr>
        <w:t>构建</w:t>
      </w:r>
      <w:r w:rsidR="001947C7" w:rsidRPr="00DC3A0D">
        <w:rPr>
          <w:rFonts w:hint="eastAsia"/>
        </w:rPr>
        <w:t>专门的融资机制，</w:t>
      </w:r>
      <w:r w:rsidR="00AA62A3" w:rsidRPr="00DC3A0D">
        <w:rPr>
          <w:rFonts w:hint="eastAsia"/>
        </w:rPr>
        <w:t>稳妥有序地</w:t>
      </w:r>
      <w:r w:rsidR="001947C7" w:rsidRPr="00DC3A0D">
        <w:rPr>
          <w:rFonts w:hint="eastAsia"/>
        </w:rPr>
        <w:t>将其</w:t>
      </w:r>
      <w:r w:rsidR="004B11D1" w:rsidRPr="00DC3A0D">
        <w:rPr>
          <w:rFonts w:hint="eastAsia"/>
        </w:rPr>
        <w:t>与</w:t>
      </w:r>
      <w:r w:rsidR="001947C7" w:rsidRPr="00DC3A0D">
        <w:rPr>
          <w:rFonts w:hint="eastAsia"/>
        </w:rPr>
        <w:t>一般商业性融资</w:t>
      </w:r>
      <w:r w:rsidR="00C7641D" w:rsidRPr="00DC3A0D">
        <w:rPr>
          <w:rFonts w:hint="eastAsia"/>
        </w:rPr>
        <w:t>活动</w:t>
      </w:r>
      <w:r w:rsidR="00D159A5" w:rsidRPr="00DC3A0D">
        <w:rPr>
          <w:rFonts w:hint="eastAsia"/>
        </w:rPr>
        <w:t>区分</w:t>
      </w:r>
      <w:r w:rsidR="001947C7" w:rsidRPr="00DC3A0D">
        <w:rPr>
          <w:rFonts w:hint="eastAsia"/>
        </w:rPr>
        <w:t>开来。</w:t>
      </w:r>
      <w:r w:rsidR="00056AB3">
        <w:rPr>
          <w:rFonts w:hint="eastAsia"/>
        </w:rPr>
        <w:t>一方面，</w:t>
      </w:r>
      <w:r w:rsidR="003A79CB" w:rsidRPr="00DC3A0D">
        <w:rPr>
          <w:rFonts w:hint="eastAsia"/>
        </w:rPr>
        <w:t>针对</w:t>
      </w:r>
      <w:r w:rsidR="00D17E29" w:rsidRPr="00DC3A0D">
        <w:rPr>
          <w:rFonts w:hint="eastAsia"/>
        </w:rPr>
        <w:t>个人购房融资</w:t>
      </w:r>
      <w:r w:rsidR="0020209F" w:rsidRPr="00DC3A0D">
        <w:rPr>
          <w:rFonts w:hint="eastAsia"/>
        </w:rPr>
        <w:t>需求</w:t>
      </w:r>
      <w:r w:rsidR="00D17E29" w:rsidRPr="00DC3A0D">
        <w:rPr>
          <w:rFonts w:hint="eastAsia"/>
        </w:rPr>
        <w:t>，可在城市层面设立专门的“住房抵押贷款银行”</w:t>
      </w:r>
      <w:r w:rsidR="008864ED" w:rsidRPr="00DC3A0D">
        <w:rPr>
          <w:rFonts w:hint="eastAsia"/>
        </w:rPr>
        <w:t>或</w:t>
      </w:r>
      <w:r w:rsidR="00D17E29" w:rsidRPr="00DC3A0D">
        <w:rPr>
          <w:rFonts w:hint="eastAsia"/>
        </w:rPr>
        <w:t>组建</w:t>
      </w:r>
      <w:r w:rsidR="00DA4C35" w:rsidRPr="00DC3A0D">
        <w:rPr>
          <w:rFonts w:hint="eastAsia"/>
        </w:rPr>
        <w:t>专门的</w:t>
      </w:r>
      <w:r w:rsidR="00D17E29" w:rsidRPr="00DC3A0D">
        <w:rPr>
          <w:rFonts w:hint="eastAsia"/>
        </w:rPr>
        <w:t>非银行</w:t>
      </w:r>
      <w:r w:rsidR="00CC3767" w:rsidRPr="00DC3A0D">
        <w:rPr>
          <w:rFonts w:hint="eastAsia"/>
        </w:rPr>
        <w:t>类住房</w:t>
      </w:r>
      <w:r w:rsidR="007E0C17" w:rsidRPr="00DC3A0D">
        <w:rPr>
          <w:rFonts w:hint="eastAsia"/>
        </w:rPr>
        <w:t>金融</w:t>
      </w:r>
      <w:r w:rsidR="00D17E29" w:rsidRPr="00DC3A0D">
        <w:rPr>
          <w:rFonts w:hint="eastAsia"/>
        </w:rPr>
        <w:t>机构进行基金化的独立运作。</w:t>
      </w:r>
      <w:r w:rsidR="00056AB3">
        <w:rPr>
          <w:rFonts w:hint="eastAsia"/>
        </w:rPr>
        <w:t>另一方面，</w:t>
      </w:r>
      <w:r w:rsidR="001B5591" w:rsidRPr="00DC3A0D">
        <w:rPr>
          <w:rFonts w:hint="eastAsia"/>
        </w:rPr>
        <w:t>针对</w:t>
      </w:r>
      <w:r w:rsidR="00D17E29" w:rsidRPr="00DC3A0D">
        <w:rPr>
          <w:rFonts w:hint="eastAsia"/>
        </w:rPr>
        <w:t>基础设施建设融资</w:t>
      </w:r>
      <w:r w:rsidR="00480090" w:rsidRPr="00DC3A0D">
        <w:rPr>
          <w:rFonts w:hint="eastAsia"/>
        </w:rPr>
        <w:t>需求</w:t>
      </w:r>
      <w:r w:rsidR="00D17E29" w:rsidRPr="00DC3A0D">
        <w:rPr>
          <w:rFonts w:hint="eastAsia"/>
        </w:rPr>
        <w:t>，</w:t>
      </w:r>
      <w:r w:rsidR="00FA6A86" w:rsidRPr="00DC3A0D">
        <w:rPr>
          <w:rFonts w:hint="eastAsia"/>
        </w:rPr>
        <w:t>可</w:t>
      </w:r>
      <w:r w:rsidR="00D17E29" w:rsidRPr="00DC3A0D">
        <w:rPr>
          <w:rFonts w:hint="eastAsia"/>
        </w:rPr>
        <w:t>在国家层面或省级层面组建专门的基础设施投资银行或基础设施投资基金，统筹布局和提供专业性的基础设施投融资服务。这些举措不仅顺应</w:t>
      </w:r>
      <w:r w:rsidR="00A6793F">
        <w:rPr>
          <w:rFonts w:hint="eastAsia"/>
        </w:rPr>
        <w:t>现阶段我国</w:t>
      </w:r>
      <w:r w:rsidR="00D17E29" w:rsidRPr="00DC3A0D">
        <w:rPr>
          <w:rFonts w:hint="eastAsia"/>
        </w:rPr>
        <w:t>宏观融资结构的转型特征，有利于优化资金配置效率；而且有助于完善宏观债务的审慎管理，降低系统性金融风险。</w:t>
      </w:r>
    </w:p>
    <w:p w14:paraId="5B13DD46" w14:textId="1942EBCA" w:rsidR="007C3A13" w:rsidRPr="00DC3A0D" w:rsidRDefault="00661926">
      <w:pPr>
        <w:ind w:firstLineChars="200" w:firstLine="420"/>
      </w:pPr>
      <w:r w:rsidRPr="00DC3A0D">
        <w:rPr>
          <w:rFonts w:hint="eastAsia"/>
        </w:rPr>
        <w:t>其二，</w:t>
      </w:r>
      <w:r w:rsidR="00A358AC" w:rsidRPr="00DC3A0D">
        <w:rPr>
          <w:rFonts w:hint="eastAsia"/>
        </w:rPr>
        <w:t>从</w:t>
      </w:r>
      <w:r w:rsidR="00957A06" w:rsidRPr="00DC3A0D">
        <w:rPr>
          <w:rFonts w:hint="eastAsia"/>
        </w:rPr>
        <w:t>融资</w:t>
      </w:r>
      <w:r w:rsidR="00A358AC" w:rsidRPr="00DC3A0D">
        <w:rPr>
          <w:rFonts w:hint="eastAsia"/>
        </w:rPr>
        <w:t>用途视角来看，</w:t>
      </w:r>
      <w:r w:rsidR="001947C7" w:rsidRPr="00DC3A0D">
        <w:rPr>
          <w:rFonts w:hint="eastAsia"/>
        </w:rPr>
        <w:t>产业</w:t>
      </w:r>
      <w:r w:rsidR="006B6B0E">
        <w:rPr>
          <w:rFonts w:hint="eastAsia"/>
        </w:rPr>
        <w:t>结构</w:t>
      </w:r>
      <w:r w:rsidR="001947C7" w:rsidRPr="00DC3A0D">
        <w:rPr>
          <w:rFonts w:hint="eastAsia"/>
        </w:rPr>
        <w:t>转型升级对金融适应性带来挑战</w:t>
      </w:r>
      <w:r w:rsidR="00D15768" w:rsidRPr="00DC3A0D">
        <w:rPr>
          <w:rFonts w:hint="eastAsia"/>
        </w:rPr>
        <w:t>，尤其是</w:t>
      </w:r>
      <w:r w:rsidR="00276BC3" w:rsidRPr="00DC3A0D">
        <w:rPr>
          <w:rFonts w:hint="eastAsia"/>
        </w:rPr>
        <w:t>近年来</w:t>
      </w:r>
      <w:r w:rsidR="00D15768" w:rsidRPr="00DC3A0D">
        <w:rPr>
          <w:rFonts w:hint="eastAsia"/>
        </w:rPr>
        <w:t>服务业融资需求</w:t>
      </w:r>
      <w:r w:rsidR="00276BC3" w:rsidRPr="00DC3A0D">
        <w:rPr>
          <w:rFonts w:hint="eastAsia"/>
        </w:rPr>
        <w:t>呈</w:t>
      </w:r>
      <w:r w:rsidR="00D15768" w:rsidRPr="00DC3A0D">
        <w:rPr>
          <w:rFonts w:hint="eastAsia"/>
        </w:rPr>
        <w:t>多元化扩张</w:t>
      </w:r>
      <w:r w:rsidR="00442BED" w:rsidRPr="00DC3A0D">
        <w:rPr>
          <w:rFonts w:hint="eastAsia"/>
        </w:rPr>
        <w:t>之势。</w:t>
      </w:r>
      <w:r w:rsidR="009850BE" w:rsidRPr="00DC3A0D">
        <w:rPr>
          <w:rFonts w:hint="eastAsia"/>
        </w:rPr>
        <w:t>对此，</w:t>
      </w:r>
      <w:r w:rsidR="001947C7" w:rsidRPr="00DC3A0D">
        <w:rPr>
          <w:rFonts w:hint="eastAsia"/>
        </w:rPr>
        <w:t>一是</w:t>
      </w:r>
      <w:r w:rsidR="005E4F25">
        <w:rPr>
          <w:rFonts w:hint="eastAsia"/>
        </w:rPr>
        <w:t>要</w:t>
      </w:r>
      <w:r w:rsidR="001947C7" w:rsidRPr="00DC3A0D">
        <w:rPr>
          <w:rFonts w:hint="eastAsia"/>
        </w:rPr>
        <w:t>顺应产业结构转型特点，创新投融资方式，</w:t>
      </w:r>
      <w:r w:rsidR="00BE7541">
        <w:rPr>
          <w:rFonts w:hint="eastAsia"/>
        </w:rPr>
        <w:t>对于</w:t>
      </w:r>
      <w:r w:rsidR="001947C7" w:rsidRPr="00DC3A0D">
        <w:rPr>
          <w:rFonts w:hint="eastAsia"/>
        </w:rPr>
        <w:t>不同产业和企业的特点提供有针对性的金融服务</w:t>
      </w:r>
      <w:r w:rsidR="00291F92" w:rsidRPr="00DC3A0D">
        <w:rPr>
          <w:rFonts w:hint="eastAsia"/>
        </w:rPr>
        <w:t>，提高金融体系对产业转型</w:t>
      </w:r>
      <w:r w:rsidR="002F663F" w:rsidRPr="00DC3A0D">
        <w:rPr>
          <w:rFonts w:hint="eastAsia"/>
        </w:rPr>
        <w:t>升级</w:t>
      </w:r>
      <w:r w:rsidR="00291F92" w:rsidRPr="00DC3A0D">
        <w:rPr>
          <w:rFonts w:hint="eastAsia"/>
        </w:rPr>
        <w:t>的适应性</w:t>
      </w:r>
      <w:r w:rsidR="001947C7" w:rsidRPr="00DC3A0D">
        <w:rPr>
          <w:rFonts w:hint="eastAsia"/>
        </w:rPr>
        <w:t>。二是在服务业规模扩大、重要性增强的情况下，银行等金融机构</w:t>
      </w:r>
      <w:r w:rsidR="00391DC1">
        <w:rPr>
          <w:rFonts w:hint="eastAsia"/>
        </w:rPr>
        <w:t>要</w:t>
      </w:r>
      <w:r w:rsidR="001947C7" w:rsidRPr="00DC3A0D">
        <w:rPr>
          <w:rFonts w:hint="eastAsia"/>
        </w:rPr>
        <w:t>提高</w:t>
      </w:r>
      <w:r w:rsidR="006C3386" w:rsidRPr="00DC3A0D">
        <w:rPr>
          <w:rFonts w:hint="eastAsia"/>
        </w:rPr>
        <w:t>“</w:t>
      </w:r>
      <w:r w:rsidR="001947C7" w:rsidRPr="00DC3A0D">
        <w:rPr>
          <w:rFonts w:hint="eastAsia"/>
        </w:rPr>
        <w:t>主动</w:t>
      </w:r>
      <w:r w:rsidR="00B51B6B" w:rsidRPr="00DC3A0D">
        <w:rPr>
          <w:rFonts w:hint="eastAsia"/>
        </w:rPr>
        <w:t>的”</w:t>
      </w:r>
      <w:r w:rsidR="001947C7" w:rsidRPr="00DC3A0D">
        <w:rPr>
          <w:rFonts w:hint="eastAsia"/>
        </w:rPr>
        <w:t>效率识别能力</w:t>
      </w:r>
      <w:r w:rsidR="003B3855" w:rsidRPr="00DC3A0D">
        <w:rPr>
          <w:rFonts w:hint="eastAsia"/>
        </w:rPr>
        <w:t>和风险定价能力</w:t>
      </w:r>
      <w:r w:rsidR="001947C7" w:rsidRPr="00DC3A0D">
        <w:rPr>
          <w:rFonts w:hint="eastAsia"/>
        </w:rPr>
        <w:t>，改变过去</w:t>
      </w:r>
      <w:r w:rsidR="00BE02BC">
        <w:rPr>
          <w:rFonts w:hint="eastAsia"/>
        </w:rPr>
        <w:t>主要</w:t>
      </w:r>
      <w:r w:rsidR="001947C7" w:rsidRPr="00DC3A0D">
        <w:rPr>
          <w:rFonts w:hint="eastAsia"/>
        </w:rPr>
        <w:t>土地</w:t>
      </w:r>
      <w:r w:rsidR="00EC0DD8">
        <w:rPr>
          <w:rFonts w:hint="eastAsia"/>
        </w:rPr>
        <w:t>使用权</w:t>
      </w:r>
      <w:r w:rsidR="001947C7" w:rsidRPr="00DC3A0D">
        <w:rPr>
          <w:rFonts w:hint="eastAsia"/>
        </w:rPr>
        <w:t>、厂房设备、存货抵押品进行风险控制</w:t>
      </w:r>
      <w:r w:rsidR="007D3B9D" w:rsidRPr="00DC3A0D">
        <w:rPr>
          <w:rFonts w:hint="eastAsia"/>
        </w:rPr>
        <w:t>和效率识别</w:t>
      </w:r>
      <w:r w:rsidR="001947C7" w:rsidRPr="00DC3A0D">
        <w:rPr>
          <w:rFonts w:hint="eastAsia"/>
        </w:rPr>
        <w:t>的</w:t>
      </w:r>
      <w:r w:rsidR="000D039C">
        <w:rPr>
          <w:rFonts w:hint="eastAsia"/>
        </w:rPr>
        <w:t>“</w:t>
      </w:r>
      <w:r w:rsidR="007D3B9D" w:rsidRPr="00DC3A0D">
        <w:rPr>
          <w:rFonts w:hint="eastAsia"/>
        </w:rPr>
        <w:t>被动</w:t>
      </w:r>
      <w:r w:rsidR="000D039C">
        <w:rPr>
          <w:rFonts w:hint="eastAsia"/>
        </w:rPr>
        <w:t>”</w:t>
      </w:r>
      <w:r w:rsidR="001947C7" w:rsidRPr="00DC3A0D">
        <w:rPr>
          <w:rFonts w:hint="eastAsia"/>
        </w:rPr>
        <w:t>模式。三是要引导</w:t>
      </w:r>
      <w:r w:rsidR="009332BE" w:rsidRPr="00DC3A0D">
        <w:rPr>
          <w:rFonts w:hint="eastAsia"/>
        </w:rPr>
        <w:t>金融体系</w:t>
      </w:r>
      <w:r w:rsidR="001947C7" w:rsidRPr="00DC3A0D">
        <w:rPr>
          <w:rFonts w:hint="eastAsia"/>
        </w:rPr>
        <w:t>为制造业发展提供充足和价格适宜的资金，防止制造业融资萎缩。</w:t>
      </w:r>
      <w:r w:rsidR="007C3A13" w:rsidRPr="00DC3A0D">
        <w:rPr>
          <w:rFonts w:hint="eastAsia"/>
        </w:rPr>
        <w:t>此外，随着存量债务的不断积累，新增融资中用于还本付息的比例仍可能继续上升</w:t>
      </w:r>
      <w:r w:rsidR="006246B5" w:rsidRPr="00DC3A0D">
        <w:rPr>
          <w:rFonts w:hint="eastAsia"/>
        </w:rPr>
        <w:t>；</w:t>
      </w:r>
      <w:r w:rsidR="007C3A13" w:rsidRPr="00DC3A0D">
        <w:rPr>
          <w:rFonts w:hint="eastAsia"/>
        </w:rPr>
        <w:t>对此，除了在增量融资中提升股权融资占比之外，还应多措并举减轻金融体系借新还旧的存量债务负担</w:t>
      </w:r>
      <w:r w:rsidR="00327369">
        <w:rPr>
          <w:rFonts w:hint="eastAsia"/>
        </w:rPr>
        <w:t>：</w:t>
      </w:r>
      <w:r w:rsidR="007C3A13" w:rsidRPr="00DC3A0D">
        <w:rPr>
          <w:rFonts w:hint="eastAsia"/>
        </w:rPr>
        <w:t>一是引导</w:t>
      </w:r>
      <w:r w:rsidR="00836951">
        <w:rPr>
          <w:rFonts w:hint="eastAsia"/>
        </w:rPr>
        <w:t>实体经济</w:t>
      </w:r>
      <w:r w:rsidR="008C1319">
        <w:rPr>
          <w:rFonts w:hint="eastAsia"/>
        </w:rPr>
        <w:t>利率</w:t>
      </w:r>
      <w:r w:rsidR="00836951">
        <w:rPr>
          <w:rFonts w:hint="eastAsia"/>
        </w:rPr>
        <w:t>成本</w:t>
      </w:r>
      <w:r w:rsidR="007C3A13" w:rsidRPr="00DC3A0D">
        <w:rPr>
          <w:rFonts w:hint="eastAsia"/>
        </w:rPr>
        <w:t>下行，降低存量债务</w:t>
      </w:r>
      <w:r w:rsidR="00AB693A">
        <w:rPr>
          <w:rFonts w:hint="eastAsia"/>
        </w:rPr>
        <w:t>负担</w:t>
      </w:r>
      <w:r w:rsidR="007C3A13" w:rsidRPr="00DC3A0D">
        <w:rPr>
          <w:rFonts w:hint="eastAsia"/>
        </w:rPr>
        <w:t>。二是采用债务置换等办法，用新的低息债务</w:t>
      </w:r>
      <w:r w:rsidR="00433C4D">
        <w:rPr>
          <w:rFonts w:hint="eastAsia"/>
        </w:rPr>
        <w:t>置换</w:t>
      </w:r>
      <w:r w:rsidR="007C3A13" w:rsidRPr="00DC3A0D">
        <w:rPr>
          <w:rFonts w:hint="eastAsia"/>
        </w:rPr>
        <w:t>历史上积累的高息债务。三是通过债务甄别及时剥离或重组不良债务，避免僵尸主体</w:t>
      </w:r>
      <w:r w:rsidR="00806D81">
        <w:rPr>
          <w:rFonts w:hint="eastAsia"/>
        </w:rPr>
        <w:t>在</w:t>
      </w:r>
      <w:r w:rsidR="007C3A13" w:rsidRPr="00DC3A0D">
        <w:rPr>
          <w:rFonts w:hint="eastAsia"/>
        </w:rPr>
        <w:t>不断借新还旧</w:t>
      </w:r>
      <w:r w:rsidR="004B6352">
        <w:rPr>
          <w:rFonts w:hint="eastAsia"/>
        </w:rPr>
        <w:t>中</w:t>
      </w:r>
      <w:r w:rsidR="007C3A13" w:rsidRPr="00DC3A0D">
        <w:rPr>
          <w:rFonts w:hint="eastAsia"/>
        </w:rPr>
        <w:t>无畏消耗金融资源。</w:t>
      </w:r>
    </w:p>
    <w:p w14:paraId="790C07E4" w14:textId="594E61D6" w:rsidR="00190076" w:rsidRPr="00DC3A0D" w:rsidRDefault="00D719BC" w:rsidP="00713B93">
      <w:pPr>
        <w:ind w:firstLineChars="200" w:firstLine="420"/>
      </w:pPr>
      <w:r w:rsidRPr="00DC3A0D">
        <w:rPr>
          <w:rFonts w:hint="eastAsia"/>
        </w:rPr>
        <w:t>其三，</w:t>
      </w:r>
      <w:r w:rsidR="004F53A1" w:rsidRPr="00DC3A0D">
        <w:rPr>
          <w:rFonts w:hint="eastAsia"/>
        </w:rPr>
        <w:t>从融资渠道视角来看，</w:t>
      </w:r>
      <w:r w:rsidR="001E0ED9" w:rsidRPr="00DC3A0D">
        <w:rPr>
          <w:rFonts w:hint="eastAsia"/>
        </w:rPr>
        <w:t>由要素积累驱动为主向创新驱动为主</w:t>
      </w:r>
      <w:r w:rsidR="000B3EC4" w:rsidRPr="00DC3A0D">
        <w:rPr>
          <w:rFonts w:hint="eastAsia"/>
        </w:rPr>
        <w:t>的</w:t>
      </w:r>
      <w:r w:rsidR="001871E9">
        <w:rPr>
          <w:rFonts w:hint="eastAsia"/>
        </w:rPr>
        <w:t>高质量</w:t>
      </w:r>
      <w:r w:rsidR="000B3EC4" w:rsidRPr="00DC3A0D">
        <w:rPr>
          <w:rFonts w:hint="eastAsia"/>
        </w:rPr>
        <w:t>经济发展模式</w:t>
      </w:r>
      <w:r w:rsidR="00444D5E" w:rsidRPr="00DC3A0D">
        <w:rPr>
          <w:rFonts w:hint="eastAsia"/>
        </w:rPr>
        <w:t>对</w:t>
      </w:r>
      <w:r w:rsidR="00C74901" w:rsidRPr="00DC3A0D">
        <w:rPr>
          <w:rFonts w:hint="eastAsia"/>
        </w:rPr>
        <w:t>股权融资</w:t>
      </w:r>
      <w:r w:rsidR="005F3D8C" w:rsidRPr="00DC3A0D">
        <w:rPr>
          <w:rFonts w:hint="eastAsia"/>
        </w:rPr>
        <w:t>和</w:t>
      </w:r>
      <w:r w:rsidR="00AC602E" w:rsidRPr="00DC3A0D">
        <w:rPr>
          <w:rFonts w:hint="eastAsia"/>
        </w:rPr>
        <w:t>金融专业分工细化提出了更高要求。</w:t>
      </w:r>
      <w:r w:rsidR="006C76C0" w:rsidRPr="00DC3A0D">
        <w:rPr>
          <w:rFonts w:hint="eastAsia"/>
        </w:rPr>
        <w:t>对此，一方面要</w:t>
      </w:r>
      <w:r w:rsidR="00190076" w:rsidRPr="00DC3A0D">
        <w:rPr>
          <w:rFonts w:hint="eastAsia"/>
        </w:rPr>
        <w:t>促进多层次资本市场健康发展，尤其是加快补齐股票市场制度短板，大力发展股权融资</w:t>
      </w:r>
      <w:r w:rsidR="001E696A" w:rsidRPr="00DC3A0D">
        <w:rPr>
          <w:rFonts w:hint="eastAsia"/>
        </w:rPr>
        <w:t>，</w:t>
      </w:r>
      <w:r w:rsidR="006306DF" w:rsidRPr="00DC3A0D">
        <w:rPr>
          <w:rFonts w:hint="eastAsia"/>
        </w:rPr>
        <w:t>降低</w:t>
      </w:r>
      <w:r w:rsidR="005B4CB9" w:rsidRPr="00DC3A0D">
        <w:rPr>
          <w:rFonts w:hint="eastAsia"/>
        </w:rPr>
        <w:t>实体</w:t>
      </w:r>
      <w:r w:rsidR="00190076" w:rsidRPr="00DC3A0D">
        <w:rPr>
          <w:rFonts w:hint="eastAsia"/>
        </w:rPr>
        <w:t>经济对</w:t>
      </w:r>
      <w:r w:rsidR="00FE68DF" w:rsidRPr="00DC3A0D">
        <w:rPr>
          <w:rFonts w:hint="eastAsia"/>
        </w:rPr>
        <w:t>银行信贷</w:t>
      </w:r>
      <w:r w:rsidR="00190076" w:rsidRPr="00DC3A0D">
        <w:rPr>
          <w:rFonts w:hint="eastAsia"/>
        </w:rPr>
        <w:t>的过度依赖。</w:t>
      </w:r>
      <w:r w:rsidR="00862F00" w:rsidRPr="00DC3A0D">
        <w:rPr>
          <w:rFonts w:hint="eastAsia"/>
        </w:rPr>
        <w:t>另一方面</w:t>
      </w:r>
      <w:r w:rsidR="0048222E">
        <w:rPr>
          <w:rFonts w:hint="eastAsia"/>
        </w:rPr>
        <w:t>，</w:t>
      </w:r>
      <w:r w:rsidR="00961E49" w:rsidRPr="00DC3A0D">
        <w:rPr>
          <w:rFonts w:hint="eastAsia"/>
        </w:rPr>
        <w:t>应认识到</w:t>
      </w:r>
      <w:r w:rsidR="00B248B4" w:rsidRPr="00DC3A0D">
        <w:rPr>
          <w:rFonts w:hint="eastAsia"/>
        </w:rPr>
        <w:t>金融专业分工细化正在</w:t>
      </w:r>
      <w:r w:rsidR="00220814" w:rsidRPr="00DC3A0D">
        <w:rPr>
          <w:rFonts w:hint="eastAsia"/>
        </w:rPr>
        <w:t>一定程度上</w:t>
      </w:r>
      <w:r w:rsidR="00B248B4" w:rsidRPr="00DC3A0D">
        <w:rPr>
          <w:rFonts w:hint="eastAsia"/>
        </w:rPr>
        <w:t>打破</w:t>
      </w:r>
      <w:r w:rsidR="00E57C00" w:rsidRPr="00DC3A0D">
        <w:rPr>
          <w:rFonts w:hint="eastAsia"/>
        </w:rPr>
        <w:t>传统上</w:t>
      </w:r>
      <w:r w:rsidR="002D7BFA" w:rsidRPr="00DC3A0D">
        <w:rPr>
          <w:rFonts w:hint="eastAsia"/>
        </w:rPr>
        <w:t>间接融资与直接融资之间、股权融资与债券融资</w:t>
      </w:r>
      <w:r w:rsidR="002A008D" w:rsidRPr="00DC3A0D">
        <w:rPr>
          <w:rFonts w:hint="eastAsia"/>
        </w:rPr>
        <w:t>之间</w:t>
      </w:r>
      <w:r w:rsidR="002D7BFA" w:rsidRPr="00DC3A0D">
        <w:rPr>
          <w:rFonts w:hint="eastAsia"/>
        </w:rPr>
        <w:t>的</w:t>
      </w:r>
      <w:r w:rsidR="00927649" w:rsidRPr="00DC3A0D">
        <w:rPr>
          <w:rFonts w:hint="eastAsia"/>
        </w:rPr>
        <w:t>边界</w:t>
      </w:r>
      <w:r w:rsidR="00322C2C" w:rsidRPr="00DC3A0D">
        <w:rPr>
          <w:rFonts w:hint="eastAsia"/>
        </w:rPr>
        <w:t>。</w:t>
      </w:r>
      <w:r w:rsidR="00DD2ED0" w:rsidRPr="00DC3A0D">
        <w:rPr>
          <w:rFonts w:hint="eastAsia"/>
        </w:rPr>
        <w:t>未来</w:t>
      </w:r>
      <w:r w:rsidR="00D804A9" w:rsidRPr="00DC3A0D">
        <w:rPr>
          <w:rFonts w:hint="eastAsia"/>
        </w:rPr>
        <w:t>更多的融资链条将呈现</w:t>
      </w:r>
      <w:r w:rsidR="00DD2ED0" w:rsidRPr="00DC3A0D">
        <w:rPr>
          <w:rFonts w:hint="eastAsia"/>
        </w:rPr>
        <w:t>直接融资与间接融资</w:t>
      </w:r>
      <w:r w:rsidR="00BF2187" w:rsidRPr="00DC3A0D">
        <w:rPr>
          <w:rFonts w:hint="eastAsia"/>
        </w:rPr>
        <w:t>相互</w:t>
      </w:r>
      <w:r w:rsidR="00DD2ED0" w:rsidRPr="00DC3A0D">
        <w:rPr>
          <w:rFonts w:hint="eastAsia"/>
        </w:rPr>
        <w:t>衔接、</w:t>
      </w:r>
      <w:r w:rsidR="00382DE4" w:rsidRPr="00DC3A0D">
        <w:rPr>
          <w:rFonts w:hint="eastAsia"/>
        </w:rPr>
        <w:t>银行业务与非银业务</w:t>
      </w:r>
      <w:r w:rsidR="004B338F" w:rsidRPr="00DC3A0D">
        <w:rPr>
          <w:rFonts w:hint="eastAsia"/>
        </w:rPr>
        <w:t>相互</w:t>
      </w:r>
      <w:r w:rsidR="006E5469" w:rsidRPr="00DC3A0D">
        <w:rPr>
          <w:rFonts w:hint="eastAsia"/>
        </w:rPr>
        <w:t>对接</w:t>
      </w:r>
      <w:r w:rsidR="004B338F" w:rsidRPr="00DC3A0D">
        <w:rPr>
          <w:rFonts w:hint="eastAsia"/>
        </w:rPr>
        <w:t>的趋势，</w:t>
      </w:r>
      <w:r w:rsidR="00AE359D" w:rsidRPr="00DC3A0D">
        <w:rPr>
          <w:rFonts w:hint="eastAsia"/>
        </w:rPr>
        <w:t>一些</w:t>
      </w:r>
      <w:r w:rsidR="00322C2C" w:rsidRPr="00DC3A0D">
        <w:rPr>
          <w:rFonts w:hint="eastAsia"/>
        </w:rPr>
        <w:t>同时</w:t>
      </w:r>
      <w:r w:rsidR="00B80A88" w:rsidRPr="00DC3A0D">
        <w:rPr>
          <w:rFonts w:hint="eastAsia"/>
        </w:rPr>
        <w:t>兼具股性和债性</w:t>
      </w:r>
      <w:r w:rsidR="00C456EF" w:rsidRPr="00DC3A0D">
        <w:rPr>
          <w:rFonts w:hint="eastAsia"/>
        </w:rPr>
        <w:t>的</w:t>
      </w:r>
      <w:r w:rsidR="001D4119" w:rsidRPr="00DC3A0D">
        <w:rPr>
          <w:rFonts w:hint="eastAsia"/>
        </w:rPr>
        <w:t>“混合</w:t>
      </w:r>
      <w:r w:rsidR="00221EBA" w:rsidRPr="00DC3A0D">
        <w:rPr>
          <w:rFonts w:hint="eastAsia"/>
        </w:rPr>
        <w:t>融资</w:t>
      </w:r>
      <w:r w:rsidR="001D4119" w:rsidRPr="00DC3A0D">
        <w:rPr>
          <w:rFonts w:hint="eastAsia"/>
        </w:rPr>
        <w:t>模式”</w:t>
      </w:r>
      <w:r w:rsidR="00CE0363" w:rsidRPr="00DC3A0D">
        <w:rPr>
          <w:rFonts w:hint="eastAsia"/>
        </w:rPr>
        <w:t>能够</w:t>
      </w:r>
      <w:r w:rsidR="0048222E">
        <w:rPr>
          <w:rFonts w:hint="eastAsia"/>
        </w:rPr>
        <w:t>为</w:t>
      </w:r>
      <w:r w:rsidR="00A3119A" w:rsidRPr="00DC3A0D">
        <w:rPr>
          <w:rFonts w:hint="eastAsia"/>
        </w:rPr>
        <w:t>服务</w:t>
      </w:r>
      <w:r w:rsidR="002B65FF" w:rsidRPr="00DC3A0D">
        <w:rPr>
          <w:rFonts w:hint="eastAsia"/>
        </w:rPr>
        <w:t>实体经济发展</w:t>
      </w:r>
      <w:r w:rsidR="00A3119A" w:rsidRPr="00DC3A0D">
        <w:rPr>
          <w:rFonts w:hint="eastAsia"/>
        </w:rPr>
        <w:t>起到独特作用</w:t>
      </w:r>
      <w:r w:rsidR="00AA2EFA" w:rsidRPr="00DC3A0D">
        <w:rPr>
          <w:rFonts w:hint="eastAsia"/>
        </w:rPr>
        <w:t>。</w:t>
      </w:r>
      <w:r w:rsidR="00190076" w:rsidRPr="00DC3A0D">
        <w:rPr>
          <w:rFonts w:hint="eastAsia"/>
        </w:rPr>
        <w:t>对于金融实践中由专业分工细化产生的</w:t>
      </w:r>
      <w:r w:rsidR="00A62AD5">
        <w:rPr>
          <w:rFonts w:hint="eastAsia"/>
        </w:rPr>
        <w:t>、</w:t>
      </w:r>
      <w:r w:rsidR="00190076" w:rsidRPr="00DC3A0D">
        <w:rPr>
          <w:rFonts w:hint="eastAsia"/>
        </w:rPr>
        <w:t>有利于提高资金配置效率的业务创新，监管应避免政策“一刀切”</w:t>
      </w:r>
      <w:r w:rsidR="00A62AD5">
        <w:rPr>
          <w:rFonts w:hint="eastAsia"/>
        </w:rPr>
        <w:t>；</w:t>
      </w:r>
      <w:r w:rsidR="00190076" w:rsidRPr="00DC3A0D">
        <w:rPr>
          <w:rFonts w:hint="eastAsia"/>
        </w:rPr>
        <w:t>应在防范系统性风险的前提下给予一定尝试空间</w:t>
      </w:r>
      <w:r w:rsidR="00FA08F6" w:rsidRPr="00DC3A0D">
        <w:rPr>
          <w:rFonts w:hint="eastAsia"/>
        </w:rPr>
        <w:t>和容错度</w:t>
      </w:r>
      <w:r w:rsidR="00190076" w:rsidRPr="00DC3A0D">
        <w:rPr>
          <w:rFonts w:hint="eastAsia"/>
        </w:rPr>
        <w:t>，</w:t>
      </w:r>
      <w:r w:rsidR="00F65F80" w:rsidRPr="00DC3A0D">
        <w:rPr>
          <w:rFonts w:hint="eastAsia"/>
        </w:rPr>
        <w:t>及</w:t>
      </w:r>
      <w:r w:rsidR="00190076" w:rsidRPr="00DC3A0D">
        <w:rPr>
          <w:rFonts w:hint="eastAsia"/>
        </w:rPr>
        <w:t>时优化调整监管政策。</w:t>
      </w:r>
    </w:p>
    <w:p w14:paraId="2D385BCB" w14:textId="52A1EB4B" w:rsidR="009D57C4" w:rsidRPr="00DC3A0D" w:rsidRDefault="0013124B" w:rsidP="00713B93">
      <w:pPr>
        <w:ind w:firstLineChars="200" w:firstLine="420"/>
      </w:pPr>
      <w:r w:rsidRPr="00DC3A0D">
        <w:rPr>
          <w:rFonts w:hint="eastAsia"/>
        </w:rPr>
        <w:t>总而言之，</w:t>
      </w:r>
      <w:r w:rsidR="008255AA" w:rsidRPr="00DC3A0D">
        <w:rPr>
          <w:rFonts w:hint="eastAsia"/>
        </w:rPr>
        <w:t>提升</w:t>
      </w:r>
      <w:r w:rsidR="00686AEC" w:rsidRPr="00DC3A0D">
        <w:rPr>
          <w:rFonts w:hint="eastAsia"/>
        </w:rPr>
        <w:t>金融资源</w:t>
      </w:r>
      <w:r w:rsidR="008255AA" w:rsidRPr="00DC3A0D">
        <w:rPr>
          <w:rFonts w:hint="eastAsia"/>
        </w:rPr>
        <w:t>配置效率</w:t>
      </w:r>
      <w:r w:rsidR="002F61BC" w:rsidRPr="00DC3A0D">
        <w:rPr>
          <w:rFonts w:hint="eastAsia"/>
        </w:rPr>
        <w:t>的根本在于优化融资结构</w:t>
      </w:r>
      <w:r w:rsidR="008255AA" w:rsidRPr="00DC3A0D">
        <w:rPr>
          <w:rFonts w:hint="eastAsia"/>
        </w:rPr>
        <w:t>，</w:t>
      </w:r>
      <w:r w:rsidR="00682680" w:rsidRPr="00DC3A0D">
        <w:rPr>
          <w:rFonts w:hint="eastAsia"/>
        </w:rPr>
        <w:t>优化</w:t>
      </w:r>
      <w:r w:rsidR="006B5853" w:rsidRPr="00DC3A0D">
        <w:rPr>
          <w:rFonts w:hint="eastAsia"/>
        </w:rPr>
        <w:t>融资结构</w:t>
      </w:r>
      <w:r w:rsidR="00962BD0" w:rsidRPr="00DC3A0D">
        <w:rPr>
          <w:rFonts w:hint="eastAsia"/>
        </w:rPr>
        <w:t>应遵循</w:t>
      </w:r>
      <w:r w:rsidR="00BB63CE" w:rsidRPr="00DC3A0D">
        <w:rPr>
          <w:rFonts w:hint="eastAsia"/>
        </w:rPr>
        <w:t>的基本原则是</w:t>
      </w:r>
      <w:r w:rsidR="00962BD0" w:rsidRPr="00DC3A0D">
        <w:rPr>
          <w:rFonts w:hint="eastAsia"/>
        </w:rPr>
        <w:t>市场化</w:t>
      </w:r>
      <w:r w:rsidR="00751560" w:rsidRPr="00DC3A0D">
        <w:rPr>
          <w:rFonts w:hint="eastAsia"/>
        </w:rPr>
        <w:t>和</w:t>
      </w:r>
      <w:r w:rsidR="00962BD0" w:rsidRPr="00DC3A0D">
        <w:rPr>
          <w:rFonts w:hint="eastAsia"/>
        </w:rPr>
        <w:t>法治化</w:t>
      </w:r>
      <w:r w:rsidR="006A42D0" w:rsidRPr="00DC3A0D">
        <w:rPr>
          <w:rFonts w:hint="eastAsia"/>
        </w:rPr>
        <w:t>，</w:t>
      </w:r>
      <w:r w:rsidR="006B5853" w:rsidRPr="00DC3A0D">
        <w:rPr>
          <w:rFonts w:hint="eastAsia"/>
        </w:rPr>
        <w:t>根本推动力</w:t>
      </w:r>
      <w:r w:rsidR="007A718B" w:rsidRPr="00DC3A0D">
        <w:rPr>
          <w:rFonts w:hint="eastAsia"/>
        </w:rPr>
        <w:t>一</w:t>
      </w:r>
      <w:r w:rsidR="00A33053" w:rsidRPr="00DC3A0D">
        <w:rPr>
          <w:rFonts w:hint="eastAsia"/>
        </w:rPr>
        <w:t>在改革</w:t>
      </w:r>
      <w:r w:rsidR="00D05780" w:rsidRPr="00DC3A0D">
        <w:rPr>
          <w:rFonts w:hint="eastAsia"/>
        </w:rPr>
        <w:t>、</w:t>
      </w:r>
      <w:r w:rsidR="007A718B" w:rsidRPr="00DC3A0D">
        <w:rPr>
          <w:rFonts w:hint="eastAsia"/>
        </w:rPr>
        <w:t>二在</w:t>
      </w:r>
      <w:r w:rsidR="00A33053" w:rsidRPr="00DC3A0D">
        <w:rPr>
          <w:rFonts w:hint="eastAsia"/>
        </w:rPr>
        <w:t>创新</w:t>
      </w:r>
      <w:r w:rsidR="003D1870" w:rsidRPr="00DC3A0D">
        <w:rPr>
          <w:rFonts w:hint="eastAsia"/>
        </w:rPr>
        <w:t>：一方面，</w:t>
      </w:r>
      <w:r w:rsidR="00386DA9" w:rsidRPr="00DC3A0D">
        <w:rPr>
          <w:rFonts w:hint="eastAsia"/>
        </w:rPr>
        <w:t>应</w:t>
      </w:r>
      <w:r w:rsidR="004366BA" w:rsidRPr="00DC3A0D">
        <w:rPr>
          <w:rFonts w:hint="eastAsia"/>
        </w:rPr>
        <w:t>通过</w:t>
      </w:r>
      <w:r w:rsidR="006B5853" w:rsidRPr="00DC3A0D">
        <w:rPr>
          <w:rFonts w:hint="eastAsia"/>
        </w:rPr>
        <w:t>深化金融体制改革</w:t>
      </w:r>
      <w:r w:rsidR="00F42BFD" w:rsidRPr="00DC3A0D">
        <w:rPr>
          <w:rFonts w:hint="eastAsia"/>
        </w:rPr>
        <w:t>形成更加市场化</w:t>
      </w:r>
      <w:r w:rsidR="00410125" w:rsidRPr="00DC3A0D">
        <w:rPr>
          <w:rFonts w:hint="eastAsia"/>
        </w:rPr>
        <w:t>的</w:t>
      </w:r>
      <w:r w:rsidR="002E7D80" w:rsidRPr="00DC3A0D">
        <w:rPr>
          <w:rFonts w:hint="eastAsia"/>
        </w:rPr>
        <w:t>资金</w:t>
      </w:r>
      <w:r w:rsidR="00D25456" w:rsidRPr="00DC3A0D">
        <w:rPr>
          <w:rFonts w:hint="eastAsia"/>
        </w:rPr>
        <w:t>配置方式和</w:t>
      </w:r>
      <w:r w:rsidR="00D95C25" w:rsidRPr="00DC3A0D">
        <w:rPr>
          <w:rFonts w:hint="eastAsia"/>
        </w:rPr>
        <w:t>资金</w:t>
      </w:r>
      <w:r w:rsidR="00D25456" w:rsidRPr="00DC3A0D">
        <w:rPr>
          <w:rFonts w:hint="eastAsia"/>
        </w:rPr>
        <w:t>价格形成</w:t>
      </w:r>
      <w:r w:rsidR="002E7D80" w:rsidRPr="00DC3A0D">
        <w:rPr>
          <w:rFonts w:hint="eastAsia"/>
        </w:rPr>
        <w:t>机制</w:t>
      </w:r>
      <w:r w:rsidR="00A4043C" w:rsidRPr="00DC3A0D">
        <w:rPr>
          <w:rFonts w:hint="eastAsia"/>
        </w:rPr>
        <w:t>，</w:t>
      </w:r>
      <w:r w:rsidR="001E5B8F" w:rsidRPr="00DC3A0D">
        <w:rPr>
          <w:rFonts w:hint="eastAsia"/>
        </w:rPr>
        <w:t>尤其是要提高国有企业和地方政府</w:t>
      </w:r>
      <w:r w:rsidR="00D05780" w:rsidRPr="00DC3A0D">
        <w:rPr>
          <w:rFonts w:hint="eastAsia"/>
        </w:rPr>
        <w:t>等主体</w:t>
      </w:r>
      <w:r w:rsidR="00A4043C" w:rsidRPr="00DC3A0D">
        <w:rPr>
          <w:rFonts w:hint="eastAsia"/>
        </w:rPr>
        <w:t>的</w:t>
      </w:r>
      <w:r w:rsidR="00DE2AB3" w:rsidRPr="00DC3A0D">
        <w:rPr>
          <w:rFonts w:hint="eastAsia"/>
        </w:rPr>
        <w:t>融资需求</w:t>
      </w:r>
      <w:r w:rsidR="001E5B8F" w:rsidRPr="00DC3A0D">
        <w:rPr>
          <w:rFonts w:hint="eastAsia"/>
        </w:rPr>
        <w:t>利率弹性</w:t>
      </w:r>
      <w:r w:rsidR="001C6D59" w:rsidRPr="00DC3A0D">
        <w:rPr>
          <w:rFonts w:hint="eastAsia"/>
        </w:rPr>
        <w:t>，</w:t>
      </w:r>
      <w:r w:rsidR="001008C8" w:rsidRPr="00DC3A0D">
        <w:rPr>
          <w:rFonts w:hint="eastAsia"/>
        </w:rPr>
        <w:t>硬化预算约束，</w:t>
      </w:r>
      <w:r w:rsidR="001C6D59" w:rsidRPr="00DC3A0D">
        <w:rPr>
          <w:rFonts w:hint="eastAsia"/>
        </w:rPr>
        <w:t>打破刚性兑付预期</w:t>
      </w:r>
      <w:r w:rsidR="00AD463C">
        <w:rPr>
          <w:rFonts w:hint="eastAsia"/>
        </w:rPr>
        <w:t>，从而使得</w:t>
      </w:r>
      <w:r w:rsidR="00AD463C" w:rsidRPr="00DC3A0D">
        <w:rPr>
          <w:rFonts w:hint="eastAsia"/>
        </w:rPr>
        <w:t>市场规律在金融资源配置和定价中发挥决定性作用</w:t>
      </w:r>
      <w:r w:rsidR="001E5B8F" w:rsidRPr="00DC3A0D">
        <w:rPr>
          <w:rFonts w:hint="eastAsia"/>
        </w:rPr>
        <w:t>。</w:t>
      </w:r>
      <w:r w:rsidR="003B07AC" w:rsidRPr="00DC3A0D">
        <w:rPr>
          <w:rFonts w:hint="eastAsia"/>
        </w:rPr>
        <w:t>另一方面，</w:t>
      </w:r>
      <w:r w:rsidR="00AF26F9" w:rsidRPr="00DC3A0D">
        <w:rPr>
          <w:rFonts w:hint="eastAsia"/>
        </w:rPr>
        <w:t>应</w:t>
      </w:r>
      <w:r w:rsidR="00E94EB7" w:rsidRPr="00DC3A0D">
        <w:rPr>
          <w:rFonts w:hint="eastAsia"/>
        </w:rPr>
        <w:t>积极</w:t>
      </w:r>
      <w:r w:rsidR="00BA719C" w:rsidRPr="00DC3A0D">
        <w:rPr>
          <w:rFonts w:hint="eastAsia"/>
        </w:rPr>
        <w:t>运用</w:t>
      </w:r>
      <w:r w:rsidR="00093D5B" w:rsidRPr="00DC3A0D">
        <w:rPr>
          <w:rFonts w:hint="eastAsia"/>
        </w:rPr>
        <w:t>大数据、云计算、人工智能等新</w:t>
      </w:r>
      <w:r w:rsidR="00BA719C" w:rsidRPr="00DC3A0D">
        <w:rPr>
          <w:rFonts w:hint="eastAsia"/>
        </w:rPr>
        <w:t>科技手段</w:t>
      </w:r>
      <w:r w:rsidR="00573DA9" w:rsidRPr="00DC3A0D">
        <w:rPr>
          <w:rFonts w:hint="eastAsia"/>
        </w:rPr>
        <w:t>创新融资业务模式，</w:t>
      </w:r>
      <w:r w:rsidR="00BA719C" w:rsidRPr="00DC3A0D">
        <w:rPr>
          <w:rFonts w:hint="eastAsia"/>
        </w:rPr>
        <w:t>增强</w:t>
      </w:r>
      <w:r w:rsidR="00860036" w:rsidRPr="00DC3A0D">
        <w:rPr>
          <w:rFonts w:hint="eastAsia"/>
        </w:rPr>
        <w:t>金融机构</w:t>
      </w:r>
      <w:r w:rsidR="00F25956" w:rsidRPr="00DC3A0D">
        <w:rPr>
          <w:rFonts w:hint="eastAsia"/>
        </w:rPr>
        <w:t>进行</w:t>
      </w:r>
      <w:r w:rsidR="00394242" w:rsidRPr="00DC3A0D">
        <w:rPr>
          <w:rFonts w:hint="eastAsia"/>
        </w:rPr>
        <w:t>主动</w:t>
      </w:r>
      <w:r w:rsidR="0059799F" w:rsidRPr="00DC3A0D">
        <w:rPr>
          <w:rFonts w:hint="eastAsia"/>
        </w:rPr>
        <w:t>效率</w:t>
      </w:r>
      <w:r w:rsidR="004B3376" w:rsidRPr="00DC3A0D">
        <w:rPr>
          <w:rFonts w:hint="eastAsia"/>
        </w:rPr>
        <w:t>识别和</w:t>
      </w:r>
      <w:r w:rsidR="00BB25AE" w:rsidRPr="00DC3A0D">
        <w:rPr>
          <w:rFonts w:hint="eastAsia"/>
        </w:rPr>
        <w:t>风险</w:t>
      </w:r>
      <w:r w:rsidR="004B3376" w:rsidRPr="00DC3A0D">
        <w:rPr>
          <w:rFonts w:hint="eastAsia"/>
        </w:rPr>
        <w:t>定价的</w:t>
      </w:r>
      <w:r w:rsidR="00BA719C" w:rsidRPr="00DC3A0D">
        <w:rPr>
          <w:rFonts w:hint="eastAsia"/>
        </w:rPr>
        <w:t>能力</w:t>
      </w:r>
      <w:r w:rsidR="000E16FA" w:rsidRPr="00DC3A0D">
        <w:rPr>
          <w:rFonts w:hint="eastAsia"/>
        </w:rPr>
        <w:t>，</w:t>
      </w:r>
      <w:r w:rsidR="00ED3D72" w:rsidRPr="00DC3A0D">
        <w:rPr>
          <w:rFonts w:hint="eastAsia"/>
        </w:rPr>
        <w:t>提高</w:t>
      </w:r>
      <w:r w:rsidR="00833C47" w:rsidRPr="00DC3A0D">
        <w:rPr>
          <w:rFonts w:hint="eastAsia"/>
        </w:rPr>
        <w:t>中</w:t>
      </w:r>
      <w:r w:rsidR="000E16FA" w:rsidRPr="00DC3A0D">
        <w:rPr>
          <w:rFonts w:hint="eastAsia"/>
        </w:rPr>
        <w:t>小微企业、个体工商户、“三农”部门等</w:t>
      </w:r>
      <w:r w:rsidR="000E16FA" w:rsidRPr="00DC3A0D">
        <w:rPr>
          <w:rFonts w:hint="eastAsia"/>
        </w:rPr>
        <w:lastRenderedPageBreak/>
        <w:t>传统金融弱势主体的融资可及度和便利度</w:t>
      </w:r>
      <w:r w:rsidR="000B46A9" w:rsidRPr="00DC3A0D">
        <w:rPr>
          <w:rFonts w:hint="eastAsia"/>
        </w:rPr>
        <w:t>。</w:t>
      </w:r>
    </w:p>
    <w:p w14:paraId="3DDBC507" w14:textId="77777777" w:rsidR="008712FC" w:rsidRPr="00DC3A0D" w:rsidRDefault="008712FC" w:rsidP="00A5347F">
      <w:pPr>
        <w:ind w:firstLine="420"/>
        <w:rPr>
          <w:rFonts w:ascii="宋体" w:hAnsi="宋体"/>
        </w:rPr>
      </w:pPr>
    </w:p>
    <w:p w14:paraId="02DCC4E9" w14:textId="3D0DA07F" w:rsidR="0098500F" w:rsidRPr="00B7521C" w:rsidRDefault="00803353" w:rsidP="00B7521C">
      <w:pPr>
        <w:ind w:firstLineChars="200" w:firstLine="480"/>
        <w:rPr>
          <w:rFonts w:ascii="黑体" w:eastAsia="黑体" w:hAnsi="黑体"/>
          <w:sz w:val="24"/>
          <w:szCs w:val="24"/>
        </w:rPr>
      </w:pPr>
      <w:r w:rsidRPr="00B7521C">
        <w:rPr>
          <w:rFonts w:ascii="黑体" w:eastAsia="黑体" w:hAnsi="黑体" w:hint="eastAsia"/>
          <w:sz w:val="24"/>
          <w:szCs w:val="24"/>
        </w:rPr>
        <w:t>参考文献：</w:t>
      </w:r>
    </w:p>
    <w:p w14:paraId="57EDC905" w14:textId="20FE71D4" w:rsidR="0026404A" w:rsidRPr="00DC3A0D" w:rsidRDefault="0026404A" w:rsidP="0026404A">
      <w:r w:rsidRPr="00DC3A0D">
        <w:rPr>
          <w:rFonts w:hint="eastAsia"/>
        </w:rPr>
        <w:t>陈少敏</w:t>
      </w:r>
      <w:r w:rsidRPr="00DC3A0D">
        <w:t xml:space="preserve"> </w:t>
      </w:r>
      <w:r w:rsidRPr="00DC3A0D">
        <w:rPr>
          <w:rFonts w:hint="eastAsia"/>
        </w:rPr>
        <w:t>于雪，</w:t>
      </w:r>
      <w:r w:rsidRPr="00DC3A0D">
        <w:rPr>
          <w:rFonts w:hint="eastAsia"/>
        </w:rPr>
        <w:t>2</w:t>
      </w:r>
      <w:r w:rsidRPr="00DC3A0D">
        <w:t>019</w:t>
      </w:r>
      <w:r w:rsidRPr="00DC3A0D">
        <w:rPr>
          <w:rFonts w:hint="eastAsia"/>
        </w:rPr>
        <w:t>：《储蓄率和投资率的国际比较分析》，《上海金融》第</w:t>
      </w:r>
      <w:r w:rsidRPr="00DC3A0D">
        <w:rPr>
          <w:rFonts w:hint="eastAsia"/>
        </w:rPr>
        <w:t>3</w:t>
      </w:r>
      <w:r w:rsidRPr="00DC3A0D">
        <w:rPr>
          <w:rFonts w:hint="eastAsia"/>
        </w:rPr>
        <w:t>期。</w:t>
      </w:r>
    </w:p>
    <w:p w14:paraId="7A3E7F80" w14:textId="2460BEC6" w:rsidR="00FD4802" w:rsidRPr="00DC3A0D" w:rsidRDefault="00FD4802" w:rsidP="00FC5C5F">
      <w:pPr>
        <w:ind w:left="210" w:hangingChars="100" w:hanging="210"/>
      </w:pPr>
      <w:r w:rsidRPr="00DC3A0D">
        <w:t>黄少安</w:t>
      </w:r>
      <w:r w:rsidR="00A24538" w:rsidRPr="00DC3A0D">
        <w:t xml:space="preserve"> </w:t>
      </w:r>
      <w:r w:rsidRPr="00DC3A0D">
        <w:t>张岗</w:t>
      </w:r>
      <w:r w:rsidR="00A24538" w:rsidRPr="00DC3A0D">
        <w:rPr>
          <w:rFonts w:hint="eastAsia"/>
        </w:rPr>
        <w:t>，</w:t>
      </w:r>
      <w:r w:rsidR="00A24538" w:rsidRPr="00DC3A0D">
        <w:rPr>
          <w:rFonts w:hint="eastAsia"/>
        </w:rPr>
        <w:t>2011</w:t>
      </w:r>
      <w:r w:rsidR="00A24538" w:rsidRPr="00DC3A0D">
        <w:rPr>
          <w:rFonts w:hint="eastAsia"/>
        </w:rPr>
        <w:t>：《</w:t>
      </w:r>
      <w:r w:rsidRPr="00DC3A0D">
        <w:t>中国上市公司股权融资偏好分析</w:t>
      </w:r>
      <w:r w:rsidR="00A24538" w:rsidRPr="00DC3A0D">
        <w:rPr>
          <w:rFonts w:hint="eastAsia"/>
        </w:rPr>
        <w:t>》，《</w:t>
      </w:r>
      <w:r w:rsidRPr="00DC3A0D">
        <w:t>经济研究</w:t>
      </w:r>
      <w:r w:rsidR="00A24538" w:rsidRPr="00DC3A0D">
        <w:rPr>
          <w:rFonts w:hint="eastAsia"/>
        </w:rPr>
        <w:t>》第</w:t>
      </w:r>
      <w:r w:rsidR="00A24538" w:rsidRPr="00DC3A0D">
        <w:rPr>
          <w:rFonts w:hint="eastAsia"/>
        </w:rPr>
        <w:t>11</w:t>
      </w:r>
      <w:r w:rsidR="00A24538" w:rsidRPr="00DC3A0D">
        <w:rPr>
          <w:rFonts w:hint="eastAsia"/>
        </w:rPr>
        <w:t>期。</w:t>
      </w:r>
    </w:p>
    <w:p w14:paraId="57F1BBAE" w14:textId="106D0D7B" w:rsidR="00FD4802" w:rsidRPr="00DC3A0D" w:rsidRDefault="00FD4802" w:rsidP="00FC5C5F">
      <w:pPr>
        <w:ind w:left="210" w:hangingChars="100" w:hanging="210"/>
      </w:pPr>
      <w:bookmarkStart w:id="10" w:name="_Hlk69369180"/>
      <w:r w:rsidRPr="00DC3A0D">
        <w:t>纪敏</w:t>
      </w:r>
      <w:r w:rsidR="00A24538" w:rsidRPr="00DC3A0D">
        <w:t xml:space="preserve"> </w:t>
      </w:r>
      <w:r w:rsidRPr="00DC3A0D">
        <w:t>严宝玉</w:t>
      </w:r>
      <w:r w:rsidR="00A24538" w:rsidRPr="00DC3A0D">
        <w:t xml:space="preserve"> </w:t>
      </w:r>
      <w:r w:rsidRPr="00DC3A0D">
        <w:t>宏瑾</w:t>
      </w:r>
      <w:r w:rsidR="00A24538" w:rsidRPr="00DC3A0D">
        <w:rPr>
          <w:rFonts w:hint="eastAsia"/>
        </w:rPr>
        <w:t>，</w:t>
      </w:r>
      <w:r w:rsidR="00A24538" w:rsidRPr="00DC3A0D">
        <w:rPr>
          <w:rFonts w:hint="eastAsia"/>
        </w:rPr>
        <w:t>2017</w:t>
      </w:r>
      <w:r w:rsidR="00A24538" w:rsidRPr="00DC3A0D">
        <w:rPr>
          <w:rFonts w:hint="eastAsia"/>
        </w:rPr>
        <w:t>：《</w:t>
      </w:r>
      <w:r w:rsidRPr="00DC3A0D">
        <w:t>杠杆率结构、水平和金融稳定</w:t>
      </w:r>
      <w:r w:rsidRPr="00DC3A0D">
        <w:t>--</w:t>
      </w:r>
      <w:r w:rsidRPr="00DC3A0D">
        <w:t>理论分析框架和中国经验</w:t>
      </w:r>
      <w:r w:rsidR="00A24538" w:rsidRPr="00DC3A0D">
        <w:rPr>
          <w:rFonts w:hint="eastAsia"/>
        </w:rPr>
        <w:t>》，《</w:t>
      </w:r>
      <w:r w:rsidRPr="00DC3A0D">
        <w:t>金融研究</w:t>
      </w:r>
      <w:r w:rsidR="00A24538" w:rsidRPr="00DC3A0D">
        <w:rPr>
          <w:rFonts w:hint="eastAsia"/>
        </w:rPr>
        <w:t>》第</w:t>
      </w:r>
      <w:r w:rsidR="00A24538" w:rsidRPr="00DC3A0D">
        <w:rPr>
          <w:rFonts w:hint="eastAsia"/>
        </w:rPr>
        <w:t>2</w:t>
      </w:r>
      <w:r w:rsidR="00A24538" w:rsidRPr="00DC3A0D">
        <w:rPr>
          <w:rFonts w:hint="eastAsia"/>
        </w:rPr>
        <w:t>期。</w:t>
      </w:r>
    </w:p>
    <w:p w14:paraId="0864AE19" w14:textId="6171314D" w:rsidR="00072C6C" w:rsidRPr="00DC3A0D" w:rsidRDefault="00072C6C" w:rsidP="00FC5C5F">
      <w:pPr>
        <w:ind w:left="210" w:hangingChars="100" w:hanging="210"/>
      </w:pPr>
      <w:bookmarkStart w:id="11" w:name="_Hlk69372175"/>
      <w:bookmarkEnd w:id="10"/>
      <w:r w:rsidRPr="00DC3A0D">
        <w:rPr>
          <w:rFonts w:hint="eastAsia"/>
        </w:rPr>
        <w:t>李波</w:t>
      </w:r>
      <w:r w:rsidRPr="00DC3A0D">
        <w:rPr>
          <w:rFonts w:hint="eastAsia"/>
        </w:rPr>
        <w:t xml:space="preserve"> </w:t>
      </w:r>
      <w:r w:rsidRPr="00DC3A0D">
        <w:rPr>
          <w:rFonts w:hint="eastAsia"/>
        </w:rPr>
        <w:t>伍戈，</w:t>
      </w:r>
      <w:r w:rsidRPr="00DC3A0D">
        <w:rPr>
          <w:rFonts w:hint="eastAsia"/>
        </w:rPr>
        <w:t>2</w:t>
      </w:r>
      <w:r w:rsidRPr="00DC3A0D">
        <w:t>011</w:t>
      </w:r>
      <w:r w:rsidRPr="00DC3A0D">
        <w:rPr>
          <w:rFonts w:hint="eastAsia"/>
        </w:rPr>
        <w:t>：《影子银行的信用创造功能及其对货币政策的挑战》，《金融研究》第</w:t>
      </w:r>
      <w:r w:rsidRPr="00DC3A0D">
        <w:t>12</w:t>
      </w:r>
      <w:r w:rsidRPr="00DC3A0D">
        <w:rPr>
          <w:rFonts w:hint="eastAsia"/>
        </w:rPr>
        <w:t>期。</w:t>
      </w:r>
      <w:bookmarkEnd w:id="11"/>
    </w:p>
    <w:p w14:paraId="66DE5553" w14:textId="29DA197F" w:rsidR="0026404A" w:rsidRPr="00DC3A0D" w:rsidRDefault="0026404A" w:rsidP="0026404A">
      <w:r w:rsidRPr="00DC3A0D">
        <w:rPr>
          <w:rFonts w:hint="eastAsia"/>
        </w:rPr>
        <w:t>李扬</w:t>
      </w:r>
      <w:r w:rsidRPr="00DC3A0D">
        <w:rPr>
          <w:rFonts w:hint="eastAsia"/>
        </w:rPr>
        <w:t xml:space="preserve"> </w:t>
      </w:r>
      <w:r w:rsidRPr="00DC3A0D">
        <w:rPr>
          <w:rFonts w:hint="eastAsia"/>
        </w:rPr>
        <w:t>殷剑峰，</w:t>
      </w:r>
      <w:r w:rsidRPr="00DC3A0D">
        <w:rPr>
          <w:rFonts w:hint="eastAsia"/>
        </w:rPr>
        <w:t>2</w:t>
      </w:r>
      <w:r w:rsidRPr="00DC3A0D">
        <w:t>007</w:t>
      </w:r>
      <w:r w:rsidRPr="00DC3A0D">
        <w:rPr>
          <w:rFonts w:hint="eastAsia"/>
        </w:rPr>
        <w:t>：《中国高储蓄率问题探究——</w:t>
      </w:r>
      <w:r w:rsidRPr="00DC3A0D">
        <w:rPr>
          <w:rFonts w:hint="eastAsia"/>
        </w:rPr>
        <w:t>1992</w:t>
      </w:r>
      <w:r w:rsidRPr="00DC3A0D">
        <w:rPr>
          <w:rFonts w:hint="eastAsia"/>
        </w:rPr>
        <w:t>—</w:t>
      </w:r>
      <w:r w:rsidRPr="00DC3A0D">
        <w:rPr>
          <w:rFonts w:hint="eastAsia"/>
        </w:rPr>
        <w:t>2003</w:t>
      </w:r>
      <w:r w:rsidRPr="00DC3A0D">
        <w:rPr>
          <w:rFonts w:hint="eastAsia"/>
        </w:rPr>
        <w:t>年中国资金流量表的分析》，《经济研究》第</w:t>
      </w:r>
      <w:r w:rsidRPr="00DC3A0D">
        <w:rPr>
          <w:rFonts w:hint="eastAsia"/>
        </w:rPr>
        <w:t>6</w:t>
      </w:r>
      <w:r w:rsidRPr="00DC3A0D">
        <w:rPr>
          <w:rFonts w:hint="eastAsia"/>
        </w:rPr>
        <w:t>期。</w:t>
      </w:r>
    </w:p>
    <w:p w14:paraId="473BDBE8" w14:textId="7DD46A63" w:rsidR="00FD4802" w:rsidRPr="00DC3A0D" w:rsidRDefault="00FD4802" w:rsidP="00FC5C5F">
      <w:pPr>
        <w:ind w:left="210" w:hangingChars="100" w:hanging="210"/>
      </w:pPr>
      <w:r w:rsidRPr="00DC3A0D">
        <w:t>李扬</w:t>
      </w:r>
      <w:r w:rsidR="00983A25">
        <w:rPr>
          <w:rFonts w:hint="eastAsia"/>
        </w:rPr>
        <w:t xml:space="preserve"> </w:t>
      </w:r>
      <w:r w:rsidR="00983A25">
        <w:rPr>
          <w:rFonts w:hint="eastAsia"/>
        </w:rPr>
        <w:t>等</w:t>
      </w:r>
      <w:r w:rsidR="00CB02A6" w:rsidRPr="00DC3A0D">
        <w:rPr>
          <w:rFonts w:hint="eastAsia"/>
        </w:rPr>
        <w:t>，</w:t>
      </w:r>
      <w:r w:rsidR="00CB02A6" w:rsidRPr="00DC3A0D">
        <w:rPr>
          <w:rFonts w:hint="eastAsia"/>
        </w:rPr>
        <w:t>2012</w:t>
      </w:r>
      <w:r w:rsidR="00CB02A6" w:rsidRPr="00DC3A0D">
        <w:rPr>
          <w:rFonts w:hint="eastAsia"/>
        </w:rPr>
        <w:t>：《</w:t>
      </w:r>
      <w:r w:rsidRPr="00DC3A0D">
        <w:t>中国主权资产负债表及其风险评估</w:t>
      </w:r>
      <w:r w:rsidRPr="00DC3A0D">
        <w:t>(</w:t>
      </w:r>
      <w:r w:rsidRPr="00DC3A0D">
        <w:t>上</w:t>
      </w:r>
      <w:r w:rsidRPr="00DC3A0D">
        <w:t>)</w:t>
      </w:r>
      <w:r w:rsidR="00CB02A6" w:rsidRPr="00DC3A0D">
        <w:rPr>
          <w:rFonts w:hint="eastAsia"/>
        </w:rPr>
        <w:t>》，《经济研究》第</w:t>
      </w:r>
      <w:r w:rsidR="00CB02A6" w:rsidRPr="00DC3A0D">
        <w:rPr>
          <w:rFonts w:hint="eastAsia"/>
        </w:rPr>
        <w:t>6</w:t>
      </w:r>
      <w:r w:rsidR="00CB02A6" w:rsidRPr="00DC3A0D">
        <w:rPr>
          <w:rFonts w:hint="eastAsia"/>
        </w:rPr>
        <w:t>期。</w:t>
      </w:r>
    </w:p>
    <w:p w14:paraId="5E701BE3" w14:textId="7FFE496B" w:rsidR="00FD4802" w:rsidRPr="00DC3A0D" w:rsidRDefault="00FD4802" w:rsidP="00FC5C5F">
      <w:pPr>
        <w:ind w:left="210" w:hangingChars="100" w:hanging="210"/>
      </w:pPr>
      <w:r w:rsidRPr="00DC3A0D">
        <w:t>李扬</w:t>
      </w:r>
      <w:r w:rsidR="00CB02A6" w:rsidRPr="00DC3A0D">
        <w:t xml:space="preserve"> </w:t>
      </w:r>
      <w:r w:rsidR="00983A25">
        <w:rPr>
          <w:rFonts w:hint="eastAsia"/>
        </w:rPr>
        <w:t>等</w:t>
      </w:r>
      <w:r w:rsidR="00CB02A6" w:rsidRPr="00DC3A0D">
        <w:rPr>
          <w:rFonts w:hint="eastAsia"/>
        </w:rPr>
        <w:t>，</w:t>
      </w:r>
      <w:r w:rsidR="00CB02A6" w:rsidRPr="00DC3A0D">
        <w:rPr>
          <w:rFonts w:hint="eastAsia"/>
        </w:rPr>
        <w:t>2012</w:t>
      </w:r>
      <w:r w:rsidR="00CB02A6" w:rsidRPr="00DC3A0D">
        <w:rPr>
          <w:rFonts w:hint="eastAsia"/>
        </w:rPr>
        <w:t>：《</w:t>
      </w:r>
      <w:r w:rsidRPr="00DC3A0D">
        <w:t>中国主权资产负债表及其风险评估</w:t>
      </w:r>
      <w:r w:rsidRPr="00DC3A0D">
        <w:t>(</w:t>
      </w:r>
      <w:r w:rsidRPr="00DC3A0D">
        <w:t>下</w:t>
      </w:r>
      <w:r w:rsidRPr="00DC3A0D">
        <w:t>)</w:t>
      </w:r>
      <w:r w:rsidR="00CB02A6" w:rsidRPr="00DC3A0D">
        <w:rPr>
          <w:rFonts w:hint="eastAsia"/>
        </w:rPr>
        <w:t>》，《</w:t>
      </w:r>
      <w:r w:rsidRPr="00DC3A0D">
        <w:t>经济研究</w:t>
      </w:r>
      <w:r w:rsidR="00CB02A6" w:rsidRPr="00DC3A0D">
        <w:rPr>
          <w:rFonts w:hint="eastAsia"/>
        </w:rPr>
        <w:t>》第</w:t>
      </w:r>
      <w:r w:rsidR="00CB02A6" w:rsidRPr="00DC3A0D">
        <w:rPr>
          <w:rFonts w:hint="eastAsia"/>
        </w:rPr>
        <w:t>7</w:t>
      </w:r>
      <w:r w:rsidR="00CB02A6" w:rsidRPr="00DC3A0D">
        <w:rPr>
          <w:rFonts w:hint="eastAsia"/>
        </w:rPr>
        <w:t>期。</w:t>
      </w:r>
    </w:p>
    <w:p w14:paraId="4781D785" w14:textId="174F961D" w:rsidR="00FD4802" w:rsidRPr="00DC3A0D" w:rsidRDefault="00FD4802" w:rsidP="00FC5C5F">
      <w:pPr>
        <w:ind w:left="210" w:hangingChars="100" w:hanging="210"/>
      </w:pPr>
      <w:r w:rsidRPr="00DC3A0D">
        <w:t>李增泉</w:t>
      </w:r>
      <w:r w:rsidR="00CB02A6" w:rsidRPr="00DC3A0D">
        <w:t xml:space="preserve"> </w:t>
      </w:r>
      <w:r w:rsidRPr="00DC3A0D">
        <w:t>辛显刚</w:t>
      </w:r>
      <w:r w:rsidR="00CB02A6" w:rsidRPr="00DC3A0D">
        <w:t xml:space="preserve"> </w:t>
      </w:r>
      <w:r w:rsidRPr="00DC3A0D">
        <w:t>于旭辉</w:t>
      </w:r>
      <w:r w:rsidR="00CB02A6" w:rsidRPr="00DC3A0D">
        <w:rPr>
          <w:rFonts w:hint="eastAsia"/>
        </w:rPr>
        <w:t>，</w:t>
      </w:r>
      <w:r w:rsidR="00CB02A6" w:rsidRPr="00DC3A0D">
        <w:rPr>
          <w:rFonts w:hint="eastAsia"/>
        </w:rPr>
        <w:t>200</w:t>
      </w:r>
      <w:r w:rsidR="00CB02A6" w:rsidRPr="00DC3A0D">
        <w:t>8</w:t>
      </w:r>
      <w:r w:rsidR="00CB02A6" w:rsidRPr="00DC3A0D">
        <w:rPr>
          <w:rFonts w:hint="eastAsia"/>
        </w:rPr>
        <w:t>：《</w:t>
      </w:r>
      <w:r w:rsidRPr="00DC3A0D">
        <w:t>金融发展、债务融资约束与金字塔结构</w:t>
      </w:r>
      <w:r w:rsidRPr="00DC3A0D">
        <w:t>——</w:t>
      </w:r>
      <w:r w:rsidRPr="00DC3A0D">
        <w:t>来自民营企业集团的证据</w:t>
      </w:r>
      <w:r w:rsidR="00CB02A6" w:rsidRPr="00DC3A0D">
        <w:rPr>
          <w:rFonts w:hint="eastAsia"/>
        </w:rPr>
        <w:t>》，《</w:t>
      </w:r>
      <w:r w:rsidRPr="00DC3A0D">
        <w:t>管理世界</w:t>
      </w:r>
      <w:r w:rsidR="00CB02A6" w:rsidRPr="00DC3A0D">
        <w:rPr>
          <w:rFonts w:hint="eastAsia"/>
        </w:rPr>
        <w:t>》第</w:t>
      </w:r>
      <w:r w:rsidR="00CB02A6" w:rsidRPr="00DC3A0D">
        <w:rPr>
          <w:rFonts w:hint="eastAsia"/>
        </w:rPr>
        <w:t>1</w:t>
      </w:r>
      <w:r w:rsidR="00CB02A6" w:rsidRPr="00DC3A0D">
        <w:rPr>
          <w:rFonts w:hint="eastAsia"/>
        </w:rPr>
        <w:t>期。</w:t>
      </w:r>
    </w:p>
    <w:p w14:paraId="7F15BA5C" w14:textId="107A83FA" w:rsidR="00FD4802" w:rsidRPr="00DC3A0D" w:rsidRDefault="00FD4802" w:rsidP="00FC5C5F">
      <w:pPr>
        <w:ind w:left="210" w:hangingChars="100" w:hanging="210"/>
      </w:pPr>
      <w:r w:rsidRPr="00DC3A0D">
        <w:t>马建堂</w:t>
      </w:r>
      <w:r w:rsidR="00AE4A25" w:rsidRPr="00DC3A0D">
        <w:t xml:space="preserve"> </w:t>
      </w:r>
      <w:r w:rsidR="00983A25">
        <w:rPr>
          <w:rFonts w:hint="eastAsia"/>
        </w:rPr>
        <w:t>等</w:t>
      </w:r>
      <w:r w:rsidR="00AE4A25" w:rsidRPr="00DC3A0D">
        <w:rPr>
          <w:rFonts w:hint="eastAsia"/>
        </w:rPr>
        <w:t>，</w:t>
      </w:r>
      <w:r w:rsidR="00AE4A25" w:rsidRPr="00DC3A0D">
        <w:rPr>
          <w:rFonts w:hint="eastAsia"/>
        </w:rPr>
        <w:t>2016</w:t>
      </w:r>
      <w:r w:rsidR="00AE4A25" w:rsidRPr="00DC3A0D">
        <w:rPr>
          <w:rFonts w:hint="eastAsia"/>
        </w:rPr>
        <w:t>：《</w:t>
      </w:r>
      <w:r w:rsidRPr="00DC3A0D">
        <w:t>中国的杠杆率与系统性金融风险防范</w:t>
      </w:r>
      <w:r w:rsidR="00AE4A25" w:rsidRPr="00DC3A0D">
        <w:rPr>
          <w:rFonts w:hint="eastAsia"/>
        </w:rPr>
        <w:t>》，《</w:t>
      </w:r>
      <w:r w:rsidRPr="00DC3A0D">
        <w:t>财贸经济</w:t>
      </w:r>
      <w:r w:rsidR="00AE4A25" w:rsidRPr="00DC3A0D">
        <w:rPr>
          <w:rFonts w:hint="eastAsia"/>
        </w:rPr>
        <w:t>》第</w:t>
      </w:r>
      <w:r w:rsidR="00AE4A25" w:rsidRPr="00DC3A0D">
        <w:rPr>
          <w:rFonts w:hint="eastAsia"/>
        </w:rPr>
        <w:t>1</w:t>
      </w:r>
      <w:r w:rsidR="00AE4A25" w:rsidRPr="00DC3A0D">
        <w:rPr>
          <w:rFonts w:hint="eastAsia"/>
        </w:rPr>
        <w:t>期。</w:t>
      </w:r>
    </w:p>
    <w:p w14:paraId="0C928FCA" w14:textId="45493E56" w:rsidR="00FD4802" w:rsidRPr="00DC3A0D" w:rsidRDefault="00FD4802" w:rsidP="00FC5C5F">
      <w:pPr>
        <w:ind w:left="210" w:hangingChars="100" w:hanging="210"/>
      </w:pPr>
      <w:r w:rsidRPr="00DC3A0D">
        <w:t>钱颖一</w:t>
      </w:r>
      <w:r w:rsidR="00AE4A25" w:rsidRPr="00DC3A0D">
        <w:rPr>
          <w:rFonts w:hint="eastAsia"/>
        </w:rPr>
        <w:t>，</w:t>
      </w:r>
      <w:r w:rsidR="00AE4A25" w:rsidRPr="00DC3A0D">
        <w:rPr>
          <w:rFonts w:hint="eastAsia"/>
        </w:rPr>
        <w:t>1995</w:t>
      </w:r>
      <w:r w:rsidR="00AE4A25" w:rsidRPr="00DC3A0D">
        <w:rPr>
          <w:rFonts w:hint="eastAsia"/>
        </w:rPr>
        <w:t>：《</w:t>
      </w:r>
      <w:r w:rsidRPr="00DC3A0D">
        <w:t>企业的治理结构改革和融资结构改革</w:t>
      </w:r>
      <w:r w:rsidR="00AE4A25" w:rsidRPr="00DC3A0D">
        <w:rPr>
          <w:rFonts w:hint="eastAsia"/>
        </w:rPr>
        <w:t>》，《</w:t>
      </w:r>
      <w:r w:rsidRPr="00DC3A0D">
        <w:t>经济研究</w:t>
      </w:r>
      <w:r w:rsidR="00AE4A25" w:rsidRPr="00DC3A0D">
        <w:rPr>
          <w:rFonts w:hint="eastAsia"/>
        </w:rPr>
        <w:t>》第</w:t>
      </w:r>
      <w:r w:rsidR="00AE4A25" w:rsidRPr="00DC3A0D">
        <w:rPr>
          <w:rFonts w:hint="eastAsia"/>
        </w:rPr>
        <w:t>1</w:t>
      </w:r>
      <w:r w:rsidR="00AE4A25" w:rsidRPr="00DC3A0D">
        <w:rPr>
          <w:rFonts w:hint="eastAsia"/>
        </w:rPr>
        <w:t>期。</w:t>
      </w:r>
    </w:p>
    <w:p w14:paraId="2803D672" w14:textId="724E8D34" w:rsidR="00072C6C" w:rsidRPr="00DC3A0D" w:rsidRDefault="00072C6C" w:rsidP="00FC5C5F">
      <w:pPr>
        <w:ind w:left="210" w:hangingChars="100" w:hanging="210"/>
      </w:pPr>
      <w:r w:rsidRPr="00DC3A0D">
        <w:rPr>
          <w:rFonts w:hint="eastAsia"/>
        </w:rPr>
        <w:t>孙国峰</w:t>
      </w:r>
      <w:r w:rsidRPr="00DC3A0D">
        <w:t xml:space="preserve"> </w:t>
      </w:r>
      <w:r w:rsidRPr="00DC3A0D">
        <w:rPr>
          <w:rFonts w:hint="eastAsia"/>
        </w:rPr>
        <w:t>贾君怡，</w:t>
      </w:r>
      <w:r w:rsidRPr="00DC3A0D">
        <w:t>2015</w:t>
      </w:r>
      <w:r w:rsidRPr="00DC3A0D">
        <w:rPr>
          <w:rFonts w:hint="eastAsia"/>
        </w:rPr>
        <w:t>：《中国影子银行界定及其规模测算——基于信用货币创造的视角》，《中国社会科学》第</w:t>
      </w:r>
      <w:r w:rsidRPr="00DC3A0D">
        <w:t>11</w:t>
      </w:r>
      <w:r w:rsidRPr="00DC3A0D">
        <w:rPr>
          <w:rFonts w:hint="eastAsia"/>
        </w:rPr>
        <w:t>期。</w:t>
      </w:r>
    </w:p>
    <w:p w14:paraId="4FFE48D6" w14:textId="4725B4C8" w:rsidR="00B21443" w:rsidRPr="00DC3A0D" w:rsidRDefault="00B21443" w:rsidP="00FC5C5F">
      <w:pPr>
        <w:ind w:left="210" w:hangingChars="100" w:hanging="210"/>
      </w:pPr>
      <w:r w:rsidRPr="00DC3A0D">
        <w:rPr>
          <w:rFonts w:hint="eastAsia"/>
        </w:rPr>
        <w:t>王国刚，</w:t>
      </w:r>
      <w:r w:rsidRPr="00DC3A0D">
        <w:rPr>
          <w:rFonts w:hint="eastAsia"/>
        </w:rPr>
        <w:t>2</w:t>
      </w:r>
      <w:r w:rsidRPr="00DC3A0D">
        <w:t>017</w:t>
      </w:r>
      <w:r w:rsidRPr="00DC3A0D">
        <w:rPr>
          <w:rFonts w:hint="eastAsia"/>
        </w:rPr>
        <w:t>：《“去杠杆”</w:t>
      </w:r>
      <w:r w:rsidR="00983A25">
        <w:rPr>
          <w:rFonts w:hint="eastAsia"/>
        </w:rPr>
        <w:t>：</w:t>
      </w:r>
      <w:r w:rsidRPr="00DC3A0D">
        <w:rPr>
          <w:rFonts w:hint="eastAsia"/>
        </w:rPr>
        <w:t>范畴界定、操作重心和可选之策》，《经济学动态》第</w:t>
      </w:r>
      <w:r w:rsidRPr="00DC3A0D">
        <w:rPr>
          <w:rFonts w:hint="eastAsia"/>
        </w:rPr>
        <w:t>7</w:t>
      </w:r>
      <w:r w:rsidRPr="00DC3A0D">
        <w:rPr>
          <w:rFonts w:hint="eastAsia"/>
        </w:rPr>
        <w:t>期。</w:t>
      </w:r>
    </w:p>
    <w:p w14:paraId="684DCD17" w14:textId="5FBD0B24" w:rsidR="00FD4802" w:rsidRPr="00DC3A0D" w:rsidRDefault="00FD4802" w:rsidP="00FC5C5F">
      <w:pPr>
        <w:ind w:left="210" w:hangingChars="100" w:hanging="210"/>
      </w:pPr>
      <w:r w:rsidRPr="00DC3A0D">
        <w:t>王正位</w:t>
      </w:r>
      <w:r w:rsidR="00AE4A25" w:rsidRPr="00DC3A0D">
        <w:t xml:space="preserve"> </w:t>
      </w:r>
      <w:r w:rsidRPr="00DC3A0D">
        <w:t>王思敏</w:t>
      </w:r>
      <w:r w:rsidR="00AE4A25" w:rsidRPr="00DC3A0D">
        <w:t xml:space="preserve"> </w:t>
      </w:r>
      <w:r w:rsidRPr="00DC3A0D">
        <w:t>朱武祥</w:t>
      </w:r>
      <w:r w:rsidR="0026404A" w:rsidRPr="00DC3A0D">
        <w:rPr>
          <w:rFonts w:hint="eastAsia"/>
        </w:rPr>
        <w:t>，</w:t>
      </w:r>
      <w:r w:rsidR="00AE4A25" w:rsidRPr="00DC3A0D">
        <w:t>2011:</w:t>
      </w:r>
      <w:r w:rsidR="00AE4A25" w:rsidRPr="00DC3A0D">
        <w:rPr>
          <w:rFonts w:hint="eastAsia"/>
        </w:rPr>
        <w:t>《</w:t>
      </w:r>
      <w:r w:rsidRPr="00DC3A0D">
        <w:t>股票市场融资管制与公司最优资本结构</w:t>
      </w:r>
      <w:r w:rsidR="00AE4A25" w:rsidRPr="00DC3A0D">
        <w:rPr>
          <w:rFonts w:hint="eastAsia"/>
        </w:rPr>
        <w:t>》</w:t>
      </w:r>
      <w:r w:rsidR="0026404A" w:rsidRPr="00DC3A0D">
        <w:rPr>
          <w:rFonts w:hint="eastAsia"/>
        </w:rPr>
        <w:t>，《</w:t>
      </w:r>
      <w:r w:rsidRPr="00DC3A0D">
        <w:t>管理世界</w:t>
      </w:r>
      <w:r w:rsidR="0026404A" w:rsidRPr="00DC3A0D">
        <w:rPr>
          <w:rFonts w:hint="eastAsia"/>
        </w:rPr>
        <w:t>》第</w:t>
      </w:r>
      <w:r w:rsidRPr="00DC3A0D">
        <w:t>2</w:t>
      </w:r>
      <w:r w:rsidR="0026404A" w:rsidRPr="00DC3A0D">
        <w:rPr>
          <w:rFonts w:hint="eastAsia"/>
        </w:rPr>
        <w:t>期。</w:t>
      </w:r>
    </w:p>
    <w:p w14:paraId="602A0B9D" w14:textId="79AE91F8" w:rsidR="0026404A" w:rsidRPr="00DC3A0D" w:rsidRDefault="0026404A" w:rsidP="0026404A">
      <w:r w:rsidRPr="00DC3A0D">
        <w:rPr>
          <w:rFonts w:hint="eastAsia"/>
        </w:rPr>
        <w:t>吴海英</w:t>
      </w:r>
      <w:r w:rsidRPr="00DC3A0D">
        <w:rPr>
          <w:rFonts w:hint="eastAsia"/>
        </w:rPr>
        <w:t xml:space="preserve"> </w:t>
      </w:r>
      <w:r w:rsidRPr="00DC3A0D">
        <w:rPr>
          <w:rFonts w:hint="eastAsia"/>
        </w:rPr>
        <w:t>余永定，</w:t>
      </w:r>
      <w:r w:rsidRPr="00DC3A0D">
        <w:rPr>
          <w:rFonts w:hint="eastAsia"/>
        </w:rPr>
        <w:t>2</w:t>
      </w:r>
      <w:r w:rsidRPr="00DC3A0D">
        <w:t>015</w:t>
      </w:r>
      <w:r w:rsidRPr="00DC3A0D">
        <w:rPr>
          <w:rFonts w:hint="eastAsia"/>
        </w:rPr>
        <w:t>：《中国经济转型中的投资率问题》，《金融评论》第</w:t>
      </w:r>
      <w:r w:rsidRPr="00DC3A0D">
        <w:rPr>
          <w:rFonts w:hint="eastAsia"/>
        </w:rPr>
        <w:t>6</w:t>
      </w:r>
      <w:r w:rsidRPr="00DC3A0D">
        <w:rPr>
          <w:rFonts w:hint="eastAsia"/>
        </w:rPr>
        <w:t>期。</w:t>
      </w:r>
    </w:p>
    <w:p w14:paraId="02EF1F4B" w14:textId="0C9547E2" w:rsidR="00FD4802" w:rsidRPr="00DC3A0D" w:rsidRDefault="00FD4802" w:rsidP="00FC5C5F">
      <w:pPr>
        <w:ind w:left="210" w:hangingChars="100" w:hanging="210"/>
      </w:pPr>
      <w:r w:rsidRPr="00DC3A0D">
        <w:rPr>
          <w:rFonts w:hint="eastAsia"/>
        </w:rPr>
        <w:t>吴晓灵，</w:t>
      </w:r>
      <w:r w:rsidRPr="00DC3A0D">
        <w:t>2005</w:t>
      </w:r>
      <w:r w:rsidR="00983A25">
        <w:rPr>
          <w:rFonts w:hint="eastAsia"/>
        </w:rPr>
        <w:t>：</w:t>
      </w:r>
      <w:r w:rsidRPr="00DC3A0D">
        <w:t>《稳步发展企业债券市场全面优化金融资产结构》，《金融研究》第</w:t>
      </w:r>
      <w:r w:rsidRPr="00DC3A0D">
        <w:t xml:space="preserve">3 </w:t>
      </w:r>
      <w:r w:rsidRPr="00DC3A0D">
        <w:t>期。</w:t>
      </w:r>
    </w:p>
    <w:p w14:paraId="2A90220A" w14:textId="55F359CE" w:rsidR="00FD4802" w:rsidRPr="00DC3A0D" w:rsidRDefault="00FD4802" w:rsidP="00FC5C5F">
      <w:pPr>
        <w:ind w:left="210" w:hangingChars="100" w:hanging="210"/>
      </w:pPr>
      <w:r w:rsidRPr="00DC3A0D">
        <w:rPr>
          <w:rFonts w:hint="eastAsia"/>
        </w:rPr>
        <w:t>谢平，</w:t>
      </w:r>
      <w:r w:rsidRPr="00DC3A0D">
        <w:t>1992</w:t>
      </w:r>
      <w:r w:rsidR="00983A25">
        <w:rPr>
          <w:rFonts w:hint="eastAsia"/>
        </w:rPr>
        <w:t>：</w:t>
      </w:r>
      <w:r w:rsidRPr="00DC3A0D">
        <w:t>《中国金融资产结构分析》，《经济研究》第</w:t>
      </w:r>
      <w:r w:rsidRPr="00DC3A0D">
        <w:t xml:space="preserve">11 </w:t>
      </w:r>
      <w:r w:rsidRPr="00DC3A0D">
        <w:t>期。</w:t>
      </w:r>
    </w:p>
    <w:p w14:paraId="7676B066" w14:textId="1CDF6496" w:rsidR="00FD4802" w:rsidRPr="00DC3A0D" w:rsidRDefault="00FD4802" w:rsidP="00FC5C5F">
      <w:pPr>
        <w:ind w:left="210" w:hangingChars="100" w:hanging="210"/>
      </w:pPr>
      <w:r w:rsidRPr="00DC3A0D">
        <w:rPr>
          <w:rFonts w:hint="eastAsia"/>
        </w:rPr>
        <w:t>易纲</w:t>
      </w:r>
      <w:r w:rsidR="008A7950" w:rsidRPr="00DC3A0D">
        <w:rPr>
          <w:rFonts w:hint="eastAsia"/>
        </w:rPr>
        <w:t>，</w:t>
      </w:r>
      <w:r w:rsidRPr="00DC3A0D">
        <w:t>1996</w:t>
      </w:r>
      <w:r w:rsidR="008A7950" w:rsidRPr="00DC3A0D">
        <w:rPr>
          <w:rFonts w:hint="eastAsia"/>
        </w:rPr>
        <w:t>：</w:t>
      </w:r>
      <w:r w:rsidRPr="00DC3A0D">
        <w:t>《中国金融资产结构分析及政策含义》，《经济研究》第</w:t>
      </w:r>
      <w:r w:rsidRPr="00DC3A0D">
        <w:t xml:space="preserve">12 </w:t>
      </w:r>
      <w:r w:rsidRPr="00DC3A0D">
        <w:t>期。</w:t>
      </w:r>
    </w:p>
    <w:p w14:paraId="425A36EF" w14:textId="69D827B5" w:rsidR="00FD4802" w:rsidRPr="00DC3A0D" w:rsidRDefault="00FD4802" w:rsidP="00FC5C5F">
      <w:pPr>
        <w:ind w:left="210" w:hangingChars="100" w:hanging="210"/>
      </w:pPr>
      <w:r w:rsidRPr="00DC3A0D">
        <w:t>易纲</w:t>
      </w:r>
      <w:r w:rsidRPr="00DC3A0D">
        <w:rPr>
          <w:rFonts w:hint="eastAsia"/>
        </w:rPr>
        <w:t>，</w:t>
      </w:r>
      <w:r w:rsidRPr="00DC3A0D">
        <w:rPr>
          <w:rFonts w:hint="eastAsia"/>
        </w:rPr>
        <w:t>2</w:t>
      </w:r>
      <w:r w:rsidRPr="00DC3A0D">
        <w:t>020</w:t>
      </w:r>
      <w:r w:rsidRPr="00DC3A0D">
        <w:rPr>
          <w:rFonts w:hint="eastAsia"/>
        </w:rPr>
        <w:t>：</w:t>
      </w:r>
      <w:r w:rsidR="00C0216B" w:rsidRPr="00DC3A0D">
        <w:rPr>
          <w:rFonts w:hint="eastAsia"/>
        </w:rPr>
        <w:t>《</w:t>
      </w:r>
      <w:r w:rsidRPr="00DC3A0D">
        <w:t>再论中国金融资产结构及政策含义</w:t>
      </w:r>
      <w:r w:rsidR="00C0216B" w:rsidRPr="00DC3A0D">
        <w:rPr>
          <w:rFonts w:hint="eastAsia"/>
        </w:rPr>
        <w:t>》，《</w:t>
      </w:r>
      <w:r w:rsidRPr="00DC3A0D">
        <w:t>经济研究</w:t>
      </w:r>
      <w:r w:rsidR="00C0216B" w:rsidRPr="00DC3A0D">
        <w:rPr>
          <w:rFonts w:hint="eastAsia"/>
        </w:rPr>
        <w:t>》第</w:t>
      </w:r>
      <w:r w:rsidR="00C0216B" w:rsidRPr="00DC3A0D">
        <w:rPr>
          <w:rFonts w:hint="eastAsia"/>
        </w:rPr>
        <w:t>3</w:t>
      </w:r>
      <w:r w:rsidR="00C0216B" w:rsidRPr="00DC3A0D">
        <w:rPr>
          <w:rFonts w:hint="eastAsia"/>
        </w:rPr>
        <w:t>期。</w:t>
      </w:r>
    </w:p>
    <w:p w14:paraId="19FA4EA9" w14:textId="73C91038" w:rsidR="00FD4802" w:rsidRPr="00DC3A0D" w:rsidRDefault="00FD4802" w:rsidP="00FC5C5F">
      <w:pPr>
        <w:ind w:left="210" w:hangingChars="100" w:hanging="210"/>
      </w:pPr>
      <w:r w:rsidRPr="00DC3A0D">
        <w:rPr>
          <w:rFonts w:hint="eastAsia"/>
        </w:rPr>
        <w:t>易纲</w:t>
      </w:r>
      <w:r w:rsidR="008A7950" w:rsidRPr="00DC3A0D">
        <w:rPr>
          <w:rFonts w:hint="eastAsia"/>
        </w:rPr>
        <w:t xml:space="preserve"> </w:t>
      </w:r>
      <w:r w:rsidRPr="00DC3A0D">
        <w:rPr>
          <w:rFonts w:hint="eastAsia"/>
        </w:rPr>
        <w:t>宋旺，</w:t>
      </w:r>
      <w:r w:rsidRPr="00DC3A0D">
        <w:t>2008</w:t>
      </w:r>
      <w:r w:rsidR="00983A25">
        <w:rPr>
          <w:rFonts w:hint="eastAsia"/>
        </w:rPr>
        <w:t>：</w:t>
      </w:r>
      <w:r w:rsidRPr="00DC3A0D">
        <w:t>《中国金融资产结构演进</w:t>
      </w:r>
      <w:r w:rsidRPr="00DC3A0D">
        <w:t>: 1991—2007</w:t>
      </w:r>
      <w:r w:rsidRPr="00DC3A0D">
        <w:t>》，《经济研究》第</w:t>
      </w:r>
      <w:r w:rsidRPr="00DC3A0D">
        <w:t xml:space="preserve">8 </w:t>
      </w:r>
      <w:r w:rsidRPr="00DC3A0D">
        <w:t>期。</w:t>
      </w:r>
    </w:p>
    <w:p w14:paraId="65EC8FB8" w14:textId="0783A547" w:rsidR="0026404A" w:rsidRPr="00DC3A0D" w:rsidRDefault="0026404A" w:rsidP="0026404A">
      <w:r w:rsidRPr="00DC3A0D">
        <w:rPr>
          <w:rFonts w:hint="eastAsia"/>
        </w:rPr>
        <w:t>杨天宇，</w:t>
      </w:r>
      <w:r w:rsidRPr="00DC3A0D">
        <w:rPr>
          <w:rFonts w:hint="eastAsia"/>
        </w:rPr>
        <w:t>2</w:t>
      </w:r>
      <w:r w:rsidRPr="00DC3A0D">
        <w:t>019</w:t>
      </w:r>
      <w:r w:rsidRPr="00DC3A0D">
        <w:rPr>
          <w:rFonts w:hint="eastAsia"/>
        </w:rPr>
        <w:t>：《破解</w:t>
      </w:r>
      <w:r w:rsidRPr="00DC3A0D">
        <w:rPr>
          <w:rFonts w:hint="eastAsia"/>
        </w:rPr>
        <w:t>2008</w:t>
      </w:r>
      <w:r w:rsidRPr="00DC3A0D">
        <w:rPr>
          <w:rFonts w:hint="eastAsia"/>
        </w:rPr>
        <w:t>年以来中国国民储蓄率下降之谜》，《经济学家》第</w:t>
      </w:r>
      <w:r w:rsidRPr="00DC3A0D">
        <w:rPr>
          <w:rFonts w:hint="eastAsia"/>
        </w:rPr>
        <w:t>11</w:t>
      </w:r>
      <w:r w:rsidRPr="00DC3A0D">
        <w:rPr>
          <w:rFonts w:hint="eastAsia"/>
        </w:rPr>
        <w:t>期。</w:t>
      </w:r>
    </w:p>
    <w:p w14:paraId="10147DC2" w14:textId="75DF3186" w:rsidR="00FD4802" w:rsidRPr="00DC3A0D" w:rsidRDefault="00FD4802" w:rsidP="00FC5C5F">
      <w:pPr>
        <w:ind w:left="210" w:hangingChars="100" w:hanging="210"/>
      </w:pPr>
      <w:r w:rsidRPr="00DC3A0D">
        <w:t>张维迎</w:t>
      </w:r>
      <w:r w:rsidR="00C0216B" w:rsidRPr="00DC3A0D">
        <w:t xml:space="preserve"> </w:t>
      </w:r>
      <w:r w:rsidRPr="00DC3A0D">
        <w:t>吴有昌</w:t>
      </w:r>
      <w:r w:rsidR="00C0216B" w:rsidRPr="00DC3A0D">
        <w:rPr>
          <w:rFonts w:hint="eastAsia"/>
        </w:rPr>
        <w:t>，</w:t>
      </w:r>
      <w:r w:rsidR="00C0216B" w:rsidRPr="00DC3A0D">
        <w:rPr>
          <w:rFonts w:hint="eastAsia"/>
        </w:rPr>
        <w:t>2014</w:t>
      </w:r>
      <w:r w:rsidR="00C0216B" w:rsidRPr="00DC3A0D">
        <w:rPr>
          <w:rFonts w:hint="eastAsia"/>
        </w:rPr>
        <w:t>：《</w:t>
      </w:r>
      <w:r w:rsidRPr="00DC3A0D">
        <w:t>公司融资结构的契约理论：一个综述</w:t>
      </w:r>
      <w:r w:rsidR="00C0216B" w:rsidRPr="00DC3A0D">
        <w:rPr>
          <w:rFonts w:hint="eastAsia"/>
        </w:rPr>
        <w:t>》，《改</w:t>
      </w:r>
      <w:r w:rsidRPr="00DC3A0D">
        <w:t>革</w:t>
      </w:r>
      <w:r w:rsidR="00C0216B" w:rsidRPr="00DC3A0D">
        <w:rPr>
          <w:rFonts w:hint="eastAsia"/>
        </w:rPr>
        <w:t>》第</w:t>
      </w:r>
      <w:r w:rsidR="00C0216B" w:rsidRPr="00DC3A0D">
        <w:rPr>
          <w:rFonts w:hint="eastAsia"/>
        </w:rPr>
        <w:t>4</w:t>
      </w:r>
      <w:r w:rsidR="00C0216B" w:rsidRPr="00DC3A0D">
        <w:rPr>
          <w:rFonts w:hint="eastAsia"/>
        </w:rPr>
        <w:t>期。</w:t>
      </w:r>
    </w:p>
    <w:p w14:paraId="37835D6D" w14:textId="733AE2A9" w:rsidR="00847D17" w:rsidRPr="00DC3A0D" w:rsidRDefault="00847D17" w:rsidP="00FC5C5F">
      <w:pPr>
        <w:ind w:left="210" w:hangingChars="100" w:hanging="210"/>
      </w:pPr>
      <w:r w:rsidRPr="00DC3A0D">
        <w:rPr>
          <w:rFonts w:hint="eastAsia"/>
        </w:rPr>
        <w:t>赵瑞政</w:t>
      </w:r>
      <w:r w:rsidR="009D78F2" w:rsidRPr="00DC3A0D">
        <w:rPr>
          <w:rFonts w:hint="eastAsia"/>
        </w:rPr>
        <w:t xml:space="preserve"> </w:t>
      </w:r>
      <w:r w:rsidRPr="00DC3A0D">
        <w:rPr>
          <w:rFonts w:hint="eastAsia"/>
        </w:rPr>
        <w:t>王文汇</w:t>
      </w:r>
      <w:r w:rsidR="009D78F2" w:rsidRPr="00DC3A0D">
        <w:rPr>
          <w:rFonts w:hint="eastAsia"/>
        </w:rPr>
        <w:t xml:space="preserve"> </w:t>
      </w:r>
      <w:r w:rsidRPr="00DC3A0D">
        <w:rPr>
          <w:rFonts w:hint="eastAsia"/>
        </w:rPr>
        <w:t>王朝阳</w:t>
      </w:r>
      <w:r w:rsidR="009D78F2" w:rsidRPr="00DC3A0D">
        <w:rPr>
          <w:rFonts w:hint="eastAsia"/>
        </w:rPr>
        <w:t>，</w:t>
      </w:r>
      <w:r w:rsidR="009D78F2" w:rsidRPr="00DC3A0D">
        <w:rPr>
          <w:rFonts w:hint="eastAsia"/>
        </w:rPr>
        <w:t>2</w:t>
      </w:r>
      <w:r w:rsidR="009D78F2" w:rsidRPr="00DC3A0D">
        <w:t>020</w:t>
      </w:r>
      <w:r w:rsidR="009D78F2" w:rsidRPr="00DC3A0D">
        <w:rPr>
          <w:rFonts w:hint="eastAsia"/>
        </w:rPr>
        <w:t>：《</w:t>
      </w:r>
      <w:r w:rsidRPr="00DC3A0D">
        <w:rPr>
          <w:rFonts w:hint="eastAsia"/>
        </w:rPr>
        <w:t>金融供给侧的结构性问题及改革建议——基于金融结构视角的比较分析</w:t>
      </w:r>
      <w:r w:rsidR="009D78F2" w:rsidRPr="00DC3A0D">
        <w:rPr>
          <w:rFonts w:hint="eastAsia"/>
        </w:rPr>
        <w:t>》，《</w:t>
      </w:r>
      <w:r w:rsidRPr="00DC3A0D">
        <w:rPr>
          <w:rFonts w:hint="eastAsia"/>
        </w:rPr>
        <w:t>经济学动态</w:t>
      </w:r>
      <w:r w:rsidR="009D78F2" w:rsidRPr="00DC3A0D">
        <w:rPr>
          <w:rFonts w:hint="eastAsia"/>
        </w:rPr>
        <w:t>》第</w:t>
      </w:r>
      <w:r w:rsidRPr="00DC3A0D">
        <w:rPr>
          <w:rFonts w:hint="eastAsia"/>
        </w:rPr>
        <w:t>4</w:t>
      </w:r>
      <w:r w:rsidR="009D78F2" w:rsidRPr="00DC3A0D">
        <w:rPr>
          <w:rFonts w:hint="eastAsia"/>
        </w:rPr>
        <w:t>期。</w:t>
      </w:r>
    </w:p>
    <w:p w14:paraId="3191ED88" w14:textId="3CC5E82B" w:rsidR="002E6F33" w:rsidRPr="00DC3A0D" w:rsidRDefault="002E6F33" w:rsidP="00AD5C3A">
      <w:pPr>
        <w:ind w:left="210" w:hangingChars="100" w:hanging="210"/>
      </w:pPr>
      <w:proofErr w:type="spellStart"/>
      <w:r w:rsidRPr="00DC3A0D">
        <w:t>Arestis</w:t>
      </w:r>
      <w:proofErr w:type="spellEnd"/>
      <w:r w:rsidRPr="00DC3A0D">
        <w:t>,</w:t>
      </w:r>
      <w:r w:rsidR="002F77ED" w:rsidRPr="00DC3A0D">
        <w:t xml:space="preserve"> </w:t>
      </w:r>
      <w:r w:rsidRPr="00DC3A0D">
        <w:t>P.</w:t>
      </w:r>
      <w:r w:rsidR="002F77ED" w:rsidRPr="00DC3A0D">
        <w:t>&amp;</w:t>
      </w:r>
      <w:r w:rsidRPr="00DC3A0D">
        <w:t xml:space="preserve"> </w:t>
      </w:r>
      <w:r w:rsidR="002F77ED" w:rsidRPr="00DC3A0D">
        <w:t xml:space="preserve">P. </w:t>
      </w:r>
      <w:proofErr w:type="spellStart"/>
      <w:r w:rsidRPr="00DC3A0D">
        <w:t>Demetriades</w:t>
      </w:r>
      <w:proofErr w:type="spellEnd"/>
      <w:r w:rsidR="002F77ED" w:rsidRPr="00DC3A0D">
        <w:t>&amp;</w:t>
      </w:r>
      <w:r w:rsidRPr="00DC3A0D">
        <w:t xml:space="preserve"> </w:t>
      </w:r>
      <w:r w:rsidR="002F77ED" w:rsidRPr="00DC3A0D">
        <w:t xml:space="preserve">K. </w:t>
      </w:r>
      <w:proofErr w:type="spellStart"/>
      <w:r w:rsidRPr="00DC3A0D">
        <w:t>Luintel</w:t>
      </w:r>
      <w:proofErr w:type="spellEnd"/>
      <w:r w:rsidRPr="00DC3A0D">
        <w:t xml:space="preserve">(2001), </w:t>
      </w:r>
      <w:r w:rsidR="00684EA8" w:rsidRPr="00DC3A0D">
        <w:t>“</w:t>
      </w:r>
      <w:r w:rsidRPr="00DC3A0D">
        <w:t xml:space="preserve">Financial </w:t>
      </w:r>
      <w:r w:rsidR="00A31110">
        <w:rPr>
          <w:rFonts w:hint="eastAsia"/>
        </w:rPr>
        <w:t>d</w:t>
      </w:r>
      <w:r w:rsidRPr="00DC3A0D">
        <w:t xml:space="preserve">evelopment and </w:t>
      </w:r>
      <w:r w:rsidR="00A31110">
        <w:t>e</w:t>
      </w:r>
      <w:r w:rsidR="00A31110" w:rsidRPr="00DC3A0D">
        <w:t xml:space="preserve">conomic </w:t>
      </w:r>
      <w:r w:rsidR="00A31110">
        <w:t>g</w:t>
      </w:r>
      <w:r w:rsidR="00A31110" w:rsidRPr="00DC3A0D">
        <w:t>rowth</w:t>
      </w:r>
      <w:r w:rsidRPr="00DC3A0D">
        <w:t xml:space="preserve">: </w:t>
      </w:r>
      <w:r w:rsidR="00A31110">
        <w:t>t</w:t>
      </w:r>
      <w:r w:rsidR="00A31110" w:rsidRPr="00DC3A0D">
        <w:t xml:space="preserve">he </w:t>
      </w:r>
      <w:r w:rsidR="00A31110">
        <w:t>r</w:t>
      </w:r>
      <w:r w:rsidR="00A31110" w:rsidRPr="00DC3A0D">
        <w:t xml:space="preserve">ole </w:t>
      </w:r>
      <w:r w:rsidRPr="00DC3A0D">
        <w:t xml:space="preserve">of </w:t>
      </w:r>
      <w:r w:rsidR="00A31110">
        <w:t>s</w:t>
      </w:r>
      <w:r w:rsidR="00A31110" w:rsidRPr="00DC3A0D">
        <w:t xml:space="preserve">tock </w:t>
      </w:r>
      <w:r w:rsidR="00A31110">
        <w:t>m</w:t>
      </w:r>
      <w:r w:rsidR="00A31110" w:rsidRPr="00DC3A0D">
        <w:t>arkets</w:t>
      </w:r>
      <w:r w:rsidR="00684EA8" w:rsidRPr="00DC3A0D">
        <w:t>”</w:t>
      </w:r>
      <w:r w:rsidRPr="00DC3A0D">
        <w:t xml:space="preserve">, </w:t>
      </w:r>
      <w:r w:rsidRPr="00DC3A0D">
        <w:rPr>
          <w:i/>
        </w:rPr>
        <w:t>Journal of Money, Credit, and Banking</w:t>
      </w:r>
      <w:r w:rsidR="00684EA8" w:rsidRPr="00DC3A0D">
        <w:rPr>
          <w:i/>
        </w:rPr>
        <w:t xml:space="preserve"> </w:t>
      </w:r>
      <w:r w:rsidRPr="00DC3A0D">
        <w:t>33(1)</w:t>
      </w:r>
      <w:r w:rsidR="00684EA8" w:rsidRPr="00DC3A0D">
        <w:t>:</w:t>
      </w:r>
      <w:r w:rsidRPr="00DC3A0D">
        <w:t>16-41.</w:t>
      </w:r>
    </w:p>
    <w:p w14:paraId="12BFAA33" w14:textId="2CC9F62F" w:rsidR="009B0465" w:rsidRPr="00DC3A0D" w:rsidRDefault="009B0465" w:rsidP="00AD5C3A">
      <w:pPr>
        <w:ind w:left="210" w:hangingChars="100" w:hanging="210"/>
      </w:pPr>
      <w:proofErr w:type="spellStart"/>
      <w:r w:rsidRPr="00DC3A0D">
        <w:t>Beck,T</w:t>
      </w:r>
      <w:proofErr w:type="spellEnd"/>
      <w:r w:rsidRPr="00DC3A0D">
        <w:rPr>
          <w:rFonts w:hint="eastAsia"/>
        </w:rPr>
        <w:t>.</w:t>
      </w:r>
      <w:r w:rsidR="00A31110">
        <w:t xml:space="preserve"> et al</w:t>
      </w:r>
      <w:r w:rsidRPr="00DC3A0D">
        <w:t>(2000), “</w:t>
      </w:r>
      <w:r w:rsidR="00037D1A" w:rsidRPr="00037D1A">
        <w:t>A New Database on the Structure and Development of the Financial Sector</w:t>
      </w:r>
      <w:r w:rsidRPr="00DC3A0D">
        <w:t>”,</w:t>
      </w:r>
      <w:r w:rsidR="008D458C" w:rsidRPr="00DC3A0D">
        <w:t xml:space="preserve"> </w:t>
      </w:r>
      <w:r w:rsidRPr="00DC3A0D">
        <w:rPr>
          <w:i/>
        </w:rPr>
        <w:t>World Bank Economic Review</w:t>
      </w:r>
      <w:r w:rsidRPr="00DC3A0D">
        <w:t xml:space="preserve"> 14</w:t>
      </w:r>
      <w:r w:rsidR="00037D1A">
        <w:t>(3)</w:t>
      </w:r>
      <w:r w:rsidRPr="00DC3A0D">
        <w:t>:597-605.</w:t>
      </w:r>
    </w:p>
    <w:p w14:paraId="5B85D3F3" w14:textId="2C846471" w:rsidR="002E6F33" w:rsidRPr="00DC3A0D" w:rsidRDefault="002E6F33" w:rsidP="00AD5C3A">
      <w:pPr>
        <w:ind w:left="210" w:hangingChars="100" w:hanging="210"/>
      </w:pPr>
      <w:proofErr w:type="spellStart"/>
      <w:r w:rsidRPr="00DC3A0D">
        <w:t>Cihak</w:t>
      </w:r>
      <w:proofErr w:type="spellEnd"/>
      <w:r w:rsidRPr="00DC3A0D">
        <w:t>,</w:t>
      </w:r>
      <w:r w:rsidR="005A5FE8" w:rsidRPr="00DC3A0D">
        <w:t xml:space="preserve"> </w:t>
      </w:r>
      <w:r w:rsidRPr="00DC3A0D">
        <w:t>M</w:t>
      </w:r>
      <w:r w:rsidR="002F77ED" w:rsidRPr="00DC3A0D">
        <w:rPr>
          <w:rFonts w:hint="eastAsia"/>
        </w:rPr>
        <w:t>.</w:t>
      </w:r>
      <w:r w:rsidR="00A31110">
        <w:t xml:space="preserve"> et al</w:t>
      </w:r>
      <w:r w:rsidR="002F77ED" w:rsidRPr="00DC3A0D">
        <w:rPr>
          <w:rFonts w:hint="eastAsia"/>
        </w:rPr>
        <w:t>(</w:t>
      </w:r>
      <w:r w:rsidRPr="00DC3A0D">
        <w:t>2012</w:t>
      </w:r>
      <w:r w:rsidR="002F77ED" w:rsidRPr="00DC3A0D">
        <w:t>)</w:t>
      </w:r>
      <w:r w:rsidRPr="00DC3A0D">
        <w:t>,</w:t>
      </w:r>
      <w:r w:rsidR="009B0465" w:rsidRPr="00DC3A0D">
        <w:t>“</w:t>
      </w:r>
      <w:r w:rsidRPr="00DC3A0D">
        <w:t>Benchmarking financial systems around the world</w:t>
      </w:r>
      <w:r w:rsidR="009B0465" w:rsidRPr="00DC3A0D">
        <w:t>”,</w:t>
      </w:r>
      <w:r w:rsidR="008D458C" w:rsidRPr="00DC3A0D">
        <w:t xml:space="preserve"> </w:t>
      </w:r>
      <w:r w:rsidRPr="00DC3A0D">
        <w:t>Policy Research working paper</w:t>
      </w:r>
      <w:r w:rsidR="000C46E0">
        <w:t>, N</w:t>
      </w:r>
      <w:r w:rsidRPr="00DC3A0D">
        <w:t xml:space="preserve">o. WPS 6175. </w:t>
      </w:r>
    </w:p>
    <w:p w14:paraId="56D27E7D" w14:textId="76328A46" w:rsidR="00F53599" w:rsidRDefault="002E6F33" w:rsidP="00F51C9C">
      <w:pPr>
        <w:ind w:left="210" w:hangingChars="100" w:hanging="210"/>
      </w:pPr>
      <w:proofErr w:type="spellStart"/>
      <w:r w:rsidRPr="00DC3A0D">
        <w:t>Demirguc-Kunt</w:t>
      </w:r>
      <w:proofErr w:type="spellEnd"/>
      <w:r w:rsidRPr="00DC3A0D">
        <w:t>, A.</w:t>
      </w:r>
      <w:r w:rsidR="005A5FE8" w:rsidRPr="00DC3A0D">
        <w:t xml:space="preserve"> &amp; </w:t>
      </w:r>
      <w:proofErr w:type="spellStart"/>
      <w:r w:rsidR="005A5FE8" w:rsidRPr="00DC3A0D">
        <w:t>R.</w:t>
      </w:r>
      <w:r w:rsidRPr="00DC3A0D">
        <w:t>Levine</w:t>
      </w:r>
      <w:proofErr w:type="spellEnd"/>
      <w:r w:rsidRPr="00DC3A0D">
        <w:t xml:space="preserve">(1996), </w:t>
      </w:r>
      <w:r w:rsidR="00684EA8" w:rsidRPr="00DC3A0D">
        <w:t>“</w:t>
      </w:r>
      <w:r w:rsidRPr="00DC3A0D">
        <w:t xml:space="preserve">Stock </w:t>
      </w:r>
      <w:r w:rsidR="00A31110">
        <w:t>m</w:t>
      </w:r>
      <w:r w:rsidRPr="00DC3A0D">
        <w:t xml:space="preserve">arkets, </w:t>
      </w:r>
      <w:r w:rsidR="00A31110">
        <w:t>c</w:t>
      </w:r>
      <w:r w:rsidRPr="00DC3A0D">
        <w:t xml:space="preserve">orporate </w:t>
      </w:r>
      <w:r w:rsidR="00A31110">
        <w:t>f</w:t>
      </w:r>
      <w:r w:rsidRPr="00DC3A0D">
        <w:t xml:space="preserve">inance and </w:t>
      </w:r>
      <w:r w:rsidR="00A31110">
        <w:t>e</w:t>
      </w:r>
      <w:r w:rsidRPr="00DC3A0D">
        <w:t xml:space="preserve">conomic </w:t>
      </w:r>
      <w:r w:rsidR="00A31110">
        <w:t>g</w:t>
      </w:r>
      <w:r w:rsidRPr="00DC3A0D">
        <w:t xml:space="preserve">rowth: </w:t>
      </w:r>
      <w:r w:rsidR="00A31110">
        <w:t>a</w:t>
      </w:r>
      <w:r w:rsidRPr="00DC3A0D">
        <w:t xml:space="preserve">n </w:t>
      </w:r>
      <w:r w:rsidR="00A31110">
        <w:t>o</w:t>
      </w:r>
      <w:r w:rsidRPr="00DC3A0D">
        <w:t>verview</w:t>
      </w:r>
      <w:r w:rsidR="00684EA8" w:rsidRPr="00DC3A0D">
        <w:t>”</w:t>
      </w:r>
      <w:r w:rsidRPr="00DC3A0D">
        <w:t>,</w:t>
      </w:r>
      <w:r w:rsidR="008D458C" w:rsidRPr="00DC3A0D">
        <w:t xml:space="preserve"> </w:t>
      </w:r>
      <w:r w:rsidRPr="00DC3A0D">
        <w:rPr>
          <w:i/>
        </w:rPr>
        <w:t>World Bank Economic Review</w:t>
      </w:r>
      <w:r w:rsidR="00684EA8" w:rsidRPr="00DC3A0D">
        <w:rPr>
          <w:i/>
        </w:rPr>
        <w:t xml:space="preserve"> </w:t>
      </w:r>
      <w:r w:rsidRPr="00DC3A0D">
        <w:t>10(2)</w:t>
      </w:r>
      <w:r w:rsidR="00684EA8" w:rsidRPr="00DC3A0D">
        <w:t>:</w:t>
      </w:r>
      <w:r w:rsidRPr="00DC3A0D">
        <w:t>223-239.</w:t>
      </w:r>
    </w:p>
    <w:p w14:paraId="2C3A4560" w14:textId="0206370A" w:rsidR="00F70029" w:rsidRPr="00DC3A0D" w:rsidRDefault="00F70029" w:rsidP="00AD5C3A">
      <w:pPr>
        <w:ind w:left="210" w:hangingChars="100" w:hanging="210"/>
      </w:pPr>
      <w:bookmarkStart w:id="12" w:name="_Hlk69220207"/>
      <w:r w:rsidRPr="00DC3A0D">
        <w:t>Gurley, J.G.&amp; Shaw, E.</w:t>
      </w:r>
      <w:r w:rsidR="00605F55" w:rsidRPr="00DC3A0D">
        <w:t xml:space="preserve"> </w:t>
      </w:r>
      <w:r w:rsidRPr="00DC3A0D">
        <w:t xml:space="preserve">S.(1955), “Financial </w:t>
      </w:r>
      <w:r w:rsidR="00A31110">
        <w:t>a</w:t>
      </w:r>
      <w:r w:rsidR="00A31110" w:rsidRPr="00DC3A0D">
        <w:t xml:space="preserve">spects </w:t>
      </w:r>
      <w:r w:rsidRPr="00DC3A0D">
        <w:t xml:space="preserve">of </w:t>
      </w:r>
      <w:r w:rsidR="00A31110">
        <w:t>e</w:t>
      </w:r>
      <w:r w:rsidR="00A31110" w:rsidRPr="00DC3A0D">
        <w:t xml:space="preserve">conomic </w:t>
      </w:r>
      <w:r w:rsidR="00A31110">
        <w:t>d</w:t>
      </w:r>
      <w:r w:rsidR="00A31110" w:rsidRPr="00DC3A0D">
        <w:t>evelopment</w:t>
      </w:r>
      <w:r w:rsidRPr="00DC3A0D">
        <w:t xml:space="preserve">”, </w:t>
      </w:r>
      <w:r w:rsidRPr="00DC3A0D">
        <w:rPr>
          <w:i/>
        </w:rPr>
        <w:t xml:space="preserve">The American Economic Review </w:t>
      </w:r>
      <w:r w:rsidRPr="00DC3A0D">
        <w:t>45(4)</w:t>
      </w:r>
      <w:r w:rsidR="00605F55" w:rsidRPr="00DC3A0D">
        <w:t>:</w:t>
      </w:r>
      <w:r w:rsidRPr="00DC3A0D">
        <w:t xml:space="preserve"> 515-538.</w:t>
      </w:r>
      <w:bookmarkEnd w:id="12"/>
    </w:p>
    <w:p w14:paraId="5E332324" w14:textId="77777777" w:rsidR="00202617" w:rsidRPr="00DC3A0D" w:rsidRDefault="00202617" w:rsidP="00202617">
      <w:pPr>
        <w:ind w:left="210" w:hangingChars="100" w:hanging="210"/>
      </w:pPr>
      <w:r w:rsidRPr="00DC3A0D">
        <w:t>La</w:t>
      </w:r>
      <w:r>
        <w:t xml:space="preserve"> P</w:t>
      </w:r>
      <w:r w:rsidRPr="00DC3A0D">
        <w:t>orta, R</w:t>
      </w:r>
      <w:r w:rsidRPr="00DC3A0D">
        <w:rPr>
          <w:rFonts w:hint="eastAsia"/>
        </w:rPr>
        <w:t>.</w:t>
      </w:r>
      <w:r>
        <w:t xml:space="preserve"> et al</w:t>
      </w:r>
      <w:r w:rsidRPr="00DC3A0D" w:rsidDel="00A31110">
        <w:t xml:space="preserve"> </w:t>
      </w:r>
      <w:r w:rsidRPr="00DC3A0D">
        <w:t>(</w:t>
      </w:r>
      <w:r>
        <w:t>1997</w:t>
      </w:r>
      <w:r w:rsidRPr="00DC3A0D">
        <w:t xml:space="preserve">), “Legal </w:t>
      </w:r>
      <w:r>
        <w:t>d</w:t>
      </w:r>
      <w:r w:rsidRPr="00DC3A0D">
        <w:t xml:space="preserve">eterminants of </w:t>
      </w:r>
      <w:r>
        <w:t>e</w:t>
      </w:r>
      <w:r w:rsidRPr="00DC3A0D">
        <w:t xml:space="preserve">xternal </w:t>
      </w:r>
      <w:r>
        <w:t>f</w:t>
      </w:r>
      <w:r w:rsidRPr="00DC3A0D">
        <w:t xml:space="preserve">inance”, </w:t>
      </w:r>
      <w:r w:rsidRPr="00DC3A0D">
        <w:rPr>
          <w:i/>
        </w:rPr>
        <w:t>Journal of Finance</w:t>
      </w:r>
      <w:r w:rsidRPr="00DC3A0D">
        <w:t xml:space="preserve"> 52(3): 1131-1150.</w:t>
      </w:r>
    </w:p>
    <w:p w14:paraId="2249249E" w14:textId="4A248919" w:rsidR="002E6F33" w:rsidRPr="00DC3A0D" w:rsidRDefault="002E6F33" w:rsidP="00AD5C3A">
      <w:pPr>
        <w:ind w:left="210" w:hangingChars="100" w:hanging="210"/>
      </w:pPr>
      <w:r w:rsidRPr="00DC3A0D">
        <w:t>La</w:t>
      </w:r>
      <w:r w:rsidR="00A31110">
        <w:t xml:space="preserve"> P</w:t>
      </w:r>
      <w:r w:rsidRPr="00DC3A0D">
        <w:t>orta</w:t>
      </w:r>
      <w:r w:rsidR="00576FF8" w:rsidRPr="00DC3A0D">
        <w:t xml:space="preserve">, </w:t>
      </w:r>
      <w:r w:rsidRPr="00DC3A0D">
        <w:t>R</w:t>
      </w:r>
      <w:r w:rsidR="00576FF8" w:rsidRPr="00DC3A0D">
        <w:rPr>
          <w:rFonts w:hint="eastAsia"/>
        </w:rPr>
        <w:t>.</w:t>
      </w:r>
      <w:r w:rsidR="00A31110">
        <w:t xml:space="preserve"> et al</w:t>
      </w:r>
      <w:r w:rsidR="00A31110" w:rsidRPr="00DC3A0D" w:rsidDel="00A31110">
        <w:t xml:space="preserve"> </w:t>
      </w:r>
      <w:r w:rsidR="002F77ED" w:rsidRPr="00DC3A0D">
        <w:t>(1998)</w:t>
      </w:r>
      <w:r w:rsidR="009B0465" w:rsidRPr="00DC3A0D">
        <w:rPr>
          <w:rFonts w:hint="eastAsia"/>
        </w:rPr>
        <w:t>,</w:t>
      </w:r>
      <w:r w:rsidR="009B0465" w:rsidRPr="00DC3A0D">
        <w:t xml:space="preserve"> “</w:t>
      </w:r>
      <w:r w:rsidRPr="00DC3A0D">
        <w:t xml:space="preserve">Law and </w:t>
      </w:r>
      <w:r w:rsidRPr="00DC3A0D">
        <w:rPr>
          <w:rFonts w:hint="eastAsia"/>
        </w:rPr>
        <w:t>fi</w:t>
      </w:r>
      <w:r w:rsidRPr="00DC3A0D">
        <w:t>nance</w:t>
      </w:r>
      <w:r w:rsidR="009B0465" w:rsidRPr="00DC3A0D">
        <w:t>”,</w:t>
      </w:r>
      <w:r w:rsidR="008D458C" w:rsidRPr="00DC3A0D">
        <w:t xml:space="preserve"> </w:t>
      </w:r>
      <w:r w:rsidRPr="00DC3A0D">
        <w:rPr>
          <w:i/>
        </w:rPr>
        <w:t>Journal of Political Economy</w:t>
      </w:r>
      <w:r w:rsidRPr="00DC3A0D">
        <w:t xml:space="preserve"> 106(6):1113-1155.</w:t>
      </w:r>
    </w:p>
    <w:p w14:paraId="2597FC2F" w14:textId="741FCD3B" w:rsidR="002E6F33" w:rsidRPr="00DC3A0D" w:rsidRDefault="002E6F33" w:rsidP="00AD5C3A">
      <w:pPr>
        <w:ind w:left="210" w:hangingChars="100" w:hanging="210"/>
      </w:pPr>
      <w:r w:rsidRPr="00DC3A0D">
        <w:t>Levine</w:t>
      </w:r>
      <w:r w:rsidR="00576FF8" w:rsidRPr="00DC3A0D">
        <w:t xml:space="preserve">, </w:t>
      </w:r>
      <w:r w:rsidRPr="00DC3A0D">
        <w:t>R</w:t>
      </w:r>
      <w:r w:rsidR="00576FF8" w:rsidRPr="00DC3A0D">
        <w:t>.(</w:t>
      </w:r>
      <w:r w:rsidRPr="00DC3A0D">
        <w:t>1999</w:t>
      </w:r>
      <w:r w:rsidR="00576FF8" w:rsidRPr="00DC3A0D">
        <w:t>)</w:t>
      </w:r>
      <w:r w:rsidR="003066AC" w:rsidRPr="00DC3A0D">
        <w:t>,</w:t>
      </w:r>
      <w:r w:rsidR="009B0465" w:rsidRPr="00DC3A0D">
        <w:t>“</w:t>
      </w:r>
      <w:r w:rsidRPr="00DC3A0D">
        <w:t>Law, finance, and economic growth</w:t>
      </w:r>
      <w:r w:rsidR="009B0465" w:rsidRPr="00DC3A0D">
        <w:t>”,</w:t>
      </w:r>
      <w:r w:rsidR="008D458C" w:rsidRPr="00DC3A0D">
        <w:t xml:space="preserve"> </w:t>
      </w:r>
      <w:r w:rsidRPr="00DC3A0D">
        <w:rPr>
          <w:i/>
        </w:rPr>
        <w:t>Journal of Financial Intermediation</w:t>
      </w:r>
      <w:r w:rsidRPr="00DC3A0D">
        <w:t xml:space="preserve"> 8(1/2):36</w:t>
      </w:r>
      <w:r w:rsidR="00FE5AA4">
        <w:rPr>
          <w:rFonts w:hint="eastAsia"/>
        </w:rPr>
        <w:t>-</w:t>
      </w:r>
      <w:r w:rsidRPr="00DC3A0D">
        <w:t>67.</w:t>
      </w:r>
    </w:p>
    <w:p w14:paraId="52B26FB7" w14:textId="5C570732" w:rsidR="002E6F33" w:rsidRPr="00DC3A0D" w:rsidRDefault="002E6F33" w:rsidP="00AD5C3A">
      <w:pPr>
        <w:ind w:left="210" w:hangingChars="100" w:hanging="210"/>
      </w:pPr>
      <w:r w:rsidRPr="00DC3A0D">
        <w:t>Levine, R.</w:t>
      </w:r>
      <w:r w:rsidR="00576FF8" w:rsidRPr="00DC3A0D">
        <w:t xml:space="preserve">&amp; </w:t>
      </w:r>
      <w:proofErr w:type="spellStart"/>
      <w:r w:rsidR="00576FF8" w:rsidRPr="00DC3A0D">
        <w:t>S.</w:t>
      </w:r>
      <w:r w:rsidRPr="00DC3A0D">
        <w:t>Zevros</w:t>
      </w:r>
      <w:proofErr w:type="spellEnd"/>
      <w:r w:rsidR="00576FF8" w:rsidRPr="00DC3A0D">
        <w:t>(1998)</w:t>
      </w:r>
      <w:r w:rsidRPr="00DC3A0D">
        <w:t>,</w:t>
      </w:r>
      <w:r w:rsidR="003066AC" w:rsidRPr="00DC3A0D">
        <w:t xml:space="preserve"> “</w:t>
      </w:r>
      <w:r w:rsidRPr="00DC3A0D">
        <w:t xml:space="preserve">Stock </w:t>
      </w:r>
      <w:r w:rsidR="00A31110">
        <w:t>m</w:t>
      </w:r>
      <w:r w:rsidR="00A31110" w:rsidRPr="00DC3A0D">
        <w:t>arkets</w:t>
      </w:r>
      <w:r w:rsidRPr="00DC3A0D">
        <w:t xml:space="preserve">, </w:t>
      </w:r>
      <w:r w:rsidR="00A31110">
        <w:t>b</w:t>
      </w:r>
      <w:r w:rsidR="00A31110" w:rsidRPr="00DC3A0D">
        <w:t xml:space="preserve">anks </w:t>
      </w:r>
      <w:r w:rsidRPr="00DC3A0D">
        <w:t xml:space="preserve">and </w:t>
      </w:r>
      <w:r w:rsidR="00A31110">
        <w:t>e</w:t>
      </w:r>
      <w:r w:rsidR="00A31110" w:rsidRPr="00DC3A0D">
        <w:t xml:space="preserve">conomic </w:t>
      </w:r>
      <w:r w:rsidR="00A31110">
        <w:t>g</w:t>
      </w:r>
      <w:r w:rsidR="00A31110" w:rsidRPr="00DC3A0D">
        <w:t>rowth</w:t>
      </w:r>
      <w:r w:rsidR="003066AC" w:rsidRPr="00DC3A0D">
        <w:t>”</w:t>
      </w:r>
      <w:r w:rsidRPr="00DC3A0D">
        <w:t xml:space="preserve">, </w:t>
      </w:r>
      <w:r w:rsidRPr="00DC3A0D">
        <w:rPr>
          <w:i/>
        </w:rPr>
        <w:t>American Economic Review</w:t>
      </w:r>
      <w:r w:rsidR="003066AC" w:rsidRPr="00DC3A0D">
        <w:t xml:space="preserve"> </w:t>
      </w:r>
      <w:r w:rsidRPr="00DC3A0D">
        <w:lastRenderedPageBreak/>
        <w:t>88(3)</w:t>
      </w:r>
      <w:r w:rsidR="003066AC" w:rsidRPr="00DC3A0D">
        <w:t>:</w:t>
      </w:r>
      <w:r w:rsidRPr="00DC3A0D">
        <w:t>537-558.</w:t>
      </w:r>
    </w:p>
    <w:p w14:paraId="64639966" w14:textId="47323C31" w:rsidR="008762B7" w:rsidRPr="00DC3A0D" w:rsidRDefault="008762B7" w:rsidP="00AD5C3A">
      <w:pPr>
        <w:ind w:left="210" w:hangingChars="100" w:hanging="210"/>
      </w:pPr>
      <w:r w:rsidRPr="00DC3A0D">
        <w:t>Modigliani, F</w:t>
      </w:r>
      <w:r w:rsidR="005A5FE8" w:rsidRPr="00DC3A0D">
        <w:rPr>
          <w:rFonts w:hint="eastAsia"/>
        </w:rPr>
        <w:t>.</w:t>
      </w:r>
      <w:r w:rsidR="005A5FE8" w:rsidRPr="00DC3A0D">
        <w:t xml:space="preserve">&amp; </w:t>
      </w:r>
      <w:proofErr w:type="spellStart"/>
      <w:r w:rsidRPr="00DC3A0D">
        <w:t>M</w:t>
      </w:r>
      <w:r w:rsidR="005A5FE8" w:rsidRPr="00DC3A0D">
        <w:t>.</w:t>
      </w:r>
      <w:r w:rsidRPr="00DC3A0D">
        <w:t>Miller</w:t>
      </w:r>
      <w:proofErr w:type="spellEnd"/>
      <w:r w:rsidR="005A5FE8" w:rsidRPr="00DC3A0D">
        <w:t>(</w:t>
      </w:r>
      <w:r w:rsidRPr="00DC3A0D">
        <w:t>1958</w:t>
      </w:r>
      <w:r w:rsidR="005A5FE8" w:rsidRPr="00DC3A0D">
        <w:t>)</w:t>
      </w:r>
      <w:r w:rsidR="00D060F9" w:rsidRPr="00DC3A0D">
        <w:t>, “</w:t>
      </w:r>
      <w:r w:rsidRPr="00DC3A0D">
        <w:t xml:space="preserve">The </w:t>
      </w:r>
      <w:r w:rsidR="00A31110">
        <w:t>c</w:t>
      </w:r>
      <w:r w:rsidR="00A31110" w:rsidRPr="00DC3A0D">
        <w:t xml:space="preserve">ost </w:t>
      </w:r>
      <w:r w:rsidRPr="00DC3A0D">
        <w:t xml:space="preserve">of </w:t>
      </w:r>
      <w:r w:rsidR="00A31110">
        <w:t>c</w:t>
      </w:r>
      <w:r w:rsidR="00A31110" w:rsidRPr="00DC3A0D">
        <w:t>apital</w:t>
      </w:r>
      <w:r w:rsidRPr="00DC3A0D">
        <w:t xml:space="preserve">, </w:t>
      </w:r>
      <w:r w:rsidR="00A31110">
        <w:t>c</w:t>
      </w:r>
      <w:r w:rsidR="00A31110" w:rsidRPr="00DC3A0D">
        <w:t xml:space="preserve">orporation </w:t>
      </w:r>
      <w:r w:rsidR="00A31110">
        <w:t>f</w:t>
      </w:r>
      <w:r w:rsidR="00A31110" w:rsidRPr="00DC3A0D">
        <w:t xml:space="preserve">inance </w:t>
      </w:r>
      <w:r w:rsidRPr="00DC3A0D">
        <w:t xml:space="preserve">and the </w:t>
      </w:r>
      <w:r w:rsidR="00A31110">
        <w:t>t</w:t>
      </w:r>
      <w:r w:rsidR="00A31110" w:rsidRPr="00DC3A0D">
        <w:t xml:space="preserve">heory </w:t>
      </w:r>
      <w:r w:rsidRPr="00DC3A0D">
        <w:t xml:space="preserve">of </w:t>
      </w:r>
      <w:r w:rsidR="00A31110">
        <w:t>i</w:t>
      </w:r>
      <w:r w:rsidR="00A31110" w:rsidRPr="00DC3A0D">
        <w:t>nvestment</w:t>
      </w:r>
      <w:r w:rsidR="00D060F9" w:rsidRPr="00DC3A0D">
        <w:t>”,</w:t>
      </w:r>
      <w:r w:rsidRPr="00DC3A0D">
        <w:t xml:space="preserve"> </w:t>
      </w:r>
      <w:r w:rsidRPr="00DC3A0D">
        <w:rPr>
          <w:i/>
        </w:rPr>
        <w:t>American Economic Review</w:t>
      </w:r>
      <w:r w:rsidRPr="00DC3A0D">
        <w:t xml:space="preserve"> 48(3): 261–97.</w:t>
      </w:r>
    </w:p>
    <w:sectPr w:rsidR="008762B7" w:rsidRPr="00DC3A0D" w:rsidSect="009D33A1">
      <w:footnotePr>
        <w:numFmt w:val="decimalEnclosedCircleChinese"/>
        <w:numRestart w:val="eachPage"/>
      </w:footnotePr>
      <w:endnotePr>
        <w:numFmt w:val="decimalEnclosedCircleChinese"/>
        <w:numRestart w:val="eachSect"/>
      </w:endnotePr>
      <w:type w:val="continuous"/>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4316" w14:textId="77777777" w:rsidR="00452A41" w:rsidRDefault="00452A41" w:rsidP="00D70D73">
      <w:r>
        <w:separator/>
      </w:r>
    </w:p>
  </w:endnote>
  <w:endnote w:type="continuationSeparator" w:id="0">
    <w:p w14:paraId="4185EB40" w14:textId="77777777" w:rsidR="00452A41" w:rsidRDefault="00452A41" w:rsidP="00D7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3097" w14:textId="77777777" w:rsidR="00452A41" w:rsidRDefault="00452A41" w:rsidP="00D70D73">
      <w:r>
        <w:separator/>
      </w:r>
    </w:p>
  </w:footnote>
  <w:footnote w:type="continuationSeparator" w:id="0">
    <w:p w14:paraId="14DC2943" w14:textId="77777777" w:rsidR="00452A41" w:rsidRDefault="00452A41" w:rsidP="00D70D73">
      <w:r>
        <w:continuationSeparator/>
      </w:r>
    </w:p>
  </w:footnote>
  <w:footnote w:id="1">
    <w:p w14:paraId="476CE266" w14:textId="3995F38E" w:rsidR="00F52902" w:rsidRPr="00F52902" w:rsidRDefault="00F52902" w:rsidP="0010788C">
      <w:pPr>
        <w:pStyle w:val="a8"/>
        <w:ind w:firstLineChars="200" w:firstLine="360"/>
      </w:pPr>
      <w:r>
        <w:rPr>
          <w:rStyle w:val="aa"/>
        </w:rPr>
        <w:footnoteRef/>
      </w:r>
      <w:r>
        <w:t xml:space="preserve"> </w:t>
      </w:r>
      <w:r w:rsidRPr="0010788C">
        <w:rPr>
          <w:rFonts w:ascii="宋体" w:hAnsi="宋体" w:hint="eastAsia"/>
        </w:rPr>
        <w:t>何德旭</w:t>
      </w:r>
      <w:r w:rsidR="008E3BBC">
        <w:rPr>
          <w:rFonts w:ascii="宋体" w:hAnsi="宋体" w:hint="eastAsia"/>
        </w:rPr>
        <w:t>、</w:t>
      </w:r>
      <w:r w:rsidR="008E3BBC" w:rsidRPr="0010788C">
        <w:rPr>
          <w:rFonts w:ascii="宋体" w:hAnsi="宋体" w:hint="eastAsia"/>
        </w:rPr>
        <w:t>冯明</w:t>
      </w:r>
      <w:r w:rsidRPr="0010788C">
        <w:rPr>
          <w:rFonts w:ascii="宋体" w:hAnsi="宋体" w:hint="eastAsia"/>
        </w:rPr>
        <w:t>，中国社会科学院财经战略研究院</w:t>
      </w:r>
      <w:r w:rsidR="00BA59AF" w:rsidRPr="0010788C">
        <w:rPr>
          <w:rFonts w:ascii="宋体" w:hAnsi="宋体" w:hint="eastAsia"/>
        </w:rPr>
        <w:t>、中国社会科学院大学商学院</w:t>
      </w:r>
      <w:r w:rsidRPr="0010788C">
        <w:rPr>
          <w:rFonts w:ascii="宋体" w:hAnsi="宋体" w:hint="eastAsia"/>
        </w:rPr>
        <w:t>，邮政编码：10000</w:t>
      </w:r>
      <w:r w:rsidRPr="0010788C">
        <w:rPr>
          <w:rFonts w:ascii="宋体" w:hAnsi="宋体"/>
        </w:rPr>
        <w:t>6</w:t>
      </w:r>
      <w:r w:rsidRPr="0010788C">
        <w:rPr>
          <w:rFonts w:ascii="宋体" w:hAnsi="宋体" w:hint="eastAsia"/>
        </w:rPr>
        <w:t>，电子邮箱：</w:t>
      </w:r>
      <w:r w:rsidRPr="0010788C">
        <w:rPr>
          <w:rFonts w:ascii="宋体" w:hAnsi="宋体" w:cs="Times New Roman" w:hint="eastAsia"/>
        </w:rPr>
        <w:t>feng</w:t>
      </w:r>
      <w:r w:rsidRPr="0010788C">
        <w:rPr>
          <w:rFonts w:ascii="宋体" w:hAnsi="宋体" w:cs="Times New Roman"/>
        </w:rPr>
        <w:t>mingthu@126.com</w:t>
      </w:r>
      <w:r w:rsidRPr="0010788C">
        <w:rPr>
          <w:rFonts w:ascii="宋体" w:hAnsi="宋体" w:cs="Times New Roman" w:hint="eastAsia"/>
        </w:rPr>
        <w:t>。</w:t>
      </w:r>
      <w:r w:rsidR="008E3BBC">
        <w:rPr>
          <w:rFonts w:ascii="宋体" w:hAnsi="宋体" w:cs="Times New Roman" w:hint="eastAsia"/>
        </w:rPr>
        <w:t>基金项目：</w:t>
      </w:r>
      <w:r w:rsidR="00BB3B3B" w:rsidRPr="0010788C">
        <w:rPr>
          <w:rFonts w:ascii="宋体" w:hAnsi="宋体" w:cs="Times New Roman" w:hint="eastAsia"/>
        </w:rPr>
        <w:t>国家社科基金青年</w:t>
      </w:r>
      <w:r w:rsidRPr="0010788C">
        <w:rPr>
          <w:rFonts w:ascii="宋体" w:hAnsi="宋体" w:cs="Times New Roman" w:hint="eastAsia"/>
        </w:rPr>
        <w:t>项目“</w:t>
      </w:r>
      <w:r w:rsidR="00BB3B3B" w:rsidRPr="0010788C">
        <w:rPr>
          <w:rFonts w:ascii="宋体" w:hAnsi="宋体" w:cs="Times New Roman" w:hint="eastAsia"/>
        </w:rPr>
        <w:t>宏观债务与高杠杆的形成机制及对策研究</w:t>
      </w:r>
      <w:r w:rsidRPr="0010788C">
        <w:rPr>
          <w:rFonts w:ascii="宋体" w:hAnsi="宋体" w:cs="Times New Roman" w:hint="eastAsia"/>
        </w:rPr>
        <w:t>”（编号</w:t>
      </w:r>
      <w:r w:rsidR="00BB3B3B" w:rsidRPr="0010788C">
        <w:rPr>
          <w:rFonts w:ascii="宋体" w:hAnsi="宋体" w:cs="Times New Roman" w:hint="eastAsia"/>
        </w:rPr>
        <w:t>17CJY054</w:t>
      </w:r>
      <w:r w:rsidRPr="0010788C">
        <w:rPr>
          <w:rFonts w:ascii="宋体" w:hAnsi="宋体" w:cs="Times New Roman" w:hint="eastAsia"/>
        </w:rPr>
        <w:t>）。感谢</w:t>
      </w:r>
      <w:r w:rsidR="00A74CF2" w:rsidRPr="0010788C">
        <w:rPr>
          <w:rFonts w:ascii="宋体" w:hAnsi="宋体" w:cs="Times New Roman" w:hint="eastAsia"/>
        </w:rPr>
        <w:t>审稿人的修改建议</w:t>
      </w:r>
      <w:r w:rsidRPr="0010788C">
        <w:rPr>
          <w:rFonts w:ascii="宋体" w:hAnsi="宋体" w:cs="Times New Roman" w:hint="eastAsia"/>
        </w:rPr>
        <w:t>，文责自负。</w:t>
      </w:r>
    </w:p>
  </w:footnote>
  <w:footnote w:id="2">
    <w:p w14:paraId="2E2250D4" w14:textId="62C72456" w:rsidR="00A31110" w:rsidRPr="00983A25" w:rsidRDefault="00A31110" w:rsidP="00F34D52">
      <w:pPr>
        <w:pStyle w:val="a8"/>
        <w:ind w:firstLineChars="200" w:firstLine="360"/>
      </w:pPr>
      <w:r w:rsidRPr="00983A25">
        <w:rPr>
          <w:rStyle w:val="aa"/>
        </w:rPr>
        <w:footnoteRef/>
      </w:r>
      <w:r w:rsidRPr="00983A25">
        <w:t xml:space="preserve"> </w:t>
      </w:r>
      <w:r w:rsidRPr="00983A25">
        <w:rPr>
          <w:rFonts w:hint="eastAsia"/>
        </w:rPr>
        <w:t>尽管基础设施建设投资中的一部分也具备一定生产性，但相对于产业投资而言</w:t>
      </w:r>
      <w:r w:rsidR="00D60A07" w:rsidRPr="00983A25">
        <w:rPr>
          <w:rFonts w:hint="eastAsia"/>
        </w:rPr>
        <w:t>其</w:t>
      </w:r>
      <w:r w:rsidRPr="00983A25">
        <w:rPr>
          <w:rFonts w:hint="eastAsia"/>
        </w:rPr>
        <w:t>参与生产活动的过程较为间接。居民贷款购买住房</w:t>
      </w:r>
      <w:r w:rsidR="00FB529A" w:rsidRPr="00983A25">
        <w:rPr>
          <w:rFonts w:hint="eastAsia"/>
        </w:rPr>
        <w:t>用于</w:t>
      </w:r>
      <w:r w:rsidRPr="00983A25">
        <w:rPr>
          <w:rFonts w:hint="eastAsia"/>
        </w:rPr>
        <w:t>长期</w:t>
      </w:r>
      <w:r w:rsidR="00FB529A" w:rsidRPr="00983A25">
        <w:rPr>
          <w:rFonts w:hint="eastAsia"/>
        </w:rPr>
        <w:t>居住</w:t>
      </w:r>
      <w:r w:rsidRPr="00983A25">
        <w:rPr>
          <w:rFonts w:hint="eastAsia"/>
        </w:rPr>
        <w:t>从国民经济核算角度而言属于投资行为，住房</w:t>
      </w:r>
      <w:r w:rsidR="00D1085E" w:rsidRPr="00983A25">
        <w:rPr>
          <w:rFonts w:hint="eastAsia"/>
        </w:rPr>
        <w:t>被</w:t>
      </w:r>
      <w:r w:rsidRPr="00983A25">
        <w:rPr>
          <w:rFonts w:hint="eastAsia"/>
        </w:rPr>
        <w:t>视作“生产”居住服务的资本品，但这种投资行为的生产性与一般意义上的生产性存在</w:t>
      </w:r>
      <w:r w:rsidR="002A1914" w:rsidRPr="00983A25">
        <w:rPr>
          <w:rFonts w:hint="eastAsia"/>
        </w:rPr>
        <w:t>明显区别</w:t>
      </w:r>
      <w:r w:rsidRPr="00983A25">
        <w:rPr>
          <w:rFonts w:hint="eastAsia"/>
        </w:rPr>
        <w:t>。</w:t>
      </w:r>
    </w:p>
  </w:footnote>
  <w:footnote w:id="3">
    <w:p w14:paraId="062DB2CB" w14:textId="3FE319B1" w:rsidR="00A31110" w:rsidRPr="00983A25" w:rsidRDefault="00A31110" w:rsidP="004C5207">
      <w:pPr>
        <w:pStyle w:val="a8"/>
        <w:ind w:firstLineChars="200" w:firstLine="360"/>
      </w:pPr>
      <w:r w:rsidRPr="00983A25">
        <w:rPr>
          <w:rStyle w:val="aa"/>
        </w:rPr>
        <w:footnoteRef/>
      </w:r>
      <w:r w:rsidRPr="00983A25">
        <w:t xml:space="preserve"> </w:t>
      </w:r>
      <w:r w:rsidRPr="00983A25">
        <w:rPr>
          <w:rFonts w:hint="eastAsia"/>
        </w:rPr>
        <w:t>从微观层面研究家庭金融资产结构的文献则较多，兹不赘述。</w:t>
      </w:r>
    </w:p>
  </w:footnote>
  <w:footnote w:id="4">
    <w:p w14:paraId="3C123968" w14:textId="05DA9951" w:rsidR="00A31110" w:rsidRPr="00847E58" w:rsidRDefault="00A31110" w:rsidP="00053EB4">
      <w:pPr>
        <w:pStyle w:val="a8"/>
        <w:ind w:firstLineChars="200" w:firstLine="360"/>
        <w:rPr>
          <w:sz w:val="21"/>
          <w:szCs w:val="21"/>
        </w:rPr>
      </w:pPr>
      <w:r w:rsidRPr="00983A25">
        <w:rPr>
          <w:rStyle w:val="aa"/>
        </w:rPr>
        <w:footnoteRef/>
      </w:r>
      <w:r w:rsidRPr="00983A25">
        <w:t xml:space="preserve"> </w:t>
      </w:r>
      <w:r w:rsidRPr="00983A25">
        <w:rPr>
          <w:rFonts w:hint="eastAsia"/>
        </w:rPr>
        <w:t>数据来源：国家统计局历年《资金流量表》。</w:t>
      </w:r>
    </w:p>
  </w:footnote>
  <w:footnote w:id="5">
    <w:p w14:paraId="1ABF8A92" w14:textId="43212531" w:rsidR="00A31110" w:rsidRPr="00983A25" w:rsidRDefault="00A31110" w:rsidP="00320F0B">
      <w:pPr>
        <w:pStyle w:val="a8"/>
        <w:ind w:firstLineChars="200" w:firstLine="360"/>
      </w:pPr>
      <w:r w:rsidRPr="00983A25">
        <w:rPr>
          <w:rStyle w:val="aa"/>
        </w:rPr>
        <w:footnoteRef/>
      </w:r>
      <w:r w:rsidRPr="00983A25">
        <w:t xml:space="preserve"> </w:t>
      </w:r>
      <w:r w:rsidRPr="00983A25">
        <w:rPr>
          <w:rFonts w:hint="eastAsia"/>
        </w:rPr>
        <w:t>民营企业贷款占比数据来源于</w:t>
      </w:r>
      <w:r w:rsidR="0041762B">
        <w:rPr>
          <w:rFonts w:hint="eastAsia"/>
        </w:rPr>
        <w:t>：</w:t>
      </w:r>
      <w:r w:rsidRPr="00983A25">
        <w:rPr>
          <w:rFonts w:hint="eastAsia"/>
        </w:rPr>
        <w:t>《千方百计构建银企命运共同体（支持民营企业在行动）</w:t>
      </w:r>
      <w:r w:rsidR="0041762B">
        <w:rPr>
          <w:rFonts w:hint="eastAsia"/>
        </w:rPr>
        <w:t>——</w:t>
      </w:r>
      <w:r w:rsidRPr="00983A25">
        <w:rPr>
          <w:rFonts w:hint="eastAsia"/>
        </w:rPr>
        <w:t>专访中国人民银行党委书记、中国银保监会主席郭树清》，《人民日报》</w:t>
      </w:r>
      <w:r w:rsidRPr="00983A25">
        <w:t>2018</w:t>
      </w:r>
      <w:r w:rsidRPr="00983A25">
        <w:rPr>
          <w:rFonts w:hint="eastAsia"/>
        </w:rPr>
        <w:t>年</w:t>
      </w:r>
      <w:r w:rsidRPr="00983A25">
        <w:t>11</w:t>
      </w:r>
      <w:r w:rsidRPr="00983A25">
        <w:rPr>
          <w:rFonts w:hint="eastAsia"/>
        </w:rPr>
        <w:t>月</w:t>
      </w:r>
      <w:r w:rsidRPr="00983A25">
        <w:t>9</w:t>
      </w:r>
      <w:r w:rsidRPr="00983A25">
        <w:rPr>
          <w:rFonts w:hint="eastAsia"/>
        </w:rPr>
        <w:t>日。民营经济对税收、</w:t>
      </w:r>
      <w:r w:rsidRPr="00983A25">
        <w:t>GDP</w:t>
      </w:r>
      <w:r w:rsidRPr="00983A25">
        <w:rPr>
          <w:rFonts w:hint="eastAsia"/>
        </w:rPr>
        <w:t>、技术创新成果、城镇劳动就业、企业数量的贡献分别达到</w:t>
      </w:r>
      <w:r w:rsidRPr="00983A25">
        <w:t>50%</w:t>
      </w:r>
      <w:r w:rsidRPr="00983A25">
        <w:rPr>
          <w:rFonts w:hint="eastAsia"/>
        </w:rPr>
        <w:t>、</w:t>
      </w:r>
      <w:r w:rsidRPr="00983A25">
        <w:t>60%</w:t>
      </w:r>
      <w:r w:rsidRPr="00983A25">
        <w:rPr>
          <w:rFonts w:hint="eastAsia"/>
        </w:rPr>
        <w:t>、</w:t>
      </w:r>
      <w:r w:rsidRPr="00983A25">
        <w:t>70%</w:t>
      </w:r>
      <w:r w:rsidRPr="00983A25">
        <w:rPr>
          <w:rFonts w:hint="eastAsia"/>
        </w:rPr>
        <w:t>、</w:t>
      </w:r>
      <w:r w:rsidRPr="00983A25">
        <w:t>80%</w:t>
      </w:r>
      <w:r w:rsidRPr="00983A25">
        <w:rPr>
          <w:rFonts w:hint="eastAsia"/>
        </w:rPr>
        <w:t>、</w:t>
      </w:r>
      <w:r w:rsidRPr="00983A25">
        <w:t>90%</w:t>
      </w:r>
      <w:r w:rsidRPr="00983A25">
        <w:rPr>
          <w:rFonts w:hint="eastAsia"/>
        </w:rPr>
        <w:t>以上</w:t>
      </w:r>
      <w:r w:rsidR="004D235A" w:rsidRPr="00983A25">
        <w:rPr>
          <w:rFonts w:hint="eastAsia"/>
        </w:rPr>
        <w:t>，</w:t>
      </w:r>
      <w:r w:rsidRPr="00983A25">
        <w:rPr>
          <w:rFonts w:hint="eastAsia"/>
        </w:rPr>
        <w:t>详见</w:t>
      </w:r>
      <w:r w:rsidR="0041762B" w:rsidRPr="009D33A1">
        <w:rPr>
          <w:rFonts w:hint="eastAsia"/>
          <w:highlight w:val="yellow"/>
        </w:rPr>
        <w:t>习近平：</w:t>
      </w:r>
      <w:r w:rsidRPr="009D33A1">
        <w:rPr>
          <w:rFonts w:hint="eastAsia"/>
          <w:highlight w:val="yellow"/>
        </w:rPr>
        <w:t>《在民营企业座谈会上的讲话》，</w:t>
      </w:r>
      <w:r w:rsidRPr="009D33A1">
        <w:rPr>
          <w:highlight w:val="yellow"/>
        </w:rPr>
        <w:t>2018</w:t>
      </w:r>
      <w:r w:rsidRPr="009D33A1">
        <w:rPr>
          <w:rFonts w:hint="eastAsia"/>
          <w:highlight w:val="yellow"/>
        </w:rPr>
        <w:t>年</w:t>
      </w:r>
      <w:r w:rsidRPr="009D33A1">
        <w:rPr>
          <w:highlight w:val="yellow"/>
        </w:rPr>
        <w:t>11</w:t>
      </w:r>
      <w:r w:rsidRPr="009D33A1">
        <w:rPr>
          <w:rFonts w:hint="eastAsia"/>
          <w:highlight w:val="yellow"/>
        </w:rPr>
        <w:t>月</w:t>
      </w:r>
      <w:r w:rsidRPr="009D33A1">
        <w:rPr>
          <w:highlight w:val="yellow"/>
        </w:rPr>
        <w:t>1</w:t>
      </w:r>
      <w:r w:rsidRPr="009D33A1">
        <w:rPr>
          <w:rFonts w:hint="eastAsia"/>
          <w:highlight w:val="yellow"/>
        </w:rPr>
        <w:t>日。</w:t>
      </w:r>
    </w:p>
  </w:footnote>
  <w:footnote w:id="6">
    <w:p w14:paraId="4BE83653" w14:textId="2DBDAB5F" w:rsidR="00A31110" w:rsidRPr="00983A25" w:rsidRDefault="00A31110" w:rsidP="00320F0B">
      <w:pPr>
        <w:pStyle w:val="a8"/>
        <w:ind w:firstLineChars="200" w:firstLine="360"/>
      </w:pPr>
      <w:r w:rsidRPr="00983A25">
        <w:rPr>
          <w:rStyle w:val="aa"/>
        </w:rPr>
        <w:footnoteRef/>
      </w:r>
      <w:r w:rsidRPr="00983A25">
        <w:t xml:space="preserve"> </w:t>
      </w:r>
      <w:r w:rsidRPr="00983A25">
        <w:rPr>
          <w:rFonts w:hint="eastAsia"/>
        </w:rPr>
        <w:t>根据国务院促进中小企业发展工作领导小组第一次会议的公报，我国中小企业呈现“五六七八九”的典型特征，即对税收、</w:t>
      </w:r>
      <w:r w:rsidRPr="00983A25">
        <w:t>GDP</w:t>
      </w:r>
      <w:r w:rsidRPr="00983A25">
        <w:rPr>
          <w:rFonts w:hint="eastAsia"/>
        </w:rPr>
        <w:t>、技术创新成果、城镇劳动就业、企业数量的贡献分别达到</w:t>
      </w:r>
      <w:r w:rsidRPr="00983A25">
        <w:t>50%</w:t>
      </w:r>
      <w:r w:rsidRPr="00983A25">
        <w:rPr>
          <w:rFonts w:hint="eastAsia"/>
        </w:rPr>
        <w:t>、</w:t>
      </w:r>
      <w:r w:rsidRPr="00983A25">
        <w:t>60%</w:t>
      </w:r>
      <w:r w:rsidRPr="00983A25">
        <w:rPr>
          <w:rFonts w:hint="eastAsia"/>
        </w:rPr>
        <w:t>、</w:t>
      </w:r>
      <w:r w:rsidRPr="00983A25">
        <w:t>70%</w:t>
      </w:r>
      <w:r w:rsidRPr="00983A25">
        <w:rPr>
          <w:rFonts w:hint="eastAsia"/>
        </w:rPr>
        <w:t>、</w:t>
      </w:r>
      <w:r w:rsidRPr="00983A25">
        <w:t>80%</w:t>
      </w:r>
      <w:r w:rsidRPr="00983A25">
        <w:rPr>
          <w:rFonts w:hint="eastAsia"/>
        </w:rPr>
        <w:t>、</w:t>
      </w:r>
      <w:r w:rsidRPr="00983A25">
        <w:t>90%</w:t>
      </w:r>
      <w:r w:rsidRPr="00983A25">
        <w:rPr>
          <w:rFonts w:hint="eastAsia"/>
        </w:rPr>
        <w:t>以上。详见：</w:t>
      </w:r>
      <w:hyperlink r:id="rId1" w:history="1">
        <w:r w:rsidRPr="00983A25">
          <w:rPr>
            <w:rStyle w:val="ad"/>
            <w:color w:val="auto"/>
          </w:rPr>
          <w:t>http://www.gov.cn/guowuyuan/2018-08/20/content_5315204.htm</w:t>
        </w:r>
      </w:hyperlink>
      <w:r w:rsidRPr="00983A25">
        <w:rPr>
          <w:rFonts w:hint="eastAsia"/>
        </w:rPr>
        <w:t>。</w:t>
      </w:r>
    </w:p>
  </w:footnote>
  <w:footnote w:id="7">
    <w:p w14:paraId="3576FA8A" w14:textId="1D26ECC8" w:rsidR="00A31110" w:rsidRPr="00983A25" w:rsidRDefault="00A31110" w:rsidP="00053EB4">
      <w:pPr>
        <w:pStyle w:val="a8"/>
        <w:ind w:firstLineChars="200" w:firstLine="360"/>
      </w:pPr>
      <w:r w:rsidRPr="00983A25">
        <w:rPr>
          <w:rStyle w:val="aa"/>
        </w:rPr>
        <w:footnoteRef/>
      </w:r>
      <w:r w:rsidRPr="00983A25">
        <w:t xml:space="preserve"> </w:t>
      </w:r>
      <w:r w:rsidRPr="00983A25">
        <w:rPr>
          <w:rFonts w:hint="eastAsia"/>
        </w:rPr>
        <w:t>数据来源：中国人民银行相应年份第四季度《中国货币政策执行报告》。</w:t>
      </w:r>
    </w:p>
  </w:footnote>
  <w:footnote w:id="8">
    <w:p w14:paraId="2EF98BC7" w14:textId="7DBC9E39" w:rsidR="00A31110" w:rsidRPr="00983A25" w:rsidRDefault="00A31110" w:rsidP="00053EB4">
      <w:pPr>
        <w:pStyle w:val="a8"/>
        <w:ind w:firstLineChars="200" w:firstLine="360"/>
      </w:pPr>
      <w:r w:rsidRPr="00983A25">
        <w:rPr>
          <w:rStyle w:val="aa"/>
        </w:rPr>
        <w:footnoteRef/>
      </w:r>
      <w:r w:rsidRPr="00983A25">
        <w:t xml:space="preserve"> </w:t>
      </w:r>
      <w:r w:rsidRPr="00983A25">
        <w:rPr>
          <w:rFonts w:hint="eastAsia"/>
        </w:rPr>
        <w:t>数据来源：</w:t>
      </w:r>
      <w:r w:rsidRPr="00983A25">
        <w:t>Wind</w:t>
      </w:r>
      <w:r w:rsidRPr="00983A25">
        <w:rPr>
          <w:rFonts w:hint="eastAsia"/>
        </w:rPr>
        <w:t>数据库。</w:t>
      </w:r>
    </w:p>
  </w:footnote>
  <w:footnote w:id="9">
    <w:p w14:paraId="3501BFBC" w14:textId="77777777" w:rsidR="0041762B" w:rsidRPr="00847E58" w:rsidRDefault="0041762B" w:rsidP="0041762B">
      <w:pPr>
        <w:pStyle w:val="a8"/>
        <w:ind w:firstLineChars="200" w:firstLine="360"/>
        <w:rPr>
          <w:sz w:val="21"/>
          <w:szCs w:val="21"/>
        </w:rPr>
      </w:pPr>
      <w:r w:rsidRPr="00983A25">
        <w:rPr>
          <w:rStyle w:val="aa"/>
        </w:rPr>
        <w:footnoteRef/>
      </w:r>
      <w:r w:rsidRPr="00983A25">
        <w:t xml:space="preserve"> </w:t>
      </w:r>
      <w:r w:rsidRPr="00983A25">
        <w:rPr>
          <w:rFonts w:hint="eastAsia"/>
        </w:rPr>
        <w:t>引自《千方百计构建银企命运共同体（支持民营企业在行动）——专访中国人民银行党委书记、中国银保监会主席郭树清》，载于《人民日报》</w:t>
      </w:r>
      <w:r w:rsidRPr="00983A25">
        <w:t>2018</w:t>
      </w:r>
      <w:r w:rsidRPr="00983A25">
        <w:rPr>
          <w:rFonts w:hint="eastAsia"/>
        </w:rPr>
        <w:t>年</w:t>
      </w:r>
      <w:r w:rsidRPr="00983A25">
        <w:t>11</w:t>
      </w:r>
      <w:r w:rsidRPr="00983A25">
        <w:rPr>
          <w:rFonts w:hint="eastAsia"/>
        </w:rPr>
        <w:t>月</w:t>
      </w:r>
      <w:r w:rsidRPr="00983A25">
        <w:t>9</w:t>
      </w:r>
      <w:r w:rsidRPr="00983A25">
        <w:rPr>
          <w:rFonts w:hint="eastAsia"/>
        </w:rPr>
        <w:t>日。</w:t>
      </w:r>
    </w:p>
  </w:footnote>
  <w:footnote w:id="10">
    <w:p w14:paraId="3DA96704" w14:textId="21522BB6" w:rsidR="00A31110" w:rsidRPr="00847E58" w:rsidRDefault="00A31110" w:rsidP="00320F0B">
      <w:pPr>
        <w:pStyle w:val="a8"/>
        <w:ind w:firstLineChars="200" w:firstLine="420"/>
        <w:rPr>
          <w:sz w:val="21"/>
          <w:szCs w:val="21"/>
        </w:rPr>
      </w:pPr>
      <w:r w:rsidRPr="00847E58">
        <w:rPr>
          <w:rStyle w:val="aa"/>
          <w:sz w:val="21"/>
          <w:szCs w:val="21"/>
        </w:rPr>
        <w:footnoteRef/>
      </w:r>
      <w:r w:rsidRPr="00847E58">
        <w:rPr>
          <w:sz w:val="21"/>
          <w:szCs w:val="21"/>
        </w:rPr>
        <w:t xml:space="preserve"> </w:t>
      </w:r>
      <w:r w:rsidR="007D2F32" w:rsidRPr="00847E58">
        <w:rPr>
          <w:rFonts w:hint="eastAsia"/>
          <w:sz w:val="21"/>
          <w:szCs w:val="21"/>
        </w:rPr>
        <w:t>此处</w:t>
      </w:r>
      <w:r w:rsidR="00703F7E" w:rsidRPr="00847E58">
        <w:rPr>
          <w:rFonts w:hint="eastAsia"/>
          <w:sz w:val="21"/>
          <w:szCs w:val="21"/>
        </w:rPr>
        <w:t>的</w:t>
      </w:r>
      <w:r w:rsidRPr="00847E58">
        <w:rPr>
          <w:rFonts w:hint="eastAsia"/>
          <w:sz w:val="21"/>
          <w:szCs w:val="21"/>
        </w:rPr>
        <w:t>广义政府部门融资</w:t>
      </w:r>
      <w:r w:rsidRPr="00847E58">
        <w:rPr>
          <w:sz w:val="21"/>
          <w:szCs w:val="21"/>
        </w:rPr>
        <w:t>=</w:t>
      </w:r>
      <w:r w:rsidRPr="00847E58">
        <w:rPr>
          <w:rFonts w:hint="eastAsia"/>
          <w:sz w:val="21"/>
          <w:szCs w:val="21"/>
        </w:rPr>
        <w:t>政府债券</w:t>
      </w:r>
      <w:r w:rsidRPr="00847E58">
        <w:rPr>
          <w:sz w:val="21"/>
          <w:szCs w:val="21"/>
        </w:rPr>
        <w:t>+</w:t>
      </w:r>
      <w:r w:rsidRPr="00847E58">
        <w:rPr>
          <w:rFonts w:hint="eastAsia"/>
          <w:sz w:val="21"/>
          <w:szCs w:val="21"/>
        </w:rPr>
        <w:t>城投债</w:t>
      </w:r>
      <w:r w:rsidRPr="00847E58">
        <w:rPr>
          <w:sz w:val="21"/>
          <w:szCs w:val="21"/>
        </w:rPr>
        <w:t>+</w:t>
      </w:r>
      <w:r w:rsidRPr="00847E58">
        <w:rPr>
          <w:rFonts w:hint="eastAsia"/>
          <w:sz w:val="21"/>
          <w:szCs w:val="21"/>
        </w:rPr>
        <w:t>公益性行业企业贷款。其中，公益性行业包括：电力、燃气及水的生产和供应业，科学研究、技术服务和地质勘查业，水利、环境和公共设施管理业，卫生、社会保障和社会福利业，公共管理和社会组织。</w:t>
      </w:r>
    </w:p>
  </w:footnote>
  <w:footnote w:id="11">
    <w:p w14:paraId="35507FD9" w14:textId="37106DE0" w:rsidR="00A31110" w:rsidRPr="00983A25" w:rsidRDefault="00A31110" w:rsidP="00053EB4">
      <w:pPr>
        <w:pStyle w:val="a8"/>
        <w:ind w:firstLineChars="200" w:firstLine="360"/>
        <w:rPr>
          <w:color w:val="FF0000"/>
        </w:rPr>
      </w:pPr>
      <w:r w:rsidRPr="00983A25">
        <w:rPr>
          <w:rStyle w:val="aa"/>
        </w:rPr>
        <w:footnoteRef/>
      </w:r>
      <w:r w:rsidRPr="00983A25">
        <w:t xml:space="preserve"> </w:t>
      </w:r>
      <w:r w:rsidRPr="00983A25">
        <w:rPr>
          <w:rFonts w:hint="eastAsia"/>
        </w:rPr>
        <w:t>由于《资金流量表》数据发布较为滞后，截止定稿时仅公布到</w:t>
      </w:r>
      <w:r w:rsidRPr="00983A25">
        <w:t>2018</w:t>
      </w:r>
      <w:r w:rsidRPr="00983A25">
        <w:rPr>
          <w:rFonts w:hint="eastAsia"/>
        </w:rPr>
        <w:t>年。</w:t>
      </w:r>
    </w:p>
  </w:footnote>
  <w:footnote w:id="12">
    <w:p w14:paraId="76BF1FD6" w14:textId="77777777" w:rsidR="00A31110" w:rsidRPr="00983A25" w:rsidRDefault="00A31110" w:rsidP="00F91FFD">
      <w:pPr>
        <w:pStyle w:val="a8"/>
        <w:ind w:firstLineChars="200" w:firstLine="360"/>
      </w:pPr>
      <w:r w:rsidRPr="00983A25">
        <w:rPr>
          <w:rStyle w:val="aa"/>
        </w:rPr>
        <w:footnoteRef/>
      </w:r>
      <w:r w:rsidRPr="00983A25">
        <w:t xml:space="preserve"> </w:t>
      </w:r>
      <w:r w:rsidRPr="00983A25">
        <w:rPr>
          <w:rFonts w:ascii="宋体" w:hAnsi="宋体" w:hint="eastAsia"/>
        </w:rPr>
        <w:t>需要注意的是，国民经济核算体系下的储蓄和投资，与金融市场的资金供给与需求之间并非严格对应。</w:t>
      </w:r>
    </w:p>
  </w:footnote>
  <w:footnote w:id="13">
    <w:p w14:paraId="1D354AD5" w14:textId="77777777" w:rsidR="00A31110" w:rsidRPr="00847E58" w:rsidRDefault="00A31110" w:rsidP="00F91FFD">
      <w:pPr>
        <w:pStyle w:val="a8"/>
        <w:ind w:firstLineChars="200" w:firstLine="360"/>
        <w:rPr>
          <w:sz w:val="21"/>
          <w:szCs w:val="21"/>
        </w:rPr>
      </w:pPr>
      <w:r w:rsidRPr="00983A25">
        <w:rPr>
          <w:rStyle w:val="aa"/>
        </w:rPr>
        <w:footnoteRef/>
      </w:r>
      <w:r w:rsidRPr="00983A25">
        <w:t xml:space="preserve"> </w:t>
      </w:r>
      <w:r w:rsidRPr="00983A25">
        <w:rPr>
          <w:rFonts w:hint="eastAsia"/>
        </w:rPr>
        <w:t>当然，即便在经历十年下降之后，我国目前的储蓄率和投资率从横向国际比较来看仍处于相对较高水平。</w:t>
      </w:r>
    </w:p>
  </w:footnote>
  <w:footnote w:id="14">
    <w:p w14:paraId="130F904A" w14:textId="54ED9629" w:rsidR="00A31110" w:rsidRPr="00983A25" w:rsidRDefault="00A31110" w:rsidP="00F51C9C">
      <w:pPr>
        <w:pStyle w:val="a8"/>
        <w:ind w:firstLineChars="200" w:firstLine="360"/>
      </w:pPr>
      <w:r w:rsidRPr="00983A25">
        <w:rPr>
          <w:rStyle w:val="aa"/>
        </w:rPr>
        <w:footnoteRef/>
      </w:r>
      <w:r w:rsidRPr="00983A25">
        <w:t xml:space="preserve"> </w:t>
      </w:r>
      <w:r w:rsidRPr="00983A25">
        <w:rPr>
          <w:rFonts w:hint="eastAsia"/>
        </w:rPr>
        <w:t>此处按照文献惯常做法，储蓄率和投资率的分母均为当年</w:t>
      </w:r>
      <w:r w:rsidRPr="00983A25">
        <w:t>GDP</w:t>
      </w:r>
      <w:r w:rsidRPr="00983A25">
        <w:rPr>
          <w:rFonts w:hint="eastAsia"/>
        </w:rPr>
        <w:t>。</w:t>
      </w:r>
    </w:p>
  </w:footnote>
  <w:footnote w:id="15">
    <w:p w14:paraId="74703522" w14:textId="43784BC5" w:rsidR="00A31110" w:rsidRPr="00396FF0" w:rsidRDefault="00A31110" w:rsidP="00F52EEF">
      <w:pPr>
        <w:pStyle w:val="a8"/>
        <w:ind w:firstLineChars="200" w:firstLine="360"/>
      </w:pPr>
      <w:r w:rsidRPr="00396FF0">
        <w:rPr>
          <w:rStyle w:val="aa"/>
        </w:rPr>
        <w:footnoteRef/>
      </w:r>
      <w:r w:rsidRPr="00396FF0">
        <w:t xml:space="preserve"> </w:t>
      </w:r>
      <w:r w:rsidRPr="00396FF0">
        <w:rPr>
          <w:rFonts w:hint="eastAsia"/>
        </w:rPr>
        <w:t>需要补充说明的是：各类城投公司除了发行城投债之外，还通过银行贷款、信托计划</w:t>
      </w:r>
      <w:r w:rsidR="00E17A2E">
        <w:rPr>
          <w:rFonts w:hint="eastAsia"/>
        </w:rPr>
        <w:t>、</w:t>
      </w:r>
      <w:r w:rsidR="00775CB8">
        <w:rPr>
          <w:rFonts w:hint="eastAsia"/>
        </w:rPr>
        <w:t>应付账款</w:t>
      </w:r>
      <w:r w:rsidRPr="00396FF0">
        <w:rPr>
          <w:rFonts w:hint="eastAsia"/>
        </w:rPr>
        <w:t>等其他渠道举债融资。但由于统计数据的缺乏，这里未考虑城投公司除城投债以外的其他形式债务，</w:t>
      </w:r>
      <w:r w:rsidR="00396FF0">
        <w:rPr>
          <w:rFonts w:hint="eastAsia"/>
        </w:rPr>
        <w:t>因而会</w:t>
      </w:r>
      <w:r w:rsidRPr="00396FF0">
        <w:rPr>
          <w:rFonts w:hint="eastAsia"/>
        </w:rPr>
        <w:t>低估广义政府部门债务及其杠杆率。</w:t>
      </w:r>
    </w:p>
  </w:footnote>
  <w:footnote w:id="16">
    <w:p w14:paraId="460F7899" w14:textId="3087908D" w:rsidR="00A31110" w:rsidRPr="00983A25" w:rsidRDefault="00A31110" w:rsidP="000A5353">
      <w:pPr>
        <w:pStyle w:val="a8"/>
        <w:ind w:firstLineChars="200" w:firstLine="360"/>
      </w:pPr>
      <w:r w:rsidRPr="00983A25">
        <w:rPr>
          <w:rStyle w:val="aa"/>
        </w:rPr>
        <w:footnoteRef/>
      </w:r>
      <w:r w:rsidRPr="00983A25">
        <w:t xml:space="preserve"> </w:t>
      </w:r>
      <w:r w:rsidRPr="00983A25">
        <w:rPr>
          <w:rFonts w:hint="eastAsia"/>
        </w:rPr>
        <w:t>这里的“基础设施建设投资”包括交通运输、仓储和邮政，电力、燃气及水的生产和供应业，水利、环境和公共设施管理业三大行业的固定资产投资。</w:t>
      </w:r>
    </w:p>
  </w:footnote>
  <w:footnote w:id="17">
    <w:p w14:paraId="4FEC9F25" w14:textId="5F6A5F86" w:rsidR="00A31110" w:rsidRPr="00983A25" w:rsidRDefault="00A31110" w:rsidP="000A5353">
      <w:pPr>
        <w:pStyle w:val="a8"/>
        <w:ind w:firstLineChars="200" w:firstLine="360"/>
      </w:pPr>
      <w:r w:rsidRPr="00983A25">
        <w:rPr>
          <w:rStyle w:val="aa"/>
        </w:rPr>
        <w:footnoteRef/>
      </w:r>
      <w:r w:rsidRPr="00983A25">
        <w:t xml:space="preserve"> </w:t>
      </w:r>
      <w:r w:rsidRPr="00983A25">
        <w:rPr>
          <w:rFonts w:hint="eastAsia"/>
        </w:rPr>
        <w:t>尽管基础设施建设投资的资金来源并</w:t>
      </w:r>
      <w:r w:rsidR="006037B7" w:rsidRPr="00983A25">
        <w:rPr>
          <w:rFonts w:hint="eastAsia"/>
        </w:rPr>
        <w:t>非</w:t>
      </w:r>
      <w:r w:rsidRPr="00983A25">
        <w:rPr>
          <w:rFonts w:hint="eastAsia"/>
        </w:rPr>
        <w:t>全部来自于金融体系，但即便考虑这一因素，仍然可以得出基础设施建设融资在我国社会资金运用中占比显著提高</w:t>
      </w:r>
      <w:r w:rsidR="000235B9" w:rsidRPr="00983A25">
        <w:rPr>
          <w:rFonts w:hint="eastAsia"/>
        </w:rPr>
        <w:t>的结论</w:t>
      </w:r>
      <w:r w:rsidRPr="00983A25">
        <w:rPr>
          <w:rFonts w:hint="eastAsia"/>
        </w:rPr>
        <w:t>。</w:t>
      </w:r>
    </w:p>
  </w:footnote>
  <w:footnote w:id="18">
    <w:p w14:paraId="6EB70DD8" w14:textId="68D3B925" w:rsidR="00A31110" w:rsidRPr="00983A25" w:rsidRDefault="00A31110" w:rsidP="000A5353">
      <w:pPr>
        <w:pStyle w:val="a8"/>
        <w:ind w:firstLineChars="200" w:firstLine="360"/>
      </w:pPr>
      <w:r w:rsidRPr="00983A25">
        <w:rPr>
          <w:rStyle w:val="aa"/>
        </w:rPr>
        <w:footnoteRef/>
      </w:r>
      <w:r w:rsidRPr="00983A25">
        <w:t xml:space="preserve"> </w:t>
      </w:r>
      <w:r w:rsidRPr="00983A25">
        <w:rPr>
          <w:rFonts w:hint="eastAsia"/>
        </w:rPr>
        <w:t>国家统计局将基础设施建设投资的资金来源划分为五种：国家预算内资金、国内贷款、利用外资、自筹资金、其他资金。其中，除“自筹资金”和“利用外资”外；其他三种资金来源中：“国内贷款”来自于银行</w:t>
      </w:r>
      <w:r w:rsidR="00700C7A" w:rsidRPr="00983A25">
        <w:rPr>
          <w:rFonts w:hint="eastAsia"/>
        </w:rPr>
        <w:t>；</w:t>
      </w:r>
      <w:r w:rsidRPr="00983A25">
        <w:rPr>
          <w:rFonts w:hint="eastAsia"/>
        </w:rPr>
        <w:t>“国家预算内资金”中的一部分来自于政府专项债券资金（除了政府专项债券之外，“国家预算内资金”中还包括一定量的一般公共预算资金和政府性基金预算资金</w:t>
      </w:r>
      <w:r w:rsidR="00700C7A" w:rsidRPr="00983A25">
        <w:rPr>
          <w:rFonts w:hint="eastAsia"/>
        </w:rPr>
        <w:t>，</w:t>
      </w:r>
      <w:r w:rsidRPr="00983A25">
        <w:rPr>
          <w:rFonts w:hint="eastAsia"/>
        </w:rPr>
        <w:t>专项债券中较大一部分资金用于土地储备和棚户区改造，并不完全用于基础设施建设投资。）</w:t>
      </w:r>
      <w:r w:rsidR="00700C7A" w:rsidRPr="00983A25">
        <w:rPr>
          <w:rFonts w:hint="eastAsia"/>
        </w:rPr>
        <w:t>；</w:t>
      </w:r>
      <w:r w:rsidRPr="00983A25">
        <w:rPr>
          <w:rFonts w:hint="eastAsia"/>
        </w:rPr>
        <w:t>“其他资金”中的一部分也来自于金融体系。</w:t>
      </w:r>
    </w:p>
  </w:footnote>
  <w:footnote w:id="19">
    <w:p w14:paraId="2A825645" w14:textId="581D1C5A" w:rsidR="00A31110" w:rsidRPr="00983A25" w:rsidRDefault="00A31110" w:rsidP="00320F0B">
      <w:pPr>
        <w:pStyle w:val="a8"/>
        <w:ind w:firstLineChars="200" w:firstLine="360"/>
      </w:pPr>
      <w:r w:rsidRPr="00983A25">
        <w:rPr>
          <w:rStyle w:val="aa"/>
        </w:rPr>
        <w:footnoteRef/>
      </w:r>
      <w:r w:rsidRPr="00983A25">
        <w:t xml:space="preserve"> </w:t>
      </w:r>
      <w:r w:rsidRPr="00983A25">
        <w:rPr>
          <w:rFonts w:ascii="宋体" w:hAnsi="宋体" w:hint="eastAsia"/>
        </w:rPr>
        <w:t>既包括基建项目本身的配套土地，也包括基建项目之外的国有土地使用权出让收入腾挪。</w:t>
      </w:r>
    </w:p>
  </w:footnote>
  <w:footnote w:id="20">
    <w:p w14:paraId="7F887159" w14:textId="2B444D90" w:rsidR="00A31110" w:rsidRPr="009B05AC" w:rsidRDefault="00A31110" w:rsidP="00053EB4">
      <w:pPr>
        <w:pStyle w:val="a8"/>
        <w:ind w:firstLineChars="200" w:firstLine="360"/>
        <w:rPr>
          <w:sz w:val="21"/>
          <w:szCs w:val="21"/>
        </w:rPr>
      </w:pPr>
      <w:r w:rsidRPr="00983A25">
        <w:rPr>
          <w:rStyle w:val="aa"/>
        </w:rPr>
        <w:footnoteRef/>
      </w:r>
      <w:r w:rsidRPr="00983A25">
        <w:t xml:space="preserve"> </w:t>
      </w:r>
      <w:r w:rsidRPr="00983A25">
        <w:rPr>
          <w:rFonts w:hint="eastAsia"/>
        </w:rPr>
        <w:t>本段数据均根据</w:t>
      </w:r>
      <w:r w:rsidRPr="00983A25">
        <w:t>Wind</w:t>
      </w:r>
      <w:r w:rsidRPr="00983A25">
        <w:rPr>
          <w:rFonts w:hint="eastAsia"/>
        </w:rPr>
        <w:t>数据库数据计算。</w:t>
      </w:r>
    </w:p>
  </w:footnote>
  <w:footnote w:id="21">
    <w:p w14:paraId="6128A1AC" w14:textId="44FEB092" w:rsidR="00A31110" w:rsidRPr="00983A25" w:rsidRDefault="00A31110" w:rsidP="00053EB4">
      <w:pPr>
        <w:pStyle w:val="a8"/>
        <w:ind w:firstLineChars="200" w:firstLine="360"/>
      </w:pPr>
      <w:r w:rsidRPr="00983A25">
        <w:rPr>
          <w:rStyle w:val="aa"/>
        </w:rPr>
        <w:footnoteRef/>
      </w:r>
      <w:r w:rsidRPr="00983A25">
        <w:t xml:space="preserve"> </w:t>
      </w:r>
      <w:r w:rsidRPr="00983A25">
        <w:rPr>
          <w:rFonts w:hint="eastAsia"/>
        </w:rPr>
        <w:t>住房贷款占到住户部门债务的绝大部分。</w:t>
      </w:r>
    </w:p>
  </w:footnote>
  <w:footnote w:id="22">
    <w:p w14:paraId="18ADA330" w14:textId="79CEF301" w:rsidR="00A31110" w:rsidRPr="00F51C9C" w:rsidRDefault="00A31110" w:rsidP="007D2923">
      <w:pPr>
        <w:pStyle w:val="a8"/>
        <w:ind w:firstLineChars="200" w:firstLine="360"/>
        <w:rPr>
          <w:sz w:val="21"/>
          <w:szCs w:val="21"/>
        </w:rPr>
      </w:pPr>
      <w:r w:rsidRPr="00983A25">
        <w:rPr>
          <w:rStyle w:val="aa"/>
        </w:rPr>
        <w:footnoteRef/>
      </w:r>
      <w:r w:rsidRPr="00983A25">
        <w:t xml:space="preserve"> </w:t>
      </w:r>
      <w:r w:rsidR="001C10DB" w:rsidRPr="00983A25">
        <w:rPr>
          <w:rFonts w:hint="eastAsia"/>
        </w:rPr>
        <w:t>文献中曾有研究对</w:t>
      </w:r>
      <w:r w:rsidR="001C10DB" w:rsidRPr="00983A25">
        <w:rPr>
          <w:rFonts w:hint="eastAsia"/>
        </w:rPr>
        <w:t>2016</w:t>
      </w:r>
      <w:r w:rsidR="001C10DB" w:rsidRPr="00983A25">
        <w:rPr>
          <w:rFonts w:hint="eastAsia"/>
        </w:rPr>
        <w:t>年实体经济利息支出的估算结果为</w:t>
      </w:r>
      <w:r w:rsidR="001C10DB" w:rsidRPr="00983A25">
        <w:rPr>
          <w:rFonts w:hint="eastAsia"/>
        </w:rPr>
        <w:t>8.42</w:t>
      </w:r>
      <w:r w:rsidR="001C10DB" w:rsidRPr="00983A25">
        <w:rPr>
          <w:rFonts w:hint="eastAsia"/>
        </w:rPr>
        <w:t>万亿元，占当年</w:t>
      </w:r>
      <w:r w:rsidR="001C10DB" w:rsidRPr="00983A25">
        <w:rPr>
          <w:rFonts w:hint="eastAsia"/>
        </w:rPr>
        <w:t>GDP</w:t>
      </w:r>
      <w:r w:rsidR="001C10DB" w:rsidRPr="00983A25">
        <w:rPr>
          <w:rFonts w:hint="eastAsia"/>
        </w:rPr>
        <w:t>的</w:t>
      </w:r>
      <w:r w:rsidR="001C10DB" w:rsidRPr="00983A25">
        <w:rPr>
          <w:rFonts w:hint="eastAsia"/>
        </w:rPr>
        <w:t>11.8%</w:t>
      </w:r>
      <w:r w:rsidR="001C10DB" w:rsidRPr="00983A25">
        <w:rPr>
          <w:rFonts w:hint="eastAsia"/>
        </w:rPr>
        <w:t>，与本文针对</w:t>
      </w:r>
      <w:r w:rsidR="001C10DB" w:rsidRPr="00983A25">
        <w:rPr>
          <w:rFonts w:hint="eastAsia"/>
        </w:rPr>
        <w:t>2016</w:t>
      </w:r>
      <w:r w:rsidR="001C10DB" w:rsidRPr="00983A25">
        <w:rPr>
          <w:rFonts w:hint="eastAsia"/>
        </w:rPr>
        <w:t>年</w:t>
      </w:r>
      <w:r w:rsidR="001C10DB" w:rsidRPr="00983A25">
        <w:rPr>
          <w:rFonts w:hint="eastAsia"/>
        </w:rPr>
        <w:t>11.4%</w:t>
      </w:r>
      <w:r w:rsidR="001C10DB" w:rsidRPr="00983A25">
        <w:rPr>
          <w:rFonts w:hint="eastAsia"/>
        </w:rPr>
        <w:t>的估算值较为接近。</w:t>
      </w:r>
      <w:r w:rsidRPr="00983A25">
        <w:rPr>
          <w:rFonts w:hint="eastAsia"/>
        </w:rPr>
        <w:t>详见：张晓晶、刘学良，《利息负担与债务可持续性》，《国家金融与发展实验室工作论文》</w:t>
      </w:r>
      <w:r w:rsidRPr="00983A25">
        <w:t>NO.2017</w:t>
      </w:r>
      <w:r w:rsidRPr="00983A25">
        <w:rPr>
          <w:rFonts w:hint="eastAsia"/>
        </w:rPr>
        <w:t>年</w:t>
      </w:r>
      <w:r w:rsidRPr="00983A25">
        <w:t>(5)</w:t>
      </w:r>
      <w:r w:rsidRPr="00983A25">
        <w:rPr>
          <w:rFonts w:hint="eastAsia"/>
        </w:rPr>
        <w:t>。</w:t>
      </w:r>
    </w:p>
  </w:footnote>
  <w:footnote w:id="23">
    <w:p w14:paraId="1EBDFB9F" w14:textId="2BB0FD8B" w:rsidR="00A31110" w:rsidRPr="00983A25" w:rsidRDefault="00A31110" w:rsidP="00022EAC">
      <w:pPr>
        <w:pStyle w:val="a8"/>
        <w:ind w:firstLineChars="200" w:firstLine="360"/>
      </w:pPr>
      <w:r w:rsidRPr="00983A25">
        <w:rPr>
          <w:rStyle w:val="aa"/>
        </w:rPr>
        <w:footnoteRef/>
      </w:r>
      <w:r w:rsidRPr="00983A25">
        <w:t xml:space="preserve"> </w:t>
      </w:r>
      <w:r w:rsidRPr="00983A25">
        <w:rPr>
          <w:rFonts w:hint="eastAsia"/>
        </w:rPr>
        <w:t>其中，政府部门</w:t>
      </w:r>
      <w:r w:rsidR="009B05AC" w:rsidRPr="00983A25">
        <w:rPr>
          <w:rFonts w:hint="eastAsia"/>
        </w:rPr>
        <w:t>债务</w:t>
      </w:r>
      <w:r w:rsidRPr="00983A25">
        <w:rPr>
          <w:rFonts w:hint="eastAsia"/>
        </w:rPr>
        <w:t>利率由国债发行利率和地方政府债券发行利率加权平均得到；非金融企业部门</w:t>
      </w:r>
      <w:r w:rsidR="003C4E97" w:rsidRPr="00983A25">
        <w:rPr>
          <w:rFonts w:hint="eastAsia"/>
        </w:rPr>
        <w:t>债务</w:t>
      </w:r>
      <w:r w:rsidRPr="00983A25">
        <w:rPr>
          <w:rFonts w:hint="eastAsia"/>
        </w:rPr>
        <w:t>利率由金融机构一般贷款平均利率、公司债发行利率、企业债发行利率加权平均得到；由于住房贷款占住户部门债务中的绝大部分，因而住户部门</w:t>
      </w:r>
      <w:r w:rsidR="003C4E97" w:rsidRPr="00983A25">
        <w:rPr>
          <w:rFonts w:hint="eastAsia"/>
        </w:rPr>
        <w:t>债务</w:t>
      </w:r>
      <w:r w:rsidRPr="00983A25">
        <w:rPr>
          <w:rFonts w:hint="eastAsia"/>
        </w:rPr>
        <w:t>利率采用中国人民银行公布的金融机构个人住房贷款加权平均利率。</w:t>
      </w:r>
    </w:p>
  </w:footnote>
  <w:footnote w:id="24">
    <w:p w14:paraId="6C8AEEED" w14:textId="77777777" w:rsidR="00A31110" w:rsidRPr="00F51C9C" w:rsidRDefault="00A31110" w:rsidP="00920EC4">
      <w:pPr>
        <w:pStyle w:val="a8"/>
        <w:spacing w:line="276" w:lineRule="auto"/>
        <w:ind w:firstLineChars="200" w:firstLine="360"/>
        <w:rPr>
          <w:sz w:val="21"/>
          <w:szCs w:val="21"/>
        </w:rPr>
      </w:pPr>
      <w:r w:rsidRPr="00983A25">
        <w:rPr>
          <w:rStyle w:val="aa"/>
        </w:rPr>
        <w:footnoteRef/>
      </w:r>
      <w:r w:rsidRPr="00983A25">
        <w:t xml:space="preserve"> </w:t>
      </w:r>
      <w:r w:rsidRPr="00983A25">
        <w:rPr>
          <w:rFonts w:hint="eastAsia"/>
        </w:rPr>
        <w:t>增量资本产出率</w:t>
      </w:r>
      <w:r w:rsidRPr="00983A25">
        <w:t>=</w:t>
      </w:r>
      <w:r w:rsidRPr="00983A25">
        <w:rPr>
          <w:rFonts w:hint="eastAsia"/>
        </w:rPr>
        <w:t>当年投资量</w:t>
      </w:r>
      <w:r w:rsidRPr="00983A25">
        <w:t>/</w:t>
      </w:r>
      <w:r w:rsidRPr="00983A25">
        <w:rPr>
          <w:rFonts w:hint="eastAsia"/>
        </w:rPr>
        <w:t>生产总值增加量。</w:t>
      </w:r>
    </w:p>
  </w:footnote>
  <w:footnote w:id="25">
    <w:p w14:paraId="5AE5EFB1" w14:textId="77777777" w:rsidR="00A31110" w:rsidRPr="00983A25" w:rsidRDefault="00A31110" w:rsidP="00291E6F">
      <w:pPr>
        <w:pStyle w:val="a8"/>
        <w:ind w:firstLineChars="200" w:firstLine="360"/>
      </w:pPr>
      <w:r w:rsidRPr="00983A25">
        <w:rPr>
          <w:rStyle w:val="aa"/>
        </w:rPr>
        <w:footnoteRef/>
      </w:r>
      <w:r w:rsidRPr="00983A25">
        <w:t xml:space="preserve"> </w:t>
      </w:r>
      <w:r w:rsidRPr="00983A25">
        <w:rPr>
          <w:rFonts w:hint="eastAsia"/>
        </w:rPr>
        <w:t>“其他融资”包括：存款类金融机构资产支持证券和贷款核销。</w:t>
      </w:r>
    </w:p>
  </w:footnote>
  <w:footnote w:id="26">
    <w:p w14:paraId="08E19EED" w14:textId="36B4B1BB" w:rsidR="00A31110" w:rsidRPr="00983A25" w:rsidRDefault="00A31110" w:rsidP="00053EB4">
      <w:pPr>
        <w:pStyle w:val="a8"/>
        <w:ind w:firstLineChars="200" w:firstLine="360"/>
      </w:pPr>
      <w:r w:rsidRPr="00983A25">
        <w:rPr>
          <w:rStyle w:val="aa"/>
        </w:rPr>
        <w:footnoteRef/>
      </w:r>
      <w:r w:rsidRPr="00983A25">
        <w:t xml:space="preserve"> </w:t>
      </w:r>
      <w:r w:rsidRPr="00983A25">
        <w:rPr>
          <w:rFonts w:hint="eastAsia"/>
        </w:rPr>
        <w:t>在发生重大风险事件导致银行倒闭的情况下，储户也可能</w:t>
      </w:r>
      <w:r w:rsidR="00AB051B" w:rsidRPr="00983A25">
        <w:rPr>
          <w:rFonts w:hint="eastAsia"/>
        </w:rPr>
        <w:t>承受</w:t>
      </w:r>
      <w:r w:rsidRPr="00983A25">
        <w:rPr>
          <w:rFonts w:hint="eastAsia"/>
        </w:rPr>
        <w:t>存款保险覆盖范围之外的部分风险。</w:t>
      </w:r>
    </w:p>
  </w:footnote>
  <w:footnote w:id="27">
    <w:p w14:paraId="29D5AC9D" w14:textId="77777777" w:rsidR="00A31110" w:rsidRPr="00983A25" w:rsidRDefault="00A31110" w:rsidP="00320F0B">
      <w:pPr>
        <w:pStyle w:val="a8"/>
        <w:ind w:firstLineChars="200" w:firstLine="360"/>
      </w:pPr>
      <w:r w:rsidRPr="00983A25">
        <w:rPr>
          <w:rStyle w:val="aa"/>
        </w:rPr>
        <w:footnoteRef/>
      </w:r>
      <w:r w:rsidRPr="00983A25">
        <w:t xml:space="preserve"> </w:t>
      </w:r>
      <w:r w:rsidRPr="00983A25">
        <w:rPr>
          <w:rFonts w:hint="eastAsia"/>
        </w:rPr>
        <w:t>“股权及其他投资”主要指商业银行持有证券投资基金、银行理财产品、信托计划等。</w:t>
      </w:r>
    </w:p>
  </w:footnote>
  <w:footnote w:id="28">
    <w:p w14:paraId="3C73D368" w14:textId="4445361C" w:rsidR="00A31110" w:rsidRPr="00A3383D" w:rsidRDefault="00A31110" w:rsidP="00320F0B">
      <w:pPr>
        <w:pStyle w:val="a8"/>
        <w:ind w:firstLineChars="200" w:firstLine="360"/>
      </w:pPr>
      <w:r w:rsidRPr="00983A25">
        <w:rPr>
          <w:rStyle w:val="aa"/>
        </w:rPr>
        <w:footnoteRef/>
      </w:r>
      <w:r w:rsidRPr="00983A25">
        <w:t xml:space="preserve"> </w:t>
      </w:r>
      <w:r w:rsidRPr="00983A25">
        <w:rPr>
          <w:rFonts w:hint="eastAsia"/>
        </w:rPr>
        <w:t>数据来源：</w:t>
      </w:r>
      <w:r w:rsidRPr="00983A25">
        <w:t>Wind</w:t>
      </w:r>
      <w:r w:rsidRPr="00983A25">
        <w:rPr>
          <w:rFonts w:hint="eastAsia"/>
        </w:rPr>
        <w:t>数据库。</w:t>
      </w:r>
    </w:p>
  </w:footnote>
  <w:footnote w:id="29">
    <w:p w14:paraId="277B44A5" w14:textId="77777777" w:rsidR="00A31110" w:rsidRPr="00983A25" w:rsidRDefault="00A31110" w:rsidP="00320F0B">
      <w:pPr>
        <w:pStyle w:val="a8"/>
        <w:ind w:firstLineChars="200" w:firstLine="360"/>
      </w:pPr>
      <w:r w:rsidRPr="00983A25">
        <w:rPr>
          <w:rStyle w:val="aa"/>
        </w:rPr>
        <w:footnoteRef/>
      </w:r>
      <w:r w:rsidRPr="00983A25">
        <w:t xml:space="preserve"> </w:t>
      </w:r>
      <w:r w:rsidRPr="00983A25">
        <w:rPr>
          <w:rFonts w:hint="eastAsia"/>
        </w:rPr>
        <w:t>数据来源：中国保险资产管理业协会《</w:t>
      </w:r>
      <w:r w:rsidRPr="00983A25">
        <w:t>2019-2020</w:t>
      </w:r>
      <w:r w:rsidRPr="00983A25">
        <w:rPr>
          <w:rFonts w:hint="eastAsia"/>
        </w:rPr>
        <w:t>保险资产管理业调研报告》。</w:t>
      </w:r>
    </w:p>
  </w:footnote>
  <w:footnote w:id="30">
    <w:p w14:paraId="3F054529" w14:textId="6A054E7E" w:rsidR="00A31110" w:rsidRPr="00983A25" w:rsidRDefault="00A31110" w:rsidP="00320F0B">
      <w:pPr>
        <w:pStyle w:val="a8"/>
        <w:ind w:firstLineChars="200" w:firstLine="360"/>
      </w:pPr>
      <w:r w:rsidRPr="00983A25">
        <w:rPr>
          <w:rStyle w:val="aa"/>
        </w:rPr>
        <w:footnoteRef/>
      </w:r>
      <w:r w:rsidRPr="00983A25">
        <w:t xml:space="preserve"> </w:t>
      </w:r>
      <w:r w:rsidRPr="00983A25">
        <w:rPr>
          <w:rFonts w:hint="eastAsia"/>
        </w:rPr>
        <w:t>也存在另外一种观点</w:t>
      </w:r>
      <w:r w:rsidR="00854D35" w:rsidRPr="00983A25">
        <w:rPr>
          <w:rFonts w:hint="eastAsia"/>
        </w:rPr>
        <w:t>认为</w:t>
      </w:r>
      <w:r w:rsidRPr="00983A25">
        <w:rPr>
          <w:rFonts w:hint="eastAsia"/>
        </w:rPr>
        <w:t>，以</w:t>
      </w:r>
      <w:r w:rsidRPr="00983A25">
        <w:rPr>
          <w:rFonts w:ascii="宋体" w:hAnsi="宋体" w:hint="eastAsia"/>
        </w:rPr>
        <w:t>保险资管机构作为资金链条始点，那么上述第二种渠道则属于直接融资。</w:t>
      </w:r>
    </w:p>
  </w:footnote>
  <w:footnote w:id="31">
    <w:p w14:paraId="16E621B4" w14:textId="77777777" w:rsidR="00A31110" w:rsidRPr="00983A25" w:rsidRDefault="00A31110" w:rsidP="00151413">
      <w:pPr>
        <w:pStyle w:val="a8"/>
        <w:ind w:firstLineChars="200" w:firstLine="360"/>
      </w:pPr>
      <w:r w:rsidRPr="00983A25">
        <w:rPr>
          <w:rStyle w:val="aa"/>
        </w:rPr>
        <w:footnoteRef/>
      </w:r>
      <w:r w:rsidRPr="00983A25">
        <w:t xml:space="preserve"> </w:t>
      </w:r>
      <w:r w:rsidRPr="00983A25">
        <w:rPr>
          <w:rFonts w:hint="eastAsia"/>
        </w:rPr>
        <w:t>其他存款性公司是指除中央银行以外的主要进行吸收存款、发放贷款、办理（支票）转账结算等中介服务的存款性公司或准公司，包括商业银行、信用合作社等。</w:t>
      </w:r>
    </w:p>
  </w:footnote>
  <w:footnote w:id="32">
    <w:p w14:paraId="58779364" w14:textId="553A6326" w:rsidR="00A31110" w:rsidRPr="00071DB1" w:rsidRDefault="00A31110" w:rsidP="00133B60">
      <w:pPr>
        <w:pStyle w:val="a8"/>
        <w:ind w:firstLineChars="200" w:firstLine="360"/>
      </w:pPr>
      <w:r w:rsidRPr="00983A25">
        <w:rPr>
          <w:rStyle w:val="aa"/>
        </w:rPr>
        <w:footnoteRef/>
      </w:r>
      <w:r w:rsidRPr="00983A25">
        <w:t xml:space="preserve"> </w:t>
      </w:r>
      <w:r w:rsidRPr="00983A25">
        <w:rPr>
          <w:rFonts w:hint="eastAsia"/>
        </w:rPr>
        <w:t>例如，银行</w:t>
      </w:r>
      <w:r w:rsidRPr="00983A25">
        <w:t>A</w:t>
      </w:r>
      <w:r w:rsidRPr="00983A25">
        <w:rPr>
          <w:rFonts w:hint="eastAsia"/>
        </w:rPr>
        <w:t>直接向企业</w:t>
      </w:r>
      <w:r w:rsidRPr="00983A25">
        <w:t>B</w:t>
      </w:r>
      <w:r w:rsidRPr="00983A25">
        <w:rPr>
          <w:rFonts w:hint="eastAsia"/>
        </w:rPr>
        <w:t>发放一笔</w:t>
      </w:r>
      <w:r w:rsidRPr="00983A25">
        <w:t>1</w:t>
      </w:r>
      <w:r w:rsidRPr="00983A25">
        <w:rPr>
          <w:rFonts w:hint="eastAsia"/>
        </w:rPr>
        <w:t>亿元的贷款，该指标的值为</w:t>
      </w:r>
      <w:r w:rsidRPr="00983A25">
        <w:t>1</w:t>
      </w:r>
      <w:r w:rsidRPr="00983A25">
        <w:rPr>
          <w:rFonts w:hint="eastAsia"/>
        </w:rPr>
        <w:t>。再如，银行</w:t>
      </w:r>
      <w:r w:rsidRPr="00983A25">
        <w:t>A</w:t>
      </w:r>
      <w:r w:rsidRPr="00983A25">
        <w:rPr>
          <w:rFonts w:hint="eastAsia"/>
        </w:rPr>
        <w:t>花</w:t>
      </w:r>
      <w:r w:rsidRPr="00983A25">
        <w:t>1</w:t>
      </w:r>
      <w:r w:rsidRPr="00983A25">
        <w:rPr>
          <w:rFonts w:hint="eastAsia"/>
        </w:rPr>
        <w:t>亿元购买银行</w:t>
      </w:r>
      <w:r w:rsidRPr="00983A25">
        <w:t>C</w:t>
      </w:r>
      <w:r w:rsidRPr="00983A25">
        <w:rPr>
          <w:rFonts w:hint="eastAsia"/>
        </w:rPr>
        <w:t>的同业存单，银行</w:t>
      </w:r>
      <w:r w:rsidRPr="00983A25">
        <w:t>C</w:t>
      </w:r>
      <w:r w:rsidRPr="00983A25">
        <w:rPr>
          <w:rFonts w:hint="eastAsia"/>
        </w:rPr>
        <w:t>再将这</w:t>
      </w:r>
      <w:r w:rsidRPr="00983A25">
        <w:t>1</w:t>
      </w:r>
      <w:r w:rsidRPr="00983A25">
        <w:rPr>
          <w:rFonts w:hint="eastAsia"/>
        </w:rPr>
        <w:t>亿元向企业</w:t>
      </w:r>
      <w:r w:rsidRPr="00983A25">
        <w:t>B</w:t>
      </w:r>
      <w:r w:rsidRPr="00983A25">
        <w:rPr>
          <w:rFonts w:hint="eastAsia"/>
        </w:rPr>
        <w:t>发放贷款，该指标的值为</w:t>
      </w:r>
      <w:r w:rsidRPr="00983A25">
        <w:t>2</w:t>
      </w:r>
      <w:r w:rsidRPr="00983A25">
        <w:rPr>
          <w:rFonts w:hint="eastAsia"/>
        </w:rPr>
        <w:t>。</w:t>
      </w:r>
      <w:r w:rsidR="004D7849" w:rsidRPr="00983A25">
        <w:rPr>
          <w:rFonts w:hint="eastAsia"/>
        </w:rPr>
        <w:t>需要说明的是，由于未涵盖非银金融机构之间的债权债务关系，加之表外业务的资金传导链条普遍长于表内业务，上述指标会低估资金传导链条长度；尽管如此，从时间序列比较的角度而言，该指标仍能提供有参考意义的信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42D"/>
    <w:multiLevelType w:val="hybridMultilevel"/>
    <w:tmpl w:val="26DC17DE"/>
    <w:lvl w:ilvl="0" w:tplc="F274EEFE">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9047EFB"/>
    <w:multiLevelType w:val="hybridMultilevel"/>
    <w:tmpl w:val="BAEEB34C"/>
    <w:lvl w:ilvl="0" w:tplc="D72680C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D220673"/>
    <w:multiLevelType w:val="hybridMultilevel"/>
    <w:tmpl w:val="2DB4DE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EA51A7"/>
    <w:multiLevelType w:val="hybridMultilevel"/>
    <w:tmpl w:val="4F42EB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A2E7430"/>
    <w:multiLevelType w:val="hybridMultilevel"/>
    <w:tmpl w:val="3D3695FA"/>
    <w:lvl w:ilvl="0" w:tplc="5FD003CC">
      <w:start w:val="1"/>
      <w:numFmt w:val="decimal"/>
      <w:lvlText w:val="%1."/>
      <w:lvlJc w:val="left"/>
      <w:pPr>
        <w:ind w:left="360" w:hanging="360"/>
      </w:pPr>
      <w:rPr>
        <w:rFonts w:hint="default"/>
      </w:rPr>
    </w:lvl>
    <w:lvl w:ilvl="1" w:tplc="332A5EE6">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AB1875"/>
    <w:multiLevelType w:val="hybridMultilevel"/>
    <w:tmpl w:val="0458DDC2"/>
    <w:lvl w:ilvl="0" w:tplc="EECA7F1C">
      <w:start w:val="1"/>
      <w:numFmt w:val="bullet"/>
      <w:lvlText w:val="•"/>
      <w:lvlJc w:val="left"/>
      <w:pPr>
        <w:tabs>
          <w:tab w:val="num" w:pos="720"/>
        </w:tabs>
        <w:ind w:left="720" w:hanging="360"/>
      </w:pPr>
      <w:rPr>
        <w:rFonts w:ascii="Arial" w:hAnsi="Arial" w:hint="default"/>
      </w:rPr>
    </w:lvl>
    <w:lvl w:ilvl="1" w:tplc="EE609858">
      <w:numFmt w:val="bullet"/>
      <w:lvlText w:val="•"/>
      <w:lvlJc w:val="left"/>
      <w:pPr>
        <w:tabs>
          <w:tab w:val="num" w:pos="1440"/>
        </w:tabs>
        <w:ind w:left="1440" w:hanging="360"/>
      </w:pPr>
      <w:rPr>
        <w:rFonts w:ascii="Arial" w:hAnsi="Arial" w:hint="default"/>
      </w:rPr>
    </w:lvl>
    <w:lvl w:ilvl="2" w:tplc="EC7A8AD8" w:tentative="1">
      <w:start w:val="1"/>
      <w:numFmt w:val="bullet"/>
      <w:lvlText w:val="•"/>
      <w:lvlJc w:val="left"/>
      <w:pPr>
        <w:tabs>
          <w:tab w:val="num" w:pos="2160"/>
        </w:tabs>
        <w:ind w:left="2160" w:hanging="360"/>
      </w:pPr>
      <w:rPr>
        <w:rFonts w:ascii="Arial" w:hAnsi="Arial" w:hint="default"/>
      </w:rPr>
    </w:lvl>
    <w:lvl w:ilvl="3" w:tplc="13C2427A" w:tentative="1">
      <w:start w:val="1"/>
      <w:numFmt w:val="bullet"/>
      <w:lvlText w:val="•"/>
      <w:lvlJc w:val="left"/>
      <w:pPr>
        <w:tabs>
          <w:tab w:val="num" w:pos="2880"/>
        </w:tabs>
        <w:ind w:left="2880" w:hanging="360"/>
      </w:pPr>
      <w:rPr>
        <w:rFonts w:ascii="Arial" w:hAnsi="Arial" w:hint="default"/>
      </w:rPr>
    </w:lvl>
    <w:lvl w:ilvl="4" w:tplc="9FF87C9A" w:tentative="1">
      <w:start w:val="1"/>
      <w:numFmt w:val="bullet"/>
      <w:lvlText w:val="•"/>
      <w:lvlJc w:val="left"/>
      <w:pPr>
        <w:tabs>
          <w:tab w:val="num" w:pos="3600"/>
        </w:tabs>
        <w:ind w:left="3600" w:hanging="360"/>
      </w:pPr>
      <w:rPr>
        <w:rFonts w:ascii="Arial" w:hAnsi="Arial" w:hint="default"/>
      </w:rPr>
    </w:lvl>
    <w:lvl w:ilvl="5" w:tplc="BEA09D66" w:tentative="1">
      <w:start w:val="1"/>
      <w:numFmt w:val="bullet"/>
      <w:lvlText w:val="•"/>
      <w:lvlJc w:val="left"/>
      <w:pPr>
        <w:tabs>
          <w:tab w:val="num" w:pos="4320"/>
        </w:tabs>
        <w:ind w:left="4320" w:hanging="360"/>
      </w:pPr>
      <w:rPr>
        <w:rFonts w:ascii="Arial" w:hAnsi="Arial" w:hint="default"/>
      </w:rPr>
    </w:lvl>
    <w:lvl w:ilvl="6" w:tplc="B79C6C00" w:tentative="1">
      <w:start w:val="1"/>
      <w:numFmt w:val="bullet"/>
      <w:lvlText w:val="•"/>
      <w:lvlJc w:val="left"/>
      <w:pPr>
        <w:tabs>
          <w:tab w:val="num" w:pos="5040"/>
        </w:tabs>
        <w:ind w:left="5040" w:hanging="360"/>
      </w:pPr>
      <w:rPr>
        <w:rFonts w:ascii="Arial" w:hAnsi="Arial" w:hint="default"/>
      </w:rPr>
    </w:lvl>
    <w:lvl w:ilvl="7" w:tplc="C95E9E54" w:tentative="1">
      <w:start w:val="1"/>
      <w:numFmt w:val="bullet"/>
      <w:lvlText w:val="•"/>
      <w:lvlJc w:val="left"/>
      <w:pPr>
        <w:tabs>
          <w:tab w:val="num" w:pos="5760"/>
        </w:tabs>
        <w:ind w:left="5760" w:hanging="360"/>
      </w:pPr>
      <w:rPr>
        <w:rFonts w:ascii="Arial" w:hAnsi="Arial" w:hint="default"/>
      </w:rPr>
    </w:lvl>
    <w:lvl w:ilvl="8" w:tplc="A68CC8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A33495"/>
    <w:multiLevelType w:val="hybridMultilevel"/>
    <w:tmpl w:val="D110CB34"/>
    <w:lvl w:ilvl="0" w:tplc="095A02B8">
      <w:start w:val="1"/>
      <w:numFmt w:val="bullet"/>
      <w:lvlText w:val="•"/>
      <w:lvlJc w:val="left"/>
      <w:pPr>
        <w:tabs>
          <w:tab w:val="num" w:pos="720"/>
        </w:tabs>
        <w:ind w:left="720" w:hanging="360"/>
      </w:pPr>
      <w:rPr>
        <w:rFonts w:ascii="Arial" w:hAnsi="Arial" w:hint="default"/>
      </w:rPr>
    </w:lvl>
    <w:lvl w:ilvl="1" w:tplc="8E26EAC8">
      <w:numFmt w:val="bullet"/>
      <w:lvlText w:val="•"/>
      <w:lvlJc w:val="left"/>
      <w:pPr>
        <w:tabs>
          <w:tab w:val="num" w:pos="1440"/>
        </w:tabs>
        <w:ind w:left="1440" w:hanging="360"/>
      </w:pPr>
      <w:rPr>
        <w:rFonts w:ascii="Arial" w:hAnsi="Arial" w:hint="default"/>
      </w:rPr>
    </w:lvl>
    <w:lvl w:ilvl="2" w:tplc="B40A6532" w:tentative="1">
      <w:start w:val="1"/>
      <w:numFmt w:val="bullet"/>
      <w:lvlText w:val="•"/>
      <w:lvlJc w:val="left"/>
      <w:pPr>
        <w:tabs>
          <w:tab w:val="num" w:pos="2160"/>
        </w:tabs>
        <w:ind w:left="2160" w:hanging="360"/>
      </w:pPr>
      <w:rPr>
        <w:rFonts w:ascii="Arial" w:hAnsi="Arial" w:hint="default"/>
      </w:rPr>
    </w:lvl>
    <w:lvl w:ilvl="3" w:tplc="8EB66222" w:tentative="1">
      <w:start w:val="1"/>
      <w:numFmt w:val="bullet"/>
      <w:lvlText w:val="•"/>
      <w:lvlJc w:val="left"/>
      <w:pPr>
        <w:tabs>
          <w:tab w:val="num" w:pos="2880"/>
        </w:tabs>
        <w:ind w:left="2880" w:hanging="360"/>
      </w:pPr>
      <w:rPr>
        <w:rFonts w:ascii="Arial" w:hAnsi="Arial" w:hint="default"/>
      </w:rPr>
    </w:lvl>
    <w:lvl w:ilvl="4" w:tplc="24AC3AF0" w:tentative="1">
      <w:start w:val="1"/>
      <w:numFmt w:val="bullet"/>
      <w:lvlText w:val="•"/>
      <w:lvlJc w:val="left"/>
      <w:pPr>
        <w:tabs>
          <w:tab w:val="num" w:pos="3600"/>
        </w:tabs>
        <w:ind w:left="3600" w:hanging="360"/>
      </w:pPr>
      <w:rPr>
        <w:rFonts w:ascii="Arial" w:hAnsi="Arial" w:hint="default"/>
      </w:rPr>
    </w:lvl>
    <w:lvl w:ilvl="5" w:tplc="7DACA5F0" w:tentative="1">
      <w:start w:val="1"/>
      <w:numFmt w:val="bullet"/>
      <w:lvlText w:val="•"/>
      <w:lvlJc w:val="left"/>
      <w:pPr>
        <w:tabs>
          <w:tab w:val="num" w:pos="4320"/>
        </w:tabs>
        <w:ind w:left="4320" w:hanging="360"/>
      </w:pPr>
      <w:rPr>
        <w:rFonts w:ascii="Arial" w:hAnsi="Arial" w:hint="default"/>
      </w:rPr>
    </w:lvl>
    <w:lvl w:ilvl="6" w:tplc="68840C9A" w:tentative="1">
      <w:start w:val="1"/>
      <w:numFmt w:val="bullet"/>
      <w:lvlText w:val="•"/>
      <w:lvlJc w:val="left"/>
      <w:pPr>
        <w:tabs>
          <w:tab w:val="num" w:pos="5040"/>
        </w:tabs>
        <w:ind w:left="5040" w:hanging="360"/>
      </w:pPr>
      <w:rPr>
        <w:rFonts w:ascii="Arial" w:hAnsi="Arial" w:hint="default"/>
      </w:rPr>
    </w:lvl>
    <w:lvl w:ilvl="7" w:tplc="F06844F2" w:tentative="1">
      <w:start w:val="1"/>
      <w:numFmt w:val="bullet"/>
      <w:lvlText w:val="•"/>
      <w:lvlJc w:val="left"/>
      <w:pPr>
        <w:tabs>
          <w:tab w:val="num" w:pos="5760"/>
        </w:tabs>
        <w:ind w:left="5760" w:hanging="360"/>
      </w:pPr>
      <w:rPr>
        <w:rFonts w:ascii="Arial" w:hAnsi="Arial" w:hint="default"/>
      </w:rPr>
    </w:lvl>
    <w:lvl w:ilvl="8" w:tplc="46A0EE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4860B9A"/>
    <w:multiLevelType w:val="hybridMultilevel"/>
    <w:tmpl w:val="6B1EED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F856AE0"/>
    <w:multiLevelType w:val="hybridMultilevel"/>
    <w:tmpl w:val="3BBC230C"/>
    <w:lvl w:ilvl="0" w:tplc="054237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C280E0E"/>
    <w:multiLevelType w:val="hybridMultilevel"/>
    <w:tmpl w:val="A18C02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DED7381"/>
    <w:multiLevelType w:val="hybridMultilevel"/>
    <w:tmpl w:val="E9A85AE2"/>
    <w:lvl w:ilvl="0" w:tplc="111010C6">
      <w:start w:val="1"/>
      <w:numFmt w:val="bullet"/>
      <w:lvlText w:val="•"/>
      <w:lvlJc w:val="left"/>
      <w:pPr>
        <w:tabs>
          <w:tab w:val="num" w:pos="720"/>
        </w:tabs>
        <w:ind w:left="720" w:hanging="360"/>
      </w:pPr>
      <w:rPr>
        <w:rFonts w:ascii="Arial" w:hAnsi="Arial" w:hint="default"/>
      </w:rPr>
    </w:lvl>
    <w:lvl w:ilvl="1" w:tplc="EC4493CA">
      <w:numFmt w:val="bullet"/>
      <w:lvlText w:val="•"/>
      <w:lvlJc w:val="left"/>
      <w:pPr>
        <w:tabs>
          <w:tab w:val="num" w:pos="1440"/>
        </w:tabs>
        <w:ind w:left="1440" w:hanging="360"/>
      </w:pPr>
      <w:rPr>
        <w:rFonts w:ascii="Arial" w:hAnsi="Arial" w:hint="default"/>
      </w:rPr>
    </w:lvl>
    <w:lvl w:ilvl="2" w:tplc="55B6C11A" w:tentative="1">
      <w:start w:val="1"/>
      <w:numFmt w:val="bullet"/>
      <w:lvlText w:val="•"/>
      <w:lvlJc w:val="left"/>
      <w:pPr>
        <w:tabs>
          <w:tab w:val="num" w:pos="2160"/>
        </w:tabs>
        <w:ind w:left="2160" w:hanging="360"/>
      </w:pPr>
      <w:rPr>
        <w:rFonts w:ascii="Arial" w:hAnsi="Arial" w:hint="default"/>
      </w:rPr>
    </w:lvl>
    <w:lvl w:ilvl="3" w:tplc="919C879A" w:tentative="1">
      <w:start w:val="1"/>
      <w:numFmt w:val="bullet"/>
      <w:lvlText w:val="•"/>
      <w:lvlJc w:val="left"/>
      <w:pPr>
        <w:tabs>
          <w:tab w:val="num" w:pos="2880"/>
        </w:tabs>
        <w:ind w:left="2880" w:hanging="360"/>
      </w:pPr>
      <w:rPr>
        <w:rFonts w:ascii="Arial" w:hAnsi="Arial" w:hint="default"/>
      </w:rPr>
    </w:lvl>
    <w:lvl w:ilvl="4" w:tplc="A106CE02" w:tentative="1">
      <w:start w:val="1"/>
      <w:numFmt w:val="bullet"/>
      <w:lvlText w:val="•"/>
      <w:lvlJc w:val="left"/>
      <w:pPr>
        <w:tabs>
          <w:tab w:val="num" w:pos="3600"/>
        </w:tabs>
        <w:ind w:left="3600" w:hanging="360"/>
      </w:pPr>
      <w:rPr>
        <w:rFonts w:ascii="Arial" w:hAnsi="Arial" w:hint="default"/>
      </w:rPr>
    </w:lvl>
    <w:lvl w:ilvl="5" w:tplc="AEEAF4B0" w:tentative="1">
      <w:start w:val="1"/>
      <w:numFmt w:val="bullet"/>
      <w:lvlText w:val="•"/>
      <w:lvlJc w:val="left"/>
      <w:pPr>
        <w:tabs>
          <w:tab w:val="num" w:pos="4320"/>
        </w:tabs>
        <w:ind w:left="4320" w:hanging="360"/>
      </w:pPr>
      <w:rPr>
        <w:rFonts w:ascii="Arial" w:hAnsi="Arial" w:hint="default"/>
      </w:rPr>
    </w:lvl>
    <w:lvl w:ilvl="6" w:tplc="CE205056" w:tentative="1">
      <w:start w:val="1"/>
      <w:numFmt w:val="bullet"/>
      <w:lvlText w:val="•"/>
      <w:lvlJc w:val="left"/>
      <w:pPr>
        <w:tabs>
          <w:tab w:val="num" w:pos="5040"/>
        </w:tabs>
        <w:ind w:left="5040" w:hanging="360"/>
      </w:pPr>
      <w:rPr>
        <w:rFonts w:ascii="Arial" w:hAnsi="Arial" w:hint="default"/>
      </w:rPr>
    </w:lvl>
    <w:lvl w:ilvl="7" w:tplc="823CA368" w:tentative="1">
      <w:start w:val="1"/>
      <w:numFmt w:val="bullet"/>
      <w:lvlText w:val="•"/>
      <w:lvlJc w:val="left"/>
      <w:pPr>
        <w:tabs>
          <w:tab w:val="num" w:pos="5760"/>
        </w:tabs>
        <w:ind w:left="5760" w:hanging="360"/>
      </w:pPr>
      <w:rPr>
        <w:rFonts w:ascii="Arial" w:hAnsi="Arial" w:hint="default"/>
      </w:rPr>
    </w:lvl>
    <w:lvl w:ilvl="8" w:tplc="3578B6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C13736"/>
    <w:multiLevelType w:val="hybridMultilevel"/>
    <w:tmpl w:val="B49EC886"/>
    <w:lvl w:ilvl="0" w:tplc="689A73D6">
      <w:start w:val="1"/>
      <w:numFmt w:val="bullet"/>
      <w:lvlText w:val="•"/>
      <w:lvlJc w:val="left"/>
      <w:pPr>
        <w:tabs>
          <w:tab w:val="num" w:pos="720"/>
        </w:tabs>
        <w:ind w:left="720" w:hanging="360"/>
      </w:pPr>
      <w:rPr>
        <w:rFonts w:ascii="Arial" w:hAnsi="Arial" w:hint="default"/>
      </w:rPr>
    </w:lvl>
    <w:lvl w:ilvl="1" w:tplc="5602EF20">
      <w:numFmt w:val="bullet"/>
      <w:lvlText w:val="•"/>
      <w:lvlJc w:val="left"/>
      <w:pPr>
        <w:tabs>
          <w:tab w:val="num" w:pos="1440"/>
        </w:tabs>
        <w:ind w:left="1440" w:hanging="360"/>
      </w:pPr>
      <w:rPr>
        <w:rFonts w:ascii="Arial" w:hAnsi="Arial" w:hint="default"/>
      </w:rPr>
    </w:lvl>
    <w:lvl w:ilvl="2" w:tplc="4644F634" w:tentative="1">
      <w:start w:val="1"/>
      <w:numFmt w:val="bullet"/>
      <w:lvlText w:val="•"/>
      <w:lvlJc w:val="left"/>
      <w:pPr>
        <w:tabs>
          <w:tab w:val="num" w:pos="2160"/>
        </w:tabs>
        <w:ind w:left="2160" w:hanging="360"/>
      </w:pPr>
      <w:rPr>
        <w:rFonts w:ascii="Arial" w:hAnsi="Arial" w:hint="default"/>
      </w:rPr>
    </w:lvl>
    <w:lvl w:ilvl="3" w:tplc="E3140D24" w:tentative="1">
      <w:start w:val="1"/>
      <w:numFmt w:val="bullet"/>
      <w:lvlText w:val="•"/>
      <w:lvlJc w:val="left"/>
      <w:pPr>
        <w:tabs>
          <w:tab w:val="num" w:pos="2880"/>
        </w:tabs>
        <w:ind w:left="2880" w:hanging="360"/>
      </w:pPr>
      <w:rPr>
        <w:rFonts w:ascii="Arial" w:hAnsi="Arial" w:hint="default"/>
      </w:rPr>
    </w:lvl>
    <w:lvl w:ilvl="4" w:tplc="99D63476" w:tentative="1">
      <w:start w:val="1"/>
      <w:numFmt w:val="bullet"/>
      <w:lvlText w:val="•"/>
      <w:lvlJc w:val="left"/>
      <w:pPr>
        <w:tabs>
          <w:tab w:val="num" w:pos="3600"/>
        </w:tabs>
        <w:ind w:left="3600" w:hanging="360"/>
      </w:pPr>
      <w:rPr>
        <w:rFonts w:ascii="Arial" w:hAnsi="Arial" w:hint="default"/>
      </w:rPr>
    </w:lvl>
    <w:lvl w:ilvl="5" w:tplc="228A72D0" w:tentative="1">
      <w:start w:val="1"/>
      <w:numFmt w:val="bullet"/>
      <w:lvlText w:val="•"/>
      <w:lvlJc w:val="left"/>
      <w:pPr>
        <w:tabs>
          <w:tab w:val="num" w:pos="4320"/>
        </w:tabs>
        <w:ind w:left="4320" w:hanging="360"/>
      </w:pPr>
      <w:rPr>
        <w:rFonts w:ascii="Arial" w:hAnsi="Arial" w:hint="default"/>
      </w:rPr>
    </w:lvl>
    <w:lvl w:ilvl="6" w:tplc="2368AE44" w:tentative="1">
      <w:start w:val="1"/>
      <w:numFmt w:val="bullet"/>
      <w:lvlText w:val="•"/>
      <w:lvlJc w:val="left"/>
      <w:pPr>
        <w:tabs>
          <w:tab w:val="num" w:pos="5040"/>
        </w:tabs>
        <w:ind w:left="5040" w:hanging="360"/>
      </w:pPr>
      <w:rPr>
        <w:rFonts w:ascii="Arial" w:hAnsi="Arial" w:hint="default"/>
      </w:rPr>
    </w:lvl>
    <w:lvl w:ilvl="7" w:tplc="E84068DE" w:tentative="1">
      <w:start w:val="1"/>
      <w:numFmt w:val="bullet"/>
      <w:lvlText w:val="•"/>
      <w:lvlJc w:val="left"/>
      <w:pPr>
        <w:tabs>
          <w:tab w:val="num" w:pos="5760"/>
        </w:tabs>
        <w:ind w:left="5760" w:hanging="360"/>
      </w:pPr>
      <w:rPr>
        <w:rFonts w:ascii="Arial" w:hAnsi="Arial" w:hint="default"/>
      </w:rPr>
    </w:lvl>
    <w:lvl w:ilvl="8" w:tplc="6CBCF6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6862A7"/>
    <w:multiLevelType w:val="hybridMultilevel"/>
    <w:tmpl w:val="9490DB72"/>
    <w:lvl w:ilvl="0" w:tplc="DBD074A0">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0"/>
  </w:num>
  <w:num w:numId="4">
    <w:abstractNumId w:val="2"/>
  </w:num>
  <w:num w:numId="5">
    <w:abstractNumId w:val="9"/>
  </w:num>
  <w:num w:numId="6">
    <w:abstractNumId w:val="1"/>
  </w:num>
  <w:num w:numId="7">
    <w:abstractNumId w:val="5"/>
  </w:num>
  <w:num w:numId="8">
    <w:abstractNumId w:val="6"/>
  </w:num>
  <w:num w:numId="9">
    <w:abstractNumId w:val="11"/>
  </w:num>
  <w:num w:numId="10">
    <w:abstractNumId w:val="10"/>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Pr>
  <w:endnotePr>
    <w:pos w:val="sectEnd"/>
    <w:numFmt w:val="decimalEnclosedCircleChinese"/>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99"/>
    <w:rsid w:val="000004DD"/>
    <w:rsid w:val="00000621"/>
    <w:rsid w:val="00000656"/>
    <w:rsid w:val="0000076F"/>
    <w:rsid w:val="00000ADB"/>
    <w:rsid w:val="00001BD0"/>
    <w:rsid w:val="00001D7B"/>
    <w:rsid w:val="00001F88"/>
    <w:rsid w:val="000023FD"/>
    <w:rsid w:val="000028B1"/>
    <w:rsid w:val="00002AB9"/>
    <w:rsid w:val="00002FE3"/>
    <w:rsid w:val="00003800"/>
    <w:rsid w:val="000039C0"/>
    <w:rsid w:val="00003A01"/>
    <w:rsid w:val="0000429B"/>
    <w:rsid w:val="000042EB"/>
    <w:rsid w:val="00004B96"/>
    <w:rsid w:val="00004F55"/>
    <w:rsid w:val="000052A8"/>
    <w:rsid w:val="00005378"/>
    <w:rsid w:val="000055BD"/>
    <w:rsid w:val="0000674F"/>
    <w:rsid w:val="00006AA6"/>
    <w:rsid w:val="00006AFC"/>
    <w:rsid w:val="00006CA2"/>
    <w:rsid w:val="00006F08"/>
    <w:rsid w:val="000072D1"/>
    <w:rsid w:val="000078A0"/>
    <w:rsid w:val="00007C95"/>
    <w:rsid w:val="0001027D"/>
    <w:rsid w:val="00010A61"/>
    <w:rsid w:val="00010C71"/>
    <w:rsid w:val="000118FE"/>
    <w:rsid w:val="00011AEE"/>
    <w:rsid w:val="00011B7A"/>
    <w:rsid w:val="00011DD5"/>
    <w:rsid w:val="00012224"/>
    <w:rsid w:val="00012B7F"/>
    <w:rsid w:val="00012DEF"/>
    <w:rsid w:val="00012F2D"/>
    <w:rsid w:val="00012F90"/>
    <w:rsid w:val="000132EC"/>
    <w:rsid w:val="000139E6"/>
    <w:rsid w:val="00013BCE"/>
    <w:rsid w:val="00014394"/>
    <w:rsid w:val="000143F3"/>
    <w:rsid w:val="00014426"/>
    <w:rsid w:val="00014774"/>
    <w:rsid w:val="00014DB0"/>
    <w:rsid w:val="0001514C"/>
    <w:rsid w:val="000151D7"/>
    <w:rsid w:val="00015452"/>
    <w:rsid w:val="00015E6D"/>
    <w:rsid w:val="00015E9E"/>
    <w:rsid w:val="00016277"/>
    <w:rsid w:val="00016298"/>
    <w:rsid w:val="000162D0"/>
    <w:rsid w:val="0001657A"/>
    <w:rsid w:val="000169B7"/>
    <w:rsid w:val="00016A00"/>
    <w:rsid w:val="00016AF4"/>
    <w:rsid w:val="00016F5B"/>
    <w:rsid w:val="0001709D"/>
    <w:rsid w:val="000170E7"/>
    <w:rsid w:val="000173F5"/>
    <w:rsid w:val="00017943"/>
    <w:rsid w:val="00017B34"/>
    <w:rsid w:val="0002030A"/>
    <w:rsid w:val="00020610"/>
    <w:rsid w:val="00020CC4"/>
    <w:rsid w:val="00021E4E"/>
    <w:rsid w:val="0002266A"/>
    <w:rsid w:val="00022751"/>
    <w:rsid w:val="000229B0"/>
    <w:rsid w:val="00022A6B"/>
    <w:rsid w:val="00022CCF"/>
    <w:rsid w:val="00022EAC"/>
    <w:rsid w:val="00022EF8"/>
    <w:rsid w:val="0002349F"/>
    <w:rsid w:val="000235B9"/>
    <w:rsid w:val="00023CD4"/>
    <w:rsid w:val="00023E23"/>
    <w:rsid w:val="000240A6"/>
    <w:rsid w:val="000240D3"/>
    <w:rsid w:val="0002410D"/>
    <w:rsid w:val="0002436D"/>
    <w:rsid w:val="00024B4E"/>
    <w:rsid w:val="00025579"/>
    <w:rsid w:val="000256ED"/>
    <w:rsid w:val="00025724"/>
    <w:rsid w:val="00025D8D"/>
    <w:rsid w:val="00025FAE"/>
    <w:rsid w:val="00026279"/>
    <w:rsid w:val="00026412"/>
    <w:rsid w:val="000267F5"/>
    <w:rsid w:val="00026947"/>
    <w:rsid w:val="00026FE4"/>
    <w:rsid w:val="00026FED"/>
    <w:rsid w:val="00027362"/>
    <w:rsid w:val="00027428"/>
    <w:rsid w:val="00027568"/>
    <w:rsid w:val="000278D0"/>
    <w:rsid w:val="00030088"/>
    <w:rsid w:val="00030276"/>
    <w:rsid w:val="00030385"/>
    <w:rsid w:val="000305D6"/>
    <w:rsid w:val="00030EF4"/>
    <w:rsid w:val="00030F78"/>
    <w:rsid w:val="00031195"/>
    <w:rsid w:val="00031816"/>
    <w:rsid w:val="000318B0"/>
    <w:rsid w:val="00031D83"/>
    <w:rsid w:val="00032410"/>
    <w:rsid w:val="0003246E"/>
    <w:rsid w:val="00032663"/>
    <w:rsid w:val="00032C2B"/>
    <w:rsid w:val="0003335D"/>
    <w:rsid w:val="00033685"/>
    <w:rsid w:val="000336AE"/>
    <w:rsid w:val="000336C0"/>
    <w:rsid w:val="0003403C"/>
    <w:rsid w:val="000342F0"/>
    <w:rsid w:val="000347C0"/>
    <w:rsid w:val="00034B9C"/>
    <w:rsid w:val="00034DA9"/>
    <w:rsid w:val="00035140"/>
    <w:rsid w:val="000356A1"/>
    <w:rsid w:val="00035C1E"/>
    <w:rsid w:val="00036306"/>
    <w:rsid w:val="000365C5"/>
    <w:rsid w:val="000369F0"/>
    <w:rsid w:val="00036D15"/>
    <w:rsid w:val="0003713F"/>
    <w:rsid w:val="00037388"/>
    <w:rsid w:val="000373DC"/>
    <w:rsid w:val="0003768A"/>
    <w:rsid w:val="00037BE8"/>
    <w:rsid w:val="00037D1A"/>
    <w:rsid w:val="00037FFE"/>
    <w:rsid w:val="0004007D"/>
    <w:rsid w:val="0004008A"/>
    <w:rsid w:val="00040332"/>
    <w:rsid w:val="0004048B"/>
    <w:rsid w:val="0004067E"/>
    <w:rsid w:val="00040A89"/>
    <w:rsid w:val="00040BA8"/>
    <w:rsid w:val="00040DFD"/>
    <w:rsid w:val="0004137A"/>
    <w:rsid w:val="00041562"/>
    <w:rsid w:val="00041834"/>
    <w:rsid w:val="000419B6"/>
    <w:rsid w:val="00041A0A"/>
    <w:rsid w:val="00041F2B"/>
    <w:rsid w:val="000420B3"/>
    <w:rsid w:val="000421B0"/>
    <w:rsid w:val="000428CB"/>
    <w:rsid w:val="00042D49"/>
    <w:rsid w:val="00043736"/>
    <w:rsid w:val="0004381B"/>
    <w:rsid w:val="0004420F"/>
    <w:rsid w:val="00044557"/>
    <w:rsid w:val="0004456F"/>
    <w:rsid w:val="00044869"/>
    <w:rsid w:val="00044FD2"/>
    <w:rsid w:val="000456FC"/>
    <w:rsid w:val="00046262"/>
    <w:rsid w:val="00046306"/>
    <w:rsid w:val="000463C8"/>
    <w:rsid w:val="0004642D"/>
    <w:rsid w:val="00046801"/>
    <w:rsid w:val="0004710F"/>
    <w:rsid w:val="0004739B"/>
    <w:rsid w:val="00047567"/>
    <w:rsid w:val="00047648"/>
    <w:rsid w:val="000477EE"/>
    <w:rsid w:val="00047814"/>
    <w:rsid w:val="00047FA5"/>
    <w:rsid w:val="000500FC"/>
    <w:rsid w:val="00050343"/>
    <w:rsid w:val="00050696"/>
    <w:rsid w:val="000516C1"/>
    <w:rsid w:val="00051947"/>
    <w:rsid w:val="00051ED5"/>
    <w:rsid w:val="00052009"/>
    <w:rsid w:val="00052806"/>
    <w:rsid w:val="00052851"/>
    <w:rsid w:val="00052D9F"/>
    <w:rsid w:val="00052E3F"/>
    <w:rsid w:val="000532C9"/>
    <w:rsid w:val="00053449"/>
    <w:rsid w:val="0005386E"/>
    <w:rsid w:val="00053AFB"/>
    <w:rsid w:val="00053C50"/>
    <w:rsid w:val="00053EB4"/>
    <w:rsid w:val="00053EEF"/>
    <w:rsid w:val="000541C3"/>
    <w:rsid w:val="00054378"/>
    <w:rsid w:val="000546AD"/>
    <w:rsid w:val="00054CB5"/>
    <w:rsid w:val="00055719"/>
    <w:rsid w:val="00056064"/>
    <w:rsid w:val="000567F0"/>
    <w:rsid w:val="00056AB3"/>
    <w:rsid w:val="000575D5"/>
    <w:rsid w:val="000578E9"/>
    <w:rsid w:val="00057B08"/>
    <w:rsid w:val="00057C94"/>
    <w:rsid w:val="00060155"/>
    <w:rsid w:val="0006025A"/>
    <w:rsid w:val="000602C9"/>
    <w:rsid w:val="00060306"/>
    <w:rsid w:val="00060424"/>
    <w:rsid w:val="00060C6C"/>
    <w:rsid w:val="00060C86"/>
    <w:rsid w:val="00060FAB"/>
    <w:rsid w:val="00060FB2"/>
    <w:rsid w:val="000619FB"/>
    <w:rsid w:val="000621C5"/>
    <w:rsid w:val="0006233E"/>
    <w:rsid w:val="00062C44"/>
    <w:rsid w:val="00062D94"/>
    <w:rsid w:val="00062FA0"/>
    <w:rsid w:val="000630F6"/>
    <w:rsid w:val="00063107"/>
    <w:rsid w:val="00063231"/>
    <w:rsid w:val="000633A3"/>
    <w:rsid w:val="00063634"/>
    <w:rsid w:val="00063968"/>
    <w:rsid w:val="000645C9"/>
    <w:rsid w:val="0006469C"/>
    <w:rsid w:val="000646B1"/>
    <w:rsid w:val="00064838"/>
    <w:rsid w:val="0006505D"/>
    <w:rsid w:val="00065255"/>
    <w:rsid w:val="00065470"/>
    <w:rsid w:val="00065650"/>
    <w:rsid w:val="00065F3B"/>
    <w:rsid w:val="00066135"/>
    <w:rsid w:val="00066B12"/>
    <w:rsid w:val="00066B2D"/>
    <w:rsid w:val="00066D48"/>
    <w:rsid w:val="00067130"/>
    <w:rsid w:val="00067526"/>
    <w:rsid w:val="00067674"/>
    <w:rsid w:val="0006777F"/>
    <w:rsid w:val="000701AF"/>
    <w:rsid w:val="00070257"/>
    <w:rsid w:val="00070597"/>
    <w:rsid w:val="0007066A"/>
    <w:rsid w:val="00071585"/>
    <w:rsid w:val="000718E9"/>
    <w:rsid w:val="000719AE"/>
    <w:rsid w:val="00071B82"/>
    <w:rsid w:val="00071DB1"/>
    <w:rsid w:val="00071F0B"/>
    <w:rsid w:val="000720FE"/>
    <w:rsid w:val="00072100"/>
    <w:rsid w:val="00072535"/>
    <w:rsid w:val="0007283C"/>
    <w:rsid w:val="0007285B"/>
    <w:rsid w:val="00072C6C"/>
    <w:rsid w:val="00072E6A"/>
    <w:rsid w:val="0007358B"/>
    <w:rsid w:val="00073B20"/>
    <w:rsid w:val="00073D04"/>
    <w:rsid w:val="00074179"/>
    <w:rsid w:val="0007476A"/>
    <w:rsid w:val="000749CF"/>
    <w:rsid w:val="00074CB0"/>
    <w:rsid w:val="00074DD1"/>
    <w:rsid w:val="000761F1"/>
    <w:rsid w:val="0007649E"/>
    <w:rsid w:val="000768E3"/>
    <w:rsid w:val="00076A0A"/>
    <w:rsid w:val="00076C23"/>
    <w:rsid w:val="00076D37"/>
    <w:rsid w:val="0007715B"/>
    <w:rsid w:val="00077376"/>
    <w:rsid w:val="000774AA"/>
    <w:rsid w:val="00077DD7"/>
    <w:rsid w:val="0008006D"/>
    <w:rsid w:val="00080892"/>
    <w:rsid w:val="00080F2E"/>
    <w:rsid w:val="0008110A"/>
    <w:rsid w:val="000812E2"/>
    <w:rsid w:val="000816E0"/>
    <w:rsid w:val="000817DF"/>
    <w:rsid w:val="00081A10"/>
    <w:rsid w:val="00081A3A"/>
    <w:rsid w:val="00081EA1"/>
    <w:rsid w:val="00082321"/>
    <w:rsid w:val="00082AF5"/>
    <w:rsid w:val="00083BC8"/>
    <w:rsid w:val="00084CDF"/>
    <w:rsid w:val="00084EDA"/>
    <w:rsid w:val="00085301"/>
    <w:rsid w:val="000858DE"/>
    <w:rsid w:val="00086076"/>
    <w:rsid w:val="00086592"/>
    <w:rsid w:val="00086F56"/>
    <w:rsid w:val="000873F1"/>
    <w:rsid w:val="000878EE"/>
    <w:rsid w:val="00087A56"/>
    <w:rsid w:val="00087A97"/>
    <w:rsid w:val="000905C5"/>
    <w:rsid w:val="000914A8"/>
    <w:rsid w:val="000917C9"/>
    <w:rsid w:val="00091E22"/>
    <w:rsid w:val="00091F63"/>
    <w:rsid w:val="000923D1"/>
    <w:rsid w:val="000925AF"/>
    <w:rsid w:val="000926DB"/>
    <w:rsid w:val="00092C80"/>
    <w:rsid w:val="000930A2"/>
    <w:rsid w:val="000930B2"/>
    <w:rsid w:val="00093389"/>
    <w:rsid w:val="00093483"/>
    <w:rsid w:val="000937DE"/>
    <w:rsid w:val="000938C0"/>
    <w:rsid w:val="00093AD6"/>
    <w:rsid w:val="00093C77"/>
    <w:rsid w:val="00093D5B"/>
    <w:rsid w:val="00094138"/>
    <w:rsid w:val="000942CA"/>
    <w:rsid w:val="00094784"/>
    <w:rsid w:val="000952DA"/>
    <w:rsid w:val="000958AA"/>
    <w:rsid w:val="00095948"/>
    <w:rsid w:val="00095A93"/>
    <w:rsid w:val="0009628F"/>
    <w:rsid w:val="00096558"/>
    <w:rsid w:val="0009660B"/>
    <w:rsid w:val="00096713"/>
    <w:rsid w:val="00096A4C"/>
    <w:rsid w:val="00096F74"/>
    <w:rsid w:val="00096FCF"/>
    <w:rsid w:val="00097545"/>
    <w:rsid w:val="000A0A6F"/>
    <w:rsid w:val="000A0C5F"/>
    <w:rsid w:val="000A100D"/>
    <w:rsid w:val="000A139E"/>
    <w:rsid w:val="000A1429"/>
    <w:rsid w:val="000A1B13"/>
    <w:rsid w:val="000A1F5F"/>
    <w:rsid w:val="000A273D"/>
    <w:rsid w:val="000A27A5"/>
    <w:rsid w:val="000A359A"/>
    <w:rsid w:val="000A3757"/>
    <w:rsid w:val="000A384D"/>
    <w:rsid w:val="000A3BEE"/>
    <w:rsid w:val="000A416C"/>
    <w:rsid w:val="000A425B"/>
    <w:rsid w:val="000A4A5A"/>
    <w:rsid w:val="000A4C36"/>
    <w:rsid w:val="000A5353"/>
    <w:rsid w:val="000A5787"/>
    <w:rsid w:val="000A6B17"/>
    <w:rsid w:val="000A6B6E"/>
    <w:rsid w:val="000A6F51"/>
    <w:rsid w:val="000A79E6"/>
    <w:rsid w:val="000A7BE9"/>
    <w:rsid w:val="000B045D"/>
    <w:rsid w:val="000B09DB"/>
    <w:rsid w:val="000B0A02"/>
    <w:rsid w:val="000B2103"/>
    <w:rsid w:val="000B2589"/>
    <w:rsid w:val="000B2B4A"/>
    <w:rsid w:val="000B30E6"/>
    <w:rsid w:val="000B38A9"/>
    <w:rsid w:val="000B3EC4"/>
    <w:rsid w:val="000B3FEA"/>
    <w:rsid w:val="000B41E8"/>
    <w:rsid w:val="000B4344"/>
    <w:rsid w:val="000B4433"/>
    <w:rsid w:val="000B45D2"/>
    <w:rsid w:val="000B46A9"/>
    <w:rsid w:val="000B4915"/>
    <w:rsid w:val="000B4A2C"/>
    <w:rsid w:val="000B4AE0"/>
    <w:rsid w:val="000B4C71"/>
    <w:rsid w:val="000B580B"/>
    <w:rsid w:val="000B5900"/>
    <w:rsid w:val="000B608D"/>
    <w:rsid w:val="000B62E0"/>
    <w:rsid w:val="000B6885"/>
    <w:rsid w:val="000B7472"/>
    <w:rsid w:val="000B7969"/>
    <w:rsid w:val="000B7F1D"/>
    <w:rsid w:val="000C02BC"/>
    <w:rsid w:val="000C0EDA"/>
    <w:rsid w:val="000C1FF7"/>
    <w:rsid w:val="000C2241"/>
    <w:rsid w:val="000C27A4"/>
    <w:rsid w:val="000C2916"/>
    <w:rsid w:val="000C2D43"/>
    <w:rsid w:val="000C2F59"/>
    <w:rsid w:val="000C3240"/>
    <w:rsid w:val="000C3450"/>
    <w:rsid w:val="000C3795"/>
    <w:rsid w:val="000C3CFD"/>
    <w:rsid w:val="000C4075"/>
    <w:rsid w:val="000C46E0"/>
    <w:rsid w:val="000C480B"/>
    <w:rsid w:val="000C51D2"/>
    <w:rsid w:val="000C5ADF"/>
    <w:rsid w:val="000C5C3E"/>
    <w:rsid w:val="000C5C95"/>
    <w:rsid w:val="000C6451"/>
    <w:rsid w:val="000C6C98"/>
    <w:rsid w:val="000C71BD"/>
    <w:rsid w:val="000C7B3C"/>
    <w:rsid w:val="000C7CA0"/>
    <w:rsid w:val="000D01C5"/>
    <w:rsid w:val="000D039A"/>
    <w:rsid w:val="000D039C"/>
    <w:rsid w:val="000D05BA"/>
    <w:rsid w:val="000D05EB"/>
    <w:rsid w:val="000D06B4"/>
    <w:rsid w:val="000D0A2A"/>
    <w:rsid w:val="000D0E0B"/>
    <w:rsid w:val="000D0EA4"/>
    <w:rsid w:val="000D0EB3"/>
    <w:rsid w:val="000D150B"/>
    <w:rsid w:val="000D1C6C"/>
    <w:rsid w:val="000D2494"/>
    <w:rsid w:val="000D293F"/>
    <w:rsid w:val="000D2A24"/>
    <w:rsid w:val="000D32B4"/>
    <w:rsid w:val="000D353E"/>
    <w:rsid w:val="000D36AF"/>
    <w:rsid w:val="000D376C"/>
    <w:rsid w:val="000D37F1"/>
    <w:rsid w:val="000D389C"/>
    <w:rsid w:val="000D3DA4"/>
    <w:rsid w:val="000D44E2"/>
    <w:rsid w:val="000D4652"/>
    <w:rsid w:val="000D4AC8"/>
    <w:rsid w:val="000D4C8A"/>
    <w:rsid w:val="000D4D46"/>
    <w:rsid w:val="000D506F"/>
    <w:rsid w:val="000D5182"/>
    <w:rsid w:val="000D52E3"/>
    <w:rsid w:val="000D56DC"/>
    <w:rsid w:val="000D5711"/>
    <w:rsid w:val="000D5BA5"/>
    <w:rsid w:val="000D5CB5"/>
    <w:rsid w:val="000D5E56"/>
    <w:rsid w:val="000D61D5"/>
    <w:rsid w:val="000D667B"/>
    <w:rsid w:val="000D667F"/>
    <w:rsid w:val="000D6820"/>
    <w:rsid w:val="000D69B5"/>
    <w:rsid w:val="000D6A8E"/>
    <w:rsid w:val="000D6B44"/>
    <w:rsid w:val="000D6CB1"/>
    <w:rsid w:val="000D73D2"/>
    <w:rsid w:val="000D7647"/>
    <w:rsid w:val="000D7A7C"/>
    <w:rsid w:val="000E0609"/>
    <w:rsid w:val="000E07FA"/>
    <w:rsid w:val="000E0819"/>
    <w:rsid w:val="000E0B21"/>
    <w:rsid w:val="000E0D7D"/>
    <w:rsid w:val="000E1359"/>
    <w:rsid w:val="000E15B7"/>
    <w:rsid w:val="000E16FA"/>
    <w:rsid w:val="000E175C"/>
    <w:rsid w:val="000E19CF"/>
    <w:rsid w:val="000E1D09"/>
    <w:rsid w:val="000E1E35"/>
    <w:rsid w:val="000E1EAC"/>
    <w:rsid w:val="000E2888"/>
    <w:rsid w:val="000E30C5"/>
    <w:rsid w:val="000E35E7"/>
    <w:rsid w:val="000E3838"/>
    <w:rsid w:val="000E3956"/>
    <w:rsid w:val="000E44FE"/>
    <w:rsid w:val="000E46B6"/>
    <w:rsid w:val="000E46B8"/>
    <w:rsid w:val="000E4861"/>
    <w:rsid w:val="000E4B97"/>
    <w:rsid w:val="000E4DF3"/>
    <w:rsid w:val="000E5000"/>
    <w:rsid w:val="000E550A"/>
    <w:rsid w:val="000E57C6"/>
    <w:rsid w:val="000E5F8B"/>
    <w:rsid w:val="000E62E8"/>
    <w:rsid w:val="000E67B4"/>
    <w:rsid w:val="000E69E8"/>
    <w:rsid w:val="000E6E08"/>
    <w:rsid w:val="000E70BB"/>
    <w:rsid w:val="000E7E7A"/>
    <w:rsid w:val="000E7FFB"/>
    <w:rsid w:val="000F0534"/>
    <w:rsid w:val="000F063A"/>
    <w:rsid w:val="000F075C"/>
    <w:rsid w:val="000F122A"/>
    <w:rsid w:val="000F1336"/>
    <w:rsid w:val="000F147F"/>
    <w:rsid w:val="000F1796"/>
    <w:rsid w:val="000F1836"/>
    <w:rsid w:val="000F184A"/>
    <w:rsid w:val="000F1D64"/>
    <w:rsid w:val="000F1E9B"/>
    <w:rsid w:val="000F1F9B"/>
    <w:rsid w:val="000F2613"/>
    <w:rsid w:val="000F2D9C"/>
    <w:rsid w:val="000F2DB7"/>
    <w:rsid w:val="000F31EC"/>
    <w:rsid w:val="000F3618"/>
    <w:rsid w:val="000F3A06"/>
    <w:rsid w:val="000F3C8C"/>
    <w:rsid w:val="000F3CF7"/>
    <w:rsid w:val="000F47E3"/>
    <w:rsid w:val="000F4AAA"/>
    <w:rsid w:val="000F4C89"/>
    <w:rsid w:val="000F4CA9"/>
    <w:rsid w:val="000F502E"/>
    <w:rsid w:val="000F576D"/>
    <w:rsid w:val="000F584D"/>
    <w:rsid w:val="000F6201"/>
    <w:rsid w:val="000F656D"/>
    <w:rsid w:val="000F6D31"/>
    <w:rsid w:val="000F7425"/>
    <w:rsid w:val="000F7487"/>
    <w:rsid w:val="000F7A2B"/>
    <w:rsid w:val="000F7C7E"/>
    <w:rsid w:val="000F7D41"/>
    <w:rsid w:val="001000B3"/>
    <w:rsid w:val="001008C8"/>
    <w:rsid w:val="00100B83"/>
    <w:rsid w:val="00100DF8"/>
    <w:rsid w:val="00101365"/>
    <w:rsid w:val="00101DF5"/>
    <w:rsid w:val="001029A0"/>
    <w:rsid w:val="00103463"/>
    <w:rsid w:val="00103782"/>
    <w:rsid w:val="00103A41"/>
    <w:rsid w:val="00104023"/>
    <w:rsid w:val="0010431F"/>
    <w:rsid w:val="001046D5"/>
    <w:rsid w:val="00104928"/>
    <w:rsid w:val="00104984"/>
    <w:rsid w:val="00104A03"/>
    <w:rsid w:val="00105276"/>
    <w:rsid w:val="00105AB7"/>
    <w:rsid w:val="00105B1C"/>
    <w:rsid w:val="00105B32"/>
    <w:rsid w:val="00105DA9"/>
    <w:rsid w:val="001065DA"/>
    <w:rsid w:val="001074F5"/>
    <w:rsid w:val="001077E8"/>
    <w:rsid w:val="0010788C"/>
    <w:rsid w:val="001100B4"/>
    <w:rsid w:val="00110D77"/>
    <w:rsid w:val="00110EBE"/>
    <w:rsid w:val="00112CAA"/>
    <w:rsid w:val="00112D98"/>
    <w:rsid w:val="00112F1C"/>
    <w:rsid w:val="00113941"/>
    <w:rsid w:val="001147F4"/>
    <w:rsid w:val="00114BF2"/>
    <w:rsid w:val="001151C6"/>
    <w:rsid w:val="001153EC"/>
    <w:rsid w:val="00115761"/>
    <w:rsid w:val="001158AA"/>
    <w:rsid w:val="001161EB"/>
    <w:rsid w:val="0011666C"/>
    <w:rsid w:val="00116A2D"/>
    <w:rsid w:val="00116A53"/>
    <w:rsid w:val="00116FC6"/>
    <w:rsid w:val="00116FCC"/>
    <w:rsid w:val="00117B72"/>
    <w:rsid w:val="00117BDE"/>
    <w:rsid w:val="00120854"/>
    <w:rsid w:val="00121270"/>
    <w:rsid w:val="001214AF"/>
    <w:rsid w:val="001214C8"/>
    <w:rsid w:val="001215EE"/>
    <w:rsid w:val="00121827"/>
    <w:rsid w:val="00121D69"/>
    <w:rsid w:val="00122C7D"/>
    <w:rsid w:val="00123035"/>
    <w:rsid w:val="001236A7"/>
    <w:rsid w:val="00124834"/>
    <w:rsid w:val="0012493B"/>
    <w:rsid w:val="00124A5D"/>
    <w:rsid w:val="001251E4"/>
    <w:rsid w:val="00125316"/>
    <w:rsid w:val="00125685"/>
    <w:rsid w:val="001256DE"/>
    <w:rsid w:val="00125B2D"/>
    <w:rsid w:val="00125F27"/>
    <w:rsid w:val="001263AE"/>
    <w:rsid w:val="001267E4"/>
    <w:rsid w:val="00126B8D"/>
    <w:rsid w:val="0012704D"/>
    <w:rsid w:val="001270D3"/>
    <w:rsid w:val="0012720D"/>
    <w:rsid w:val="00127A23"/>
    <w:rsid w:val="00130150"/>
    <w:rsid w:val="001303CD"/>
    <w:rsid w:val="00130424"/>
    <w:rsid w:val="00130651"/>
    <w:rsid w:val="001306FC"/>
    <w:rsid w:val="0013117F"/>
    <w:rsid w:val="0013124B"/>
    <w:rsid w:val="001313FC"/>
    <w:rsid w:val="0013145C"/>
    <w:rsid w:val="0013170F"/>
    <w:rsid w:val="00131DBB"/>
    <w:rsid w:val="00133300"/>
    <w:rsid w:val="00133534"/>
    <w:rsid w:val="001338FA"/>
    <w:rsid w:val="00133B46"/>
    <w:rsid w:val="00133B60"/>
    <w:rsid w:val="00134259"/>
    <w:rsid w:val="001343F6"/>
    <w:rsid w:val="001344E3"/>
    <w:rsid w:val="0013478B"/>
    <w:rsid w:val="001348B0"/>
    <w:rsid w:val="00134ABA"/>
    <w:rsid w:val="001354CC"/>
    <w:rsid w:val="001354DB"/>
    <w:rsid w:val="001359B5"/>
    <w:rsid w:val="00135C47"/>
    <w:rsid w:val="00135DC5"/>
    <w:rsid w:val="00136199"/>
    <w:rsid w:val="00136318"/>
    <w:rsid w:val="00136341"/>
    <w:rsid w:val="00136A03"/>
    <w:rsid w:val="00136BE1"/>
    <w:rsid w:val="0013732B"/>
    <w:rsid w:val="001378F2"/>
    <w:rsid w:val="00140772"/>
    <w:rsid w:val="00140848"/>
    <w:rsid w:val="00140AA6"/>
    <w:rsid w:val="00140E6A"/>
    <w:rsid w:val="001411B7"/>
    <w:rsid w:val="001411CA"/>
    <w:rsid w:val="001412ED"/>
    <w:rsid w:val="00141362"/>
    <w:rsid w:val="00141B11"/>
    <w:rsid w:val="00141FAA"/>
    <w:rsid w:val="00142192"/>
    <w:rsid w:val="00142199"/>
    <w:rsid w:val="001424FD"/>
    <w:rsid w:val="00142A51"/>
    <w:rsid w:val="00142FDF"/>
    <w:rsid w:val="00143113"/>
    <w:rsid w:val="0014393A"/>
    <w:rsid w:val="00143DFC"/>
    <w:rsid w:val="00144282"/>
    <w:rsid w:val="0014458A"/>
    <w:rsid w:val="00144989"/>
    <w:rsid w:val="00144CE5"/>
    <w:rsid w:val="0014518F"/>
    <w:rsid w:val="00145510"/>
    <w:rsid w:val="00145511"/>
    <w:rsid w:val="00145851"/>
    <w:rsid w:val="00145CA9"/>
    <w:rsid w:val="001467DB"/>
    <w:rsid w:val="00146DA7"/>
    <w:rsid w:val="00147625"/>
    <w:rsid w:val="0014777F"/>
    <w:rsid w:val="00147B54"/>
    <w:rsid w:val="00147CB3"/>
    <w:rsid w:val="00147FB3"/>
    <w:rsid w:val="001507BF"/>
    <w:rsid w:val="001513C4"/>
    <w:rsid w:val="00151413"/>
    <w:rsid w:val="001516E9"/>
    <w:rsid w:val="001517E2"/>
    <w:rsid w:val="0015181A"/>
    <w:rsid w:val="001519EB"/>
    <w:rsid w:val="00151D6B"/>
    <w:rsid w:val="001526A0"/>
    <w:rsid w:val="00152D11"/>
    <w:rsid w:val="00152D4B"/>
    <w:rsid w:val="00152D69"/>
    <w:rsid w:val="001531DF"/>
    <w:rsid w:val="00153223"/>
    <w:rsid w:val="00153476"/>
    <w:rsid w:val="00153853"/>
    <w:rsid w:val="001539A0"/>
    <w:rsid w:val="001545D0"/>
    <w:rsid w:val="00154690"/>
    <w:rsid w:val="00154C04"/>
    <w:rsid w:val="001551E0"/>
    <w:rsid w:val="001564B0"/>
    <w:rsid w:val="00156526"/>
    <w:rsid w:val="00157016"/>
    <w:rsid w:val="0015779E"/>
    <w:rsid w:val="001577F1"/>
    <w:rsid w:val="00157A0B"/>
    <w:rsid w:val="00157AC4"/>
    <w:rsid w:val="0016012C"/>
    <w:rsid w:val="0016040A"/>
    <w:rsid w:val="001606B6"/>
    <w:rsid w:val="00160EE8"/>
    <w:rsid w:val="00161519"/>
    <w:rsid w:val="00162BD1"/>
    <w:rsid w:val="00163B13"/>
    <w:rsid w:val="00163BE9"/>
    <w:rsid w:val="00163CBC"/>
    <w:rsid w:val="00163FFB"/>
    <w:rsid w:val="00164086"/>
    <w:rsid w:val="00164770"/>
    <w:rsid w:val="0016498A"/>
    <w:rsid w:val="00164AB2"/>
    <w:rsid w:val="00164C2C"/>
    <w:rsid w:val="00165478"/>
    <w:rsid w:val="00165548"/>
    <w:rsid w:val="00165B55"/>
    <w:rsid w:val="001660AA"/>
    <w:rsid w:val="001661B7"/>
    <w:rsid w:val="00166D38"/>
    <w:rsid w:val="00166DB1"/>
    <w:rsid w:val="00166EFC"/>
    <w:rsid w:val="001677E0"/>
    <w:rsid w:val="00167A04"/>
    <w:rsid w:val="00167C68"/>
    <w:rsid w:val="00167D2F"/>
    <w:rsid w:val="0017087F"/>
    <w:rsid w:val="00171C44"/>
    <w:rsid w:val="00171D29"/>
    <w:rsid w:val="00171EB1"/>
    <w:rsid w:val="00172198"/>
    <w:rsid w:val="0017268A"/>
    <w:rsid w:val="00172C57"/>
    <w:rsid w:val="00172D4F"/>
    <w:rsid w:val="00172E76"/>
    <w:rsid w:val="0017389B"/>
    <w:rsid w:val="0017405E"/>
    <w:rsid w:val="0017414F"/>
    <w:rsid w:val="00174557"/>
    <w:rsid w:val="0017494A"/>
    <w:rsid w:val="00174AC1"/>
    <w:rsid w:val="00174BA7"/>
    <w:rsid w:val="001751FC"/>
    <w:rsid w:val="00175352"/>
    <w:rsid w:val="0017559B"/>
    <w:rsid w:val="00175F39"/>
    <w:rsid w:val="00176AF7"/>
    <w:rsid w:val="00176BE8"/>
    <w:rsid w:val="00177441"/>
    <w:rsid w:val="00177B97"/>
    <w:rsid w:val="00177BEB"/>
    <w:rsid w:val="0018073E"/>
    <w:rsid w:val="00180C8A"/>
    <w:rsid w:val="00180E87"/>
    <w:rsid w:val="00181149"/>
    <w:rsid w:val="00181179"/>
    <w:rsid w:val="0018128A"/>
    <w:rsid w:val="00181400"/>
    <w:rsid w:val="0018164B"/>
    <w:rsid w:val="00181654"/>
    <w:rsid w:val="001817CA"/>
    <w:rsid w:val="00181B32"/>
    <w:rsid w:val="00181E4A"/>
    <w:rsid w:val="00182186"/>
    <w:rsid w:val="00182631"/>
    <w:rsid w:val="001826E6"/>
    <w:rsid w:val="00182BA7"/>
    <w:rsid w:val="00182CCE"/>
    <w:rsid w:val="001830E4"/>
    <w:rsid w:val="00183421"/>
    <w:rsid w:val="0018483F"/>
    <w:rsid w:val="00184AB2"/>
    <w:rsid w:val="00184C61"/>
    <w:rsid w:val="00184CA5"/>
    <w:rsid w:val="00185053"/>
    <w:rsid w:val="00185919"/>
    <w:rsid w:val="00185AA9"/>
    <w:rsid w:val="00185C8E"/>
    <w:rsid w:val="00185F30"/>
    <w:rsid w:val="0018708D"/>
    <w:rsid w:val="001871E9"/>
    <w:rsid w:val="00187774"/>
    <w:rsid w:val="00187AEA"/>
    <w:rsid w:val="00187B0E"/>
    <w:rsid w:val="00187E0C"/>
    <w:rsid w:val="00190076"/>
    <w:rsid w:val="0019087A"/>
    <w:rsid w:val="00190AFA"/>
    <w:rsid w:val="00190E7B"/>
    <w:rsid w:val="00191433"/>
    <w:rsid w:val="0019157D"/>
    <w:rsid w:val="0019162D"/>
    <w:rsid w:val="00191AD0"/>
    <w:rsid w:val="00191C51"/>
    <w:rsid w:val="00192AAD"/>
    <w:rsid w:val="00192AFD"/>
    <w:rsid w:val="001931C5"/>
    <w:rsid w:val="001933B5"/>
    <w:rsid w:val="00193499"/>
    <w:rsid w:val="001934C7"/>
    <w:rsid w:val="00193696"/>
    <w:rsid w:val="0019386E"/>
    <w:rsid w:val="00193AD9"/>
    <w:rsid w:val="001943E3"/>
    <w:rsid w:val="00194742"/>
    <w:rsid w:val="0019476A"/>
    <w:rsid w:val="001947C7"/>
    <w:rsid w:val="00195045"/>
    <w:rsid w:val="00195230"/>
    <w:rsid w:val="0019526A"/>
    <w:rsid w:val="00195AE5"/>
    <w:rsid w:val="0019646B"/>
    <w:rsid w:val="00196DED"/>
    <w:rsid w:val="0019715D"/>
    <w:rsid w:val="001976DB"/>
    <w:rsid w:val="00197864"/>
    <w:rsid w:val="00197A36"/>
    <w:rsid w:val="00197E15"/>
    <w:rsid w:val="001A0034"/>
    <w:rsid w:val="001A090F"/>
    <w:rsid w:val="001A0A08"/>
    <w:rsid w:val="001A0E84"/>
    <w:rsid w:val="001A0F40"/>
    <w:rsid w:val="001A107D"/>
    <w:rsid w:val="001A13BC"/>
    <w:rsid w:val="001A1599"/>
    <w:rsid w:val="001A1B08"/>
    <w:rsid w:val="001A1C83"/>
    <w:rsid w:val="001A1F08"/>
    <w:rsid w:val="001A1FA9"/>
    <w:rsid w:val="001A219D"/>
    <w:rsid w:val="001A22D0"/>
    <w:rsid w:val="001A2B31"/>
    <w:rsid w:val="001A2B57"/>
    <w:rsid w:val="001A2D2A"/>
    <w:rsid w:val="001A2F4F"/>
    <w:rsid w:val="001A3A08"/>
    <w:rsid w:val="001A3C21"/>
    <w:rsid w:val="001A3C5F"/>
    <w:rsid w:val="001A3FA5"/>
    <w:rsid w:val="001A3FE1"/>
    <w:rsid w:val="001A41BE"/>
    <w:rsid w:val="001A4C39"/>
    <w:rsid w:val="001A52EA"/>
    <w:rsid w:val="001A5432"/>
    <w:rsid w:val="001A5BF5"/>
    <w:rsid w:val="001A6648"/>
    <w:rsid w:val="001A689E"/>
    <w:rsid w:val="001A696A"/>
    <w:rsid w:val="001A6BE0"/>
    <w:rsid w:val="001A6C8D"/>
    <w:rsid w:val="001A6F1B"/>
    <w:rsid w:val="001A7602"/>
    <w:rsid w:val="001A7EA5"/>
    <w:rsid w:val="001B054A"/>
    <w:rsid w:val="001B05CE"/>
    <w:rsid w:val="001B05DF"/>
    <w:rsid w:val="001B08DB"/>
    <w:rsid w:val="001B0916"/>
    <w:rsid w:val="001B0937"/>
    <w:rsid w:val="001B0DAB"/>
    <w:rsid w:val="001B0DEC"/>
    <w:rsid w:val="001B0E65"/>
    <w:rsid w:val="001B0F8A"/>
    <w:rsid w:val="001B105C"/>
    <w:rsid w:val="001B16B5"/>
    <w:rsid w:val="001B2410"/>
    <w:rsid w:val="001B2973"/>
    <w:rsid w:val="001B2EE8"/>
    <w:rsid w:val="001B2F80"/>
    <w:rsid w:val="001B3422"/>
    <w:rsid w:val="001B3782"/>
    <w:rsid w:val="001B39F8"/>
    <w:rsid w:val="001B3A0C"/>
    <w:rsid w:val="001B4344"/>
    <w:rsid w:val="001B5268"/>
    <w:rsid w:val="001B549B"/>
    <w:rsid w:val="001B54B5"/>
    <w:rsid w:val="001B5591"/>
    <w:rsid w:val="001B5847"/>
    <w:rsid w:val="001B593C"/>
    <w:rsid w:val="001B699E"/>
    <w:rsid w:val="001B73EE"/>
    <w:rsid w:val="001B789B"/>
    <w:rsid w:val="001B78A2"/>
    <w:rsid w:val="001B7DE9"/>
    <w:rsid w:val="001B7EBD"/>
    <w:rsid w:val="001C03E3"/>
    <w:rsid w:val="001C0FBA"/>
    <w:rsid w:val="001C1057"/>
    <w:rsid w:val="001C10DB"/>
    <w:rsid w:val="001C13DF"/>
    <w:rsid w:val="001C1701"/>
    <w:rsid w:val="001C1753"/>
    <w:rsid w:val="001C1E78"/>
    <w:rsid w:val="001C1EE1"/>
    <w:rsid w:val="001C296E"/>
    <w:rsid w:val="001C2CE6"/>
    <w:rsid w:val="001C307E"/>
    <w:rsid w:val="001C32ED"/>
    <w:rsid w:val="001C377C"/>
    <w:rsid w:val="001C38E9"/>
    <w:rsid w:val="001C418D"/>
    <w:rsid w:val="001C4350"/>
    <w:rsid w:val="001C4F35"/>
    <w:rsid w:val="001C4FC4"/>
    <w:rsid w:val="001C54E3"/>
    <w:rsid w:val="001C60E5"/>
    <w:rsid w:val="001C653C"/>
    <w:rsid w:val="001C6616"/>
    <w:rsid w:val="001C67AD"/>
    <w:rsid w:val="001C6A8F"/>
    <w:rsid w:val="001C6D59"/>
    <w:rsid w:val="001C6DE3"/>
    <w:rsid w:val="001C6E09"/>
    <w:rsid w:val="001C7064"/>
    <w:rsid w:val="001C74E5"/>
    <w:rsid w:val="001C7605"/>
    <w:rsid w:val="001C7799"/>
    <w:rsid w:val="001C7C77"/>
    <w:rsid w:val="001C7CFE"/>
    <w:rsid w:val="001D029C"/>
    <w:rsid w:val="001D0AF0"/>
    <w:rsid w:val="001D0F84"/>
    <w:rsid w:val="001D0FBE"/>
    <w:rsid w:val="001D11EB"/>
    <w:rsid w:val="001D196B"/>
    <w:rsid w:val="001D1993"/>
    <w:rsid w:val="001D1C4D"/>
    <w:rsid w:val="001D1FD9"/>
    <w:rsid w:val="001D250D"/>
    <w:rsid w:val="001D2B7A"/>
    <w:rsid w:val="001D31DE"/>
    <w:rsid w:val="001D32DD"/>
    <w:rsid w:val="001D3B44"/>
    <w:rsid w:val="001D3D26"/>
    <w:rsid w:val="001D3E53"/>
    <w:rsid w:val="001D4002"/>
    <w:rsid w:val="001D40CD"/>
    <w:rsid w:val="001D4119"/>
    <w:rsid w:val="001D41E9"/>
    <w:rsid w:val="001D4422"/>
    <w:rsid w:val="001D447D"/>
    <w:rsid w:val="001D5170"/>
    <w:rsid w:val="001D5214"/>
    <w:rsid w:val="001D5ADE"/>
    <w:rsid w:val="001D5FC8"/>
    <w:rsid w:val="001D6332"/>
    <w:rsid w:val="001D6666"/>
    <w:rsid w:val="001D7066"/>
    <w:rsid w:val="001D70FD"/>
    <w:rsid w:val="001D76B5"/>
    <w:rsid w:val="001D7E51"/>
    <w:rsid w:val="001E044B"/>
    <w:rsid w:val="001E058B"/>
    <w:rsid w:val="001E071F"/>
    <w:rsid w:val="001E0A80"/>
    <w:rsid w:val="001E0CC7"/>
    <w:rsid w:val="001E0ED9"/>
    <w:rsid w:val="001E0F8B"/>
    <w:rsid w:val="001E1071"/>
    <w:rsid w:val="001E11D0"/>
    <w:rsid w:val="001E1E79"/>
    <w:rsid w:val="001E1F3F"/>
    <w:rsid w:val="001E2336"/>
    <w:rsid w:val="001E27F6"/>
    <w:rsid w:val="001E3514"/>
    <w:rsid w:val="001E3888"/>
    <w:rsid w:val="001E41C9"/>
    <w:rsid w:val="001E456F"/>
    <w:rsid w:val="001E46E1"/>
    <w:rsid w:val="001E52AA"/>
    <w:rsid w:val="001E5859"/>
    <w:rsid w:val="001E5962"/>
    <w:rsid w:val="001E596C"/>
    <w:rsid w:val="001E5B8F"/>
    <w:rsid w:val="001E62C1"/>
    <w:rsid w:val="001E637D"/>
    <w:rsid w:val="001E696A"/>
    <w:rsid w:val="001E6FE1"/>
    <w:rsid w:val="001E712D"/>
    <w:rsid w:val="001E731F"/>
    <w:rsid w:val="001E7444"/>
    <w:rsid w:val="001E771C"/>
    <w:rsid w:val="001E786A"/>
    <w:rsid w:val="001E7A6B"/>
    <w:rsid w:val="001E7F68"/>
    <w:rsid w:val="001F0073"/>
    <w:rsid w:val="001F0A4B"/>
    <w:rsid w:val="001F12ED"/>
    <w:rsid w:val="001F13E6"/>
    <w:rsid w:val="001F182E"/>
    <w:rsid w:val="001F223A"/>
    <w:rsid w:val="001F25BF"/>
    <w:rsid w:val="001F2842"/>
    <w:rsid w:val="001F29E8"/>
    <w:rsid w:val="001F2AC2"/>
    <w:rsid w:val="001F2BE5"/>
    <w:rsid w:val="001F2D3F"/>
    <w:rsid w:val="001F2DDF"/>
    <w:rsid w:val="001F2DE1"/>
    <w:rsid w:val="001F2FE9"/>
    <w:rsid w:val="001F300C"/>
    <w:rsid w:val="001F399C"/>
    <w:rsid w:val="001F3AD6"/>
    <w:rsid w:val="001F43CF"/>
    <w:rsid w:val="001F4619"/>
    <w:rsid w:val="001F4763"/>
    <w:rsid w:val="001F496E"/>
    <w:rsid w:val="001F57F7"/>
    <w:rsid w:val="001F5BA1"/>
    <w:rsid w:val="001F5DE4"/>
    <w:rsid w:val="001F606F"/>
    <w:rsid w:val="001F626F"/>
    <w:rsid w:val="001F65A6"/>
    <w:rsid w:val="001F6B29"/>
    <w:rsid w:val="001F6C7A"/>
    <w:rsid w:val="001F6FF0"/>
    <w:rsid w:val="001F706E"/>
    <w:rsid w:val="001F7538"/>
    <w:rsid w:val="001F7A0E"/>
    <w:rsid w:val="001F7B74"/>
    <w:rsid w:val="001F7C6D"/>
    <w:rsid w:val="001F7D32"/>
    <w:rsid w:val="0020013E"/>
    <w:rsid w:val="002002E4"/>
    <w:rsid w:val="00200595"/>
    <w:rsid w:val="00200A92"/>
    <w:rsid w:val="00200FE2"/>
    <w:rsid w:val="002018CE"/>
    <w:rsid w:val="0020195F"/>
    <w:rsid w:val="00201A90"/>
    <w:rsid w:val="00202010"/>
    <w:rsid w:val="0020209F"/>
    <w:rsid w:val="00202342"/>
    <w:rsid w:val="0020243C"/>
    <w:rsid w:val="00202617"/>
    <w:rsid w:val="00202D2E"/>
    <w:rsid w:val="00202ED7"/>
    <w:rsid w:val="002031D3"/>
    <w:rsid w:val="00203DA8"/>
    <w:rsid w:val="00204946"/>
    <w:rsid w:val="00204F3E"/>
    <w:rsid w:val="00204F7B"/>
    <w:rsid w:val="002052E8"/>
    <w:rsid w:val="00205917"/>
    <w:rsid w:val="00205C71"/>
    <w:rsid w:val="00206019"/>
    <w:rsid w:val="0020647A"/>
    <w:rsid w:val="00206DA1"/>
    <w:rsid w:val="00206E80"/>
    <w:rsid w:val="00207480"/>
    <w:rsid w:val="00207C7C"/>
    <w:rsid w:val="00207D06"/>
    <w:rsid w:val="0021056D"/>
    <w:rsid w:val="0021125A"/>
    <w:rsid w:val="0021191A"/>
    <w:rsid w:val="00211C0B"/>
    <w:rsid w:val="002120ED"/>
    <w:rsid w:val="00212AC2"/>
    <w:rsid w:val="00212D06"/>
    <w:rsid w:val="00213033"/>
    <w:rsid w:val="002130D9"/>
    <w:rsid w:val="002139FA"/>
    <w:rsid w:val="00214474"/>
    <w:rsid w:val="00214606"/>
    <w:rsid w:val="00214DAE"/>
    <w:rsid w:val="002153DE"/>
    <w:rsid w:val="00215742"/>
    <w:rsid w:val="002158F2"/>
    <w:rsid w:val="002160B4"/>
    <w:rsid w:val="0021612C"/>
    <w:rsid w:val="0021677D"/>
    <w:rsid w:val="00216AA7"/>
    <w:rsid w:val="00217347"/>
    <w:rsid w:val="0021748B"/>
    <w:rsid w:val="002178D9"/>
    <w:rsid w:val="00217B01"/>
    <w:rsid w:val="00220047"/>
    <w:rsid w:val="00220814"/>
    <w:rsid w:val="00221593"/>
    <w:rsid w:val="00221A26"/>
    <w:rsid w:val="00221EBA"/>
    <w:rsid w:val="00221FF1"/>
    <w:rsid w:val="00222070"/>
    <w:rsid w:val="00222799"/>
    <w:rsid w:val="0022351A"/>
    <w:rsid w:val="002242E6"/>
    <w:rsid w:val="00224418"/>
    <w:rsid w:val="002248A8"/>
    <w:rsid w:val="002248F3"/>
    <w:rsid w:val="00224C0D"/>
    <w:rsid w:val="00224E07"/>
    <w:rsid w:val="002261CD"/>
    <w:rsid w:val="0022636D"/>
    <w:rsid w:val="0022637E"/>
    <w:rsid w:val="00227117"/>
    <w:rsid w:val="0022717B"/>
    <w:rsid w:val="002274A3"/>
    <w:rsid w:val="00227746"/>
    <w:rsid w:val="00227801"/>
    <w:rsid w:val="00227F3E"/>
    <w:rsid w:val="0023000E"/>
    <w:rsid w:val="0023080B"/>
    <w:rsid w:val="00230981"/>
    <w:rsid w:val="002311B7"/>
    <w:rsid w:val="00231342"/>
    <w:rsid w:val="00231494"/>
    <w:rsid w:val="00231A47"/>
    <w:rsid w:val="00232174"/>
    <w:rsid w:val="002321D3"/>
    <w:rsid w:val="00232229"/>
    <w:rsid w:val="00232355"/>
    <w:rsid w:val="0023249B"/>
    <w:rsid w:val="002325D6"/>
    <w:rsid w:val="002329FE"/>
    <w:rsid w:val="0023319D"/>
    <w:rsid w:val="002334B0"/>
    <w:rsid w:val="00233813"/>
    <w:rsid w:val="00234003"/>
    <w:rsid w:val="00234138"/>
    <w:rsid w:val="00234259"/>
    <w:rsid w:val="002342C0"/>
    <w:rsid w:val="002343A6"/>
    <w:rsid w:val="00234BEA"/>
    <w:rsid w:val="00234DAE"/>
    <w:rsid w:val="00235F1C"/>
    <w:rsid w:val="0023608F"/>
    <w:rsid w:val="00236C3E"/>
    <w:rsid w:val="00237009"/>
    <w:rsid w:val="0023736C"/>
    <w:rsid w:val="00237400"/>
    <w:rsid w:val="00237497"/>
    <w:rsid w:val="00237BE4"/>
    <w:rsid w:val="00237FAF"/>
    <w:rsid w:val="00240122"/>
    <w:rsid w:val="002402BA"/>
    <w:rsid w:val="00240777"/>
    <w:rsid w:val="002407A6"/>
    <w:rsid w:val="002413ED"/>
    <w:rsid w:val="0024158E"/>
    <w:rsid w:val="0024159F"/>
    <w:rsid w:val="0024176E"/>
    <w:rsid w:val="00242F1E"/>
    <w:rsid w:val="0024348E"/>
    <w:rsid w:val="002437D4"/>
    <w:rsid w:val="00243B95"/>
    <w:rsid w:val="00243C04"/>
    <w:rsid w:val="00244090"/>
    <w:rsid w:val="002444A2"/>
    <w:rsid w:val="002446C6"/>
    <w:rsid w:val="00245354"/>
    <w:rsid w:val="002456CE"/>
    <w:rsid w:val="00245BFE"/>
    <w:rsid w:val="002469CC"/>
    <w:rsid w:val="00246A40"/>
    <w:rsid w:val="002473E7"/>
    <w:rsid w:val="00247AAD"/>
    <w:rsid w:val="00247ED0"/>
    <w:rsid w:val="00250109"/>
    <w:rsid w:val="00250344"/>
    <w:rsid w:val="0025048D"/>
    <w:rsid w:val="00250D30"/>
    <w:rsid w:val="00250EAB"/>
    <w:rsid w:val="002514D8"/>
    <w:rsid w:val="0025150A"/>
    <w:rsid w:val="00251C0F"/>
    <w:rsid w:val="00251E60"/>
    <w:rsid w:val="00251F38"/>
    <w:rsid w:val="002520BF"/>
    <w:rsid w:val="00252FE0"/>
    <w:rsid w:val="00253185"/>
    <w:rsid w:val="002532C2"/>
    <w:rsid w:val="002535B1"/>
    <w:rsid w:val="0025362B"/>
    <w:rsid w:val="00253DFB"/>
    <w:rsid w:val="002543F9"/>
    <w:rsid w:val="00254572"/>
    <w:rsid w:val="00254A38"/>
    <w:rsid w:val="00254D98"/>
    <w:rsid w:val="00254DEB"/>
    <w:rsid w:val="00254F76"/>
    <w:rsid w:val="002552E9"/>
    <w:rsid w:val="002559B7"/>
    <w:rsid w:val="00255BD0"/>
    <w:rsid w:val="002562BA"/>
    <w:rsid w:val="0025650C"/>
    <w:rsid w:val="00256FDD"/>
    <w:rsid w:val="00257072"/>
    <w:rsid w:val="00257300"/>
    <w:rsid w:val="002574F4"/>
    <w:rsid w:val="002575B4"/>
    <w:rsid w:val="002579AA"/>
    <w:rsid w:val="00257D4F"/>
    <w:rsid w:val="002601CA"/>
    <w:rsid w:val="00260878"/>
    <w:rsid w:val="0026123A"/>
    <w:rsid w:val="002618FB"/>
    <w:rsid w:val="00261979"/>
    <w:rsid w:val="00261B48"/>
    <w:rsid w:val="00261C52"/>
    <w:rsid w:val="00261FC7"/>
    <w:rsid w:val="0026258D"/>
    <w:rsid w:val="00262703"/>
    <w:rsid w:val="00262BD5"/>
    <w:rsid w:val="00262E57"/>
    <w:rsid w:val="00262EFB"/>
    <w:rsid w:val="0026311D"/>
    <w:rsid w:val="00263376"/>
    <w:rsid w:val="002638AD"/>
    <w:rsid w:val="0026397C"/>
    <w:rsid w:val="00263F67"/>
    <w:rsid w:val="0026404A"/>
    <w:rsid w:val="00264185"/>
    <w:rsid w:val="0026498D"/>
    <w:rsid w:val="00264BEA"/>
    <w:rsid w:val="00264D17"/>
    <w:rsid w:val="00265B32"/>
    <w:rsid w:val="00265B39"/>
    <w:rsid w:val="00265B3C"/>
    <w:rsid w:val="00265C72"/>
    <w:rsid w:val="00266203"/>
    <w:rsid w:val="00267188"/>
    <w:rsid w:val="0026727B"/>
    <w:rsid w:val="002672BD"/>
    <w:rsid w:val="00267D80"/>
    <w:rsid w:val="00270565"/>
    <w:rsid w:val="00270A1F"/>
    <w:rsid w:val="00270BFA"/>
    <w:rsid w:val="00270FA3"/>
    <w:rsid w:val="00271714"/>
    <w:rsid w:val="002723E3"/>
    <w:rsid w:val="002726A0"/>
    <w:rsid w:val="00272A29"/>
    <w:rsid w:val="00273098"/>
    <w:rsid w:val="00273394"/>
    <w:rsid w:val="002738F1"/>
    <w:rsid w:val="00273B89"/>
    <w:rsid w:val="00273C92"/>
    <w:rsid w:val="00273DCE"/>
    <w:rsid w:val="00273E02"/>
    <w:rsid w:val="00274259"/>
    <w:rsid w:val="002742DD"/>
    <w:rsid w:val="00274509"/>
    <w:rsid w:val="002748F9"/>
    <w:rsid w:val="002749E9"/>
    <w:rsid w:val="00275774"/>
    <w:rsid w:val="00275971"/>
    <w:rsid w:val="002759F6"/>
    <w:rsid w:val="00275E39"/>
    <w:rsid w:val="0027619F"/>
    <w:rsid w:val="002764E1"/>
    <w:rsid w:val="002767E0"/>
    <w:rsid w:val="00276BC3"/>
    <w:rsid w:val="002773A8"/>
    <w:rsid w:val="0027793F"/>
    <w:rsid w:val="00277A14"/>
    <w:rsid w:val="002804F6"/>
    <w:rsid w:val="00281217"/>
    <w:rsid w:val="0028194E"/>
    <w:rsid w:val="00281995"/>
    <w:rsid w:val="00281CB4"/>
    <w:rsid w:val="00281EAF"/>
    <w:rsid w:val="00282204"/>
    <w:rsid w:val="00282721"/>
    <w:rsid w:val="002827E8"/>
    <w:rsid w:val="0028287F"/>
    <w:rsid w:val="002828B1"/>
    <w:rsid w:val="00282D54"/>
    <w:rsid w:val="00282E52"/>
    <w:rsid w:val="002841A6"/>
    <w:rsid w:val="002841B6"/>
    <w:rsid w:val="00284242"/>
    <w:rsid w:val="0028460B"/>
    <w:rsid w:val="00284804"/>
    <w:rsid w:val="002849DD"/>
    <w:rsid w:val="00284CCB"/>
    <w:rsid w:val="00286112"/>
    <w:rsid w:val="002862F1"/>
    <w:rsid w:val="00286882"/>
    <w:rsid w:val="00287433"/>
    <w:rsid w:val="002877DD"/>
    <w:rsid w:val="00287882"/>
    <w:rsid w:val="0028798D"/>
    <w:rsid w:val="00287BD9"/>
    <w:rsid w:val="00287D8D"/>
    <w:rsid w:val="0029019C"/>
    <w:rsid w:val="00290E1E"/>
    <w:rsid w:val="002915DF"/>
    <w:rsid w:val="0029186A"/>
    <w:rsid w:val="00291A69"/>
    <w:rsid w:val="00291ADD"/>
    <w:rsid w:val="00291B0D"/>
    <w:rsid w:val="00291B48"/>
    <w:rsid w:val="00291E6F"/>
    <w:rsid w:val="00291F28"/>
    <w:rsid w:val="00291F92"/>
    <w:rsid w:val="0029283D"/>
    <w:rsid w:val="00292E64"/>
    <w:rsid w:val="00292FBE"/>
    <w:rsid w:val="002934B9"/>
    <w:rsid w:val="0029363F"/>
    <w:rsid w:val="00293948"/>
    <w:rsid w:val="00293D69"/>
    <w:rsid w:val="00293E8D"/>
    <w:rsid w:val="00293F09"/>
    <w:rsid w:val="00293F47"/>
    <w:rsid w:val="002946C3"/>
    <w:rsid w:val="00294BB5"/>
    <w:rsid w:val="0029532F"/>
    <w:rsid w:val="00295702"/>
    <w:rsid w:val="002957B2"/>
    <w:rsid w:val="00295A1C"/>
    <w:rsid w:val="00295CB6"/>
    <w:rsid w:val="00295F8E"/>
    <w:rsid w:val="00296B7E"/>
    <w:rsid w:val="00296F52"/>
    <w:rsid w:val="00297403"/>
    <w:rsid w:val="00297435"/>
    <w:rsid w:val="00297A0C"/>
    <w:rsid w:val="00297AE3"/>
    <w:rsid w:val="002A008D"/>
    <w:rsid w:val="002A05CF"/>
    <w:rsid w:val="002A06CF"/>
    <w:rsid w:val="002A0A89"/>
    <w:rsid w:val="002A0B20"/>
    <w:rsid w:val="002A16EB"/>
    <w:rsid w:val="002A1914"/>
    <w:rsid w:val="002A1DDC"/>
    <w:rsid w:val="002A1F4E"/>
    <w:rsid w:val="002A25A2"/>
    <w:rsid w:val="002A2C33"/>
    <w:rsid w:val="002A30AE"/>
    <w:rsid w:val="002A3826"/>
    <w:rsid w:val="002A3C2B"/>
    <w:rsid w:val="002A3CC6"/>
    <w:rsid w:val="002A46A2"/>
    <w:rsid w:val="002A496B"/>
    <w:rsid w:val="002A4AF7"/>
    <w:rsid w:val="002A4C41"/>
    <w:rsid w:val="002A4C83"/>
    <w:rsid w:val="002A4EF6"/>
    <w:rsid w:val="002A51AE"/>
    <w:rsid w:val="002A5B44"/>
    <w:rsid w:val="002A5C5F"/>
    <w:rsid w:val="002A5E61"/>
    <w:rsid w:val="002A647C"/>
    <w:rsid w:val="002A669D"/>
    <w:rsid w:val="002A6884"/>
    <w:rsid w:val="002A6A79"/>
    <w:rsid w:val="002A6CC8"/>
    <w:rsid w:val="002A6F80"/>
    <w:rsid w:val="002A7180"/>
    <w:rsid w:val="002A7C7D"/>
    <w:rsid w:val="002B109D"/>
    <w:rsid w:val="002B15C9"/>
    <w:rsid w:val="002B269E"/>
    <w:rsid w:val="002B2897"/>
    <w:rsid w:val="002B29E3"/>
    <w:rsid w:val="002B2A3A"/>
    <w:rsid w:val="002B31B9"/>
    <w:rsid w:val="002B31BE"/>
    <w:rsid w:val="002B38F6"/>
    <w:rsid w:val="002B3BCF"/>
    <w:rsid w:val="002B3CA7"/>
    <w:rsid w:val="002B3D7D"/>
    <w:rsid w:val="002B3E59"/>
    <w:rsid w:val="002B3FF9"/>
    <w:rsid w:val="002B4158"/>
    <w:rsid w:val="002B43C2"/>
    <w:rsid w:val="002B43F5"/>
    <w:rsid w:val="002B46E9"/>
    <w:rsid w:val="002B4D91"/>
    <w:rsid w:val="002B5B78"/>
    <w:rsid w:val="002B5D2A"/>
    <w:rsid w:val="002B5E41"/>
    <w:rsid w:val="002B64B6"/>
    <w:rsid w:val="002B65FA"/>
    <w:rsid w:val="002B65FF"/>
    <w:rsid w:val="002B6A86"/>
    <w:rsid w:val="002B7023"/>
    <w:rsid w:val="002B72C6"/>
    <w:rsid w:val="002B74CD"/>
    <w:rsid w:val="002B75CD"/>
    <w:rsid w:val="002B77D3"/>
    <w:rsid w:val="002B799F"/>
    <w:rsid w:val="002C00C5"/>
    <w:rsid w:val="002C02F1"/>
    <w:rsid w:val="002C0574"/>
    <w:rsid w:val="002C0741"/>
    <w:rsid w:val="002C0F78"/>
    <w:rsid w:val="002C133B"/>
    <w:rsid w:val="002C2859"/>
    <w:rsid w:val="002C3282"/>
    <w:rsid w:val="002C3602"/>
    <w:rsid w:val="002C3B1A"/>
    <w:rsid w:val="002C3E12"/>
    <w:rsid w:val="002C3E89"/>
    <w:rsid w:val="002C3EC0"/>
    <w:rsid w:val="002C3FD4"/>
    <w:rsid w:val="002C42C1"/>
    <w:rsid w:val="002C48C1"/>
    <w:rsid w:val="002C5B65"/>
    <w:rsid w:val="002C5EE4"/>
    <w:rsid w:val="002C623B"/>
    <w:rsid w:val="002C62D3"/>
    <w:rsid w:val="002C632C"/>
    <w:rsid w:val="002C664A"/>
    <w:rsid w:val="002C6665"/>
    <w:rsid w:val="002C66D4"/>
    <w:rsid w:val="002C678B"/>
    <w:rsid w:val="002C6BF5"/>
    <w:rsid w:val="002C6ECF"/>
    <w:rsid w:val="002C7183"/>
    <w:rsid w:val="002C76CA"/>
    <w:rsid w:val="002C7702"/>
    <w:rsid w:val="002C7EB1"/>
    <w:rsid w:val="002D02C4"/>
    <w:rsid w:val="002D05F5"/>
    <w:rsid w:val="002D0989"/>
    <w:rsid w:val="002D0C34"/>
    <w:rsid w:val="002D0C6B"/>
    <w:rsid w:val="002D107E"/>
    <w:rsid w:val="002D1FDA"/>
    <w:rsid w:val="002D2140"/>
    <w:rsid w:val="002D24ED"/>
    <w:rsid w:val="002D3307"/>
    <w:rsid w:val="002D34CE"/>
    <w:rsid w:val="002D3B73"/>
    <w:rsid w:val="002D3CA0"/>
    <w:rsid w:val="002D3F83"/>
    <w:rsid w:val="002D3FCE"/>
    <w:rsid w:val="002D4083"/>
    <w:rsid w:val="002D41DC"/>
    <w:rsid w:val="002D44FC"/>
    <w:rsid w:val="002D465B"/>
    <w:rsid w:val="002D4C7F"/>
    <w:rsid w:val="002D4DB1"/>
    <w:rsid w:val="002D525F"/>
    <w:rsid w:val="002D52A8"/>
    <w:rsid w:val="002D593E"/>
    <w:rsid w:val="002D6000"/>
    <w:rsid w:val="002D601D"/>
    <w:rsid w:val="002D6AAC"/>
    <w:rsid w:val="002D7BD6"/>
    <w:rsid w:val="002D7BFA"/>
    <w:rsid w:val="002E07B2"/>
    <w:rsid w:val="002E1526"/>
    <w:rsid w:val="002E1591"/>
    <w:rsid w:val="002E1D61"/>
    <w:rsid w:val="002E2140"/>
    <w:rsid w:val="002E215E"/>
    <w:rsid w:val="002E25EB"/>
    <w:rsid w:val="002E2850"/>
    <w:rsid w:val="002E3032"/>
    <w:rsid w:val="002E3204"/>
    <w:rsid w:val="002E4638"/>
    <w:rsid w:val="002E476C"/>
    <w:rsid w:val="002E488C"/>
    <w:rsid w:val="002E49C7"/>
    <w:rsid w:val="002E4AED"/>
    <w:rsid w:val="002E4BA9"/>
    <w:rsid w:val="002E4C57"/>
    <w:rsid w:val="002E5046"/>
    <w:rsid w:val="002E5BA2"/>
    <w:rsid w:val="002E5BD6"/>
    <w:rsid w:val="002E5F47"/>
    <w:rsid w:val="002E6175"/>
    <w:rsid w:val="002E6AC7"/>
    <w:rsid w:val="002E6F33"/>
    <w:rsid w:val="002E7561"/>
    <w:rsid w:val="002E7D80"/>
    <w:rsid w:val="002E7E66"/>
    <w:rsid w:val="002F0032"/>
    <w:rsid w:val="002F076D"/>
    <w:rsid w:val="002F098A"/>
    <w:rsid w:val="002F09D2"/>
    <w:rsid w:val="002F0B57"/>
    <w:rsid w:val="002F0D0B"/>
    <w:rsid w:val="002F1061"/>
    <w:rsid w:val="002F129E"/>
    <w:rsid w:val="002F14CF"/>
    <w:rsid w:val="002F17FE"/>
    <w:rsid w:val="002F1C01"/>
    <w:rsid w:val="002F1E63"/>
    <w:rsid w:val="002F20D4"/>
    <w:rsid w:val="002F24B9"/>
    <w:rsid w:val="002F2AA8"/>
    <w:rsid w:val="002F2B46"/>
    <w:rsid w:val="002F2B9E"/>
    <w:rsid w:val="002F37EB"/>
    <w:rsid w:val="002F3FDB"/>
    <w:rsid w:val="002F451C"/>
    <w:rsid w:val="002F4617"/>
    <w:rsid w:val="002F47F4"/>
    <w:rsid w:val="002F49BD"/>
    <w:rsid w:val="002F4AC5"/>
    <w:rsid w:val="002F54AC"/>
    <w:rsid w:val="002F5883"/>
    <w:rsid w:val="002F5953"/>
    <w:rsid w:val="002F5AFB"/>
    <w:rsid w:val="002F5CF3"/>
    <w:rsid w:val="002F61BC"/>
    <w:rsid w:val="002F663F"/>
    <w:rsid w:val="002F77ED"/>
    <w:rsid w:val="002F7C43"/>
    <w:rsid w:val="002F7D4C"/>
    <w:rsid w:val="002F7D83"/>
    <w:rsid w:val="003002F5"/>
    <w:rsid w:val="003009D7"/>
    <w:rsid w:val="00300EE4"/>
    <w:rsid w:val="003011A8"/>
    <w:rsid w:val="00301490"/>
    <w:rsid w:val="0030177B"/>
    <w:rsid w:val="00301D64"/>
    <w:rsid w:val="0030263F"/>
    <w:rsid w:val="0030324F"/>
    <w:rsid w:val="00303721"/>
    <w:rsid w:val="00303777"/>
    <w:rsid w:val="003038B0"/>
    <w:rsid w:val="00304477"/>
    <w:rsid w:val="003049EF"/>
    <w:rsid w:val="00304B5C"/>
    <w:rsid w:val="00304E38"/>
    <w:rsid w:val="00305858"/>
    <w:rsid w:val="003058AF"/>
    <w:rsid w:val="003058E9"/>
    <w:rsid w:val="00305A0E"/>
    <w:rsid w:val="00305B56"/>
    <w:rsid w:val="00305FDB"/>
    <w:rsid w:val="0030633F"/>
    <w:rsid w:val="003064A1"/>
    <w:rsid w:val="003066AC"/>
    <w:rsid w:val="003066E2"/>
    <w:rsid w:val="0030696D"/>
    <w:rsid w:val="00306A03"/>
    <w:rsid w:val="00306DF5"/>
    <w:rsid w:val="0030701E"/>
    <w:rsid w:val="003071CE"/>
    <w:rsid w:val="0030732B"/>
    <w:rsid w:val="003073B7"/>
    <w:rsid w:val="003079DF"/>
    <w:rsid w:val="00310315"/>
    <w:rsid w:val="00310560"/>
    <w:rsid w:val="003105A1"/>
    <w:rsid w:val="003105C0"/>
    <w:rsid w:val="003105ED"/>
    <w:rsid w:val="00310631"/>
    <w:rsid w:val="00310B32"/>
    <w:rsid w:val="00310B5C"/>
    <w:rsid w:val="0031169A"/>
    <w:rsid w:val="0031231E"/>
    <w:rsid w:val="00312A51"/>
    <w:rsid w:val="00312ABB"/>
    <w:rsid w:val="00313130"/>
    <w:rsid w:val="00313229"/>
    <w:rsid w:val="00314237"/>
    <w:rsid w:val="003143ED"/>
    <w:rsid w:val="00314460"/>
    <w:rsid w:val="00314578"/>
    <w:rsid w:val="00314AEB"/>
    <w:rsid w:val="00314C92"/>
    <w:rsid w:val="00314DE8"/>
    <w:rsid w:val="003152EF"/>
    <w:rsid w:val="00315CE0"/>
    <w:rsid w:val="00316049"/>
    <w:rsid w:val="003164F2"/>
    <w:rsid w:val="00316FC3"/>
    <w:rsid w:val="0031701E"/>
    <w:rsid w:val="003174EA"/>
    <w:rsid w:val="00317649"/>
    <w:rsid w:val="003179C9"/>
    <w:rsid w:val="00317FF8"/>
    <w:rsid w:val="00320485"/>
    <w:rsid w:val="00320F0B"/>
    <w:rsid w:val="0032125A"/>
    <w:rsid w:val="003219A8"/>
    <w:rsid w:val="00321E14"/>
    <w:rsid w:val="00322057"/>
    <w:rsid w:val="003221E0"/>
    <w:rsid w:val="00322363"/>
    <w:rsid w:val="00322393"/>
    <w:rsid w:val="00322732"/>
    <w:rsid w:val="003227B9"/>
    <w:rsid w:val="003227CB"/>
    <w:rsid w:val="00322C2C"/>
    <w:rsid w:val="00322C32"/>
    <w:rsid w:val="00322D17"/>
    <w:rsid w:val="003232DC"/>
    <w:rsid w:val="00323DD3"/>
    <w:rsid w:val="0032446C"/>
    <w:rsid w:val="00324952"/>
    <w:rsid w:val="00324AA1"/>
    <w:rsid w:val="00324FEF"/>
    <w:rsid w:val="00325BB8"/>
    <w:rsid w:val="00325C3D"/>
    <w:rsid w:val="00325EDA"/>
    <w:rsid w:val="00325F74"/>
    <w:rsid w:val="00325F9F"/>
    <w:rsid w:val="00326338"/>
    <w:rsid w:val="00326666"/>
    <w:rsid w:val="003269C8"/>
    <w:rsid w:val="00326F3B"/>
    <w:rsid w:val="0032700E"/>
    <w:rsid w:val="0032728E"/>
    <w:rsid w:val="00327369"/>
    <w:rsid w:val="003275CC"/>
    <w:rsid w:val="003277CA"/>
    <w:rsid w:val="00327C18"/>
    <w:rsid w:val="00327CA0"/>
    <w:rsid w:val="00330081"/>
    <w:rsid w:val="00330874"/>
    <w:rsid w:val="003309F4"/>
    <w:rsid w:val="00330B18"/>
    <w:rsid w:val="00330D30"/>
    <w:rsid w:val="0033126D"/>
    <w:rsid w:val="003315E8"/>
    <w:rsid w:val="00331D26"/>
    <w:rsid w:val="00331D29"/>
    <w:rsid w:val="00331DDF"/>
    <w:rsid w:val="0033251D"/>
    <w:rsid w:val="003327C8"/>
    <w:rsid w:val="00332BA8"/>
    <w:rsid w:val="00332D47"/>
    <w:rsid w:val="0033334D"/>
    <w:rsid w:val="0033351C"/>
    <w:rsid w:val="003337EE"/>
    <w:rsid w:val="00333B2A"/>
    <w:rsid w:val="00333C17"/>
    <w:rsid w:val="00333C63"/>
    <w:rsid w:val="00333C9F"/>
    <w:rsid w:val="0033447F"/>
    <w:rsid w:val="0033449D"/>
    <w:rsid w:val="00334810"/>
    <w:rsid w:val="00334851"/>
    <w:rsid w:val="00335767"/>
    <w:rsid w:val="0033586F"/>
    <w:rsid w:val="00336909"/>
    <w:rsid w:val="00336FCD"/>
    <w:rsid w:val="00337222"/>
    <w:rsid w:val="0033725B"/>
    <w:rsid w:val="00337E36"/>
    <w:rsid w:val="00337F32"/>
    <w:rsid w:val="00340649"/>
    <w:rsid w:val="003407FB"/>
    <w:rsid w:val="00340E88"/>
    <w:rsid w:val="00341305"/>
    <w:rsid w:val="00341647"/>
    <w:rsid w:val="00341C7F"/>
    <w:rsid w:val="00341C91"/>
    <w:rsid w:val="0034223F"/>
    <w:rsid w:val="0034239C"/>
    <w:rsid w:val="00342429"/>
    <w:rsid w:val="00342F62"/>
    <w:rsid w:val="00343121"/>
    <w:rsid w:val="00343959"/>
    <w:rsid w:val="00343A5D"/>
    <w:rsid w:val="00343CB3"/>
    <w:rsid w:val="0034473E"/>
    <w:rsid w:val="00344DA5"/>
    <w:rsid w:val="00344F6D"/>
    <w:rsid w:val="0034506B"/>
    <w:rsid w:val="0034526D"/>
    <w:rsid w:val="00345483"/>
    <w:rsid w:val="00345641"/>
    <w:rsid w:val="0034565B"/>
    <w:rsid w:val="003458B6"/>
    <w:rsid w:val="003458B9"/>
    <w:rsid w:val="00345B50"/>
    <w:rsid w:val="00345B64"/>
    <w:rsid w:val="00345C6A"/>
    <w:rsid w:val="003460DA"/>
    <w:rsid w:val="00346638"/>
    <w:rsid w:val="003470F1"/>
    <w:rsid w:val="0034753C"/>
    <w:rsid w:val="00347B24"/>
    <w:rsid w:val="00347FA4"/>
    <w:rsid w:val="0035023D"/>
    <w:rsid w:val="00350991"/>
    <w:rsid w:val="00350B2F"/>
    <w:rsid w:val="00351227"/>
    <w:rsid w:val="00351F5A"/>
    <w:rsid w:val="00351F62"/>
    <w:rsid w:val="00351FED"/>
    <w:rsid w:val="00352197"/>
    <w:rsid w:val="003521E8"/>
    <w:rsid w:val="00352672"/>
    <w:rsid w:val="00352A23"/>
    <w:rsid w:val="00352A99"/>
    <w:rsid w:val="00352AAF"/>
    <w:rsid w:val="00352CDD"/>
    <w:rsid w:val="00353F4F"/>
    <w:rsid w:val="00354831"/>
    <w:rsid w:val="00354834"/>
    <w:rsid w:val="00354AD2"/>
    <w:rsid w:val="00354EE2"/>
    <w:rsid w:val="003550FD"/>
    <w:rsid w:val="00355207"/>
    <w:rsid w:val="00355401"/>
    <w:rsid w:val="00355E41"/>
    <w:rsid w:val="00356165"/>
    <w:rsid w:val="003561B2"/>
    <w:rsid w:val="003564DB"/>
    <w:rsid w:val="003565E5"/>
    <w:rsid w:val="00356D3E"/>
    <w:rsid w:val="00356DA2"/>
    <w:rsid w:val="00357093"/>
    <w:rsid w:val="0035724D"/>
    <w:rsid w:val="003573A2"/>
    <w:rsid w:val="00360408"/>
    <w:rsid w:val="00360494"/>
    <w:rsid w:val="003609A0"/>
    <w:rsid w:val="00360F61"/>
    <w:rsid w:val="003615E8"/>
    <w:rsid w:val="003621D1"/>
    <w:rsid w:val="00362260"/>
    <w:rsid w:val="00362A7C"/>
    <w:rsid w:val="00362B7A"/>
    <w:rsid w:val="00362C62"/>
    <w:rsid w:val="00363CEC"/>
    <w:rsid w:val="00363CF6"/>
    <w:rsid w:val="00363F3C"/>
    <w:rsid w:val="003642CA"/>
    <w:rsid w:val="003648BB"/>
    <w:rsid w:val="00364AC8"/>
    <w:rsid w:val="00364C44"/>
    <w:rsid w:val="00364FD5"/>
    <w:rsid w:val="00365761"/>
    <w:rsid w:val="00365C15"/>
    <w:rsid w:val="00366CCE"/>
    <w:rsid w:val="00367046"/>
    <w:rsid w:val="00367860"/>
    <w:rsid w:val="00367BCA"/>
    <w:rsid w:val="00367FA6"/>
    <w:rsid w:val="00370023"/>
    <w:rsid w:val="003700C9"/>
    <w:rsid w:val="003707F5"/>
    <w:rsid w:val="00370BC4"/>
    <w:rsid w:val="00370F9C"/>
    <w:rsid w:val="00371D2D"/>
    <w:rsid w:val="0037221A"/>
    <w:rsid w:val="00372312"/>
    <w:rsid w:val="00372486"/>
    <w:rsid w:val="00372EF3"/>
    <w:rsid w:val="00372F3C"/>
    <w:rsid w:val="00373601"/>
    <w:rsid w:val="0037375C"/>
    <w:rsid w:val="00373D7A"/>
    <w:rsid w:val="00373E1D"/>
    <w:rsid w:val="00373F8C"/>
    <w:rsid w:val="0037511C"/>
    <w:rsid w:val="003751EE"/>
    <w:rsid w:val="00376025"/>
    <w:rsid w:val="00376091"/>
    <w:rsid w:val="0037644F"/>
    <w:rsid w:val="00376612"/>
    <w:rsid w:val="00376C98"/>
    <w:rsid w:val="00377194"/>
    <w:rsid w:val="0037749E"/>
    <w:rsid w:val="003778A7"/>
    <w:rsid w:val="00377A98"/>
    <w:rsid w:val="00377E89"/>
    <w:rsid w:val="0038006C"/>
    <w:rsid w:val="00381029"/>
    <w:rsid w:val="00381039"/>
    <w:rsid w:val="00381861"/>
    <w:rsid w:val="00381BCF"/>
    <w:rsid w:val="00381EA5"/>
    <w:rsid w:val="0038231A"/>
    <w:rsid w:val="003826E5"/>
    <w:rsid w:val="00382DE4"/>
    <w:rsid w:val="003833CC"/>
    <w:rsid w:val="003834AC"/>
    <w:rsid w:val="003834CB"/>
    <w:rsid w:val="003837D3"/>
    <w:rsid w:val="003837D4"/>
    <w:rsid w:val="0038381E"/>
    <w:rsid w:val="00383A1D"/>
    <w:rsid w:val="00383C76"/>
    <w:rsid w:val="00383D08"/>
    <w:rsid w:val="0038479D"/>
    <w:rsid w:val="00384914"/>
    <w:rsid w:val="00384927"/>
    <w:rsid w:val="00384C4F"/>
    <w:rsid w:val="0038500C"/>
    <w:rsid w:val="00385071"/>
    <w:rsid w:val="00385124"/>
    <w:rsid w:val="0038542C"/>
    <w:rsid w:val="00385CF5"/>
    <w:rsid w:val="00385E0F"/>
    <w:rsid w:val="00385F18"/>
    <w:rsid w:val="00386912"/>
    <w:rsid w:val="00386B4B"/>
    <w:rsid w:val="00386DA9"/>
    <w:rsid w:val="00387B4D"/>
    <w:rsid w:val="00387B62"/>
    <w:rsid w:val="0039038D"/>
    <w:rsid w:val="003904C6"/>
    <w:rsid w:val="00390704"/>
    <w:rsid w:val="00390745"/>
    <w:rsid w:val="00390CCA"/>
    <w:rsid w:val="00390E38"/>
    <w:rsid w:val="0039108D"/>
    <w:rsid w:val="00391228"/>
    <w:rsid w:val="00391A65"/>
    <w:rsid w:val="00391DC1"/>
    <w:rsid w:val="00391E68"/>
    <w:rsid w:val="00391E83"/>
    <w:rsid w:val="003927A3"/>
    <w:rsid w:val="00393658"/>
    <w:rsid w:val="003938CC"/>
    <w:rsid w:val="003940EF"/>
    <w:rsid w:val="003941AC"/>
    <w:rsid w:val="003941C3"/>
    <w:rsid w:val="003941C4"/>
    <w:rsid w:val="00394242"/>
    <w:rsid w:val="003943DC"/>
    <w:rsid w:val="003945A8"/>
    <w:rsid w:val="00394A38"/>
    <w:rsid w:val="00394C17"/>
    <w:rsid w:val="00394D6D"/>
    <w:rsid w:val="0039533C"/>
    <w:rsid w:val="00395593"/>
    <w:rsid w:val="003957C4"/>
    <w:rsid w:val="003957C7"/>
    <w:rsid w:val="0039584D"/>
    <w:rsid w:val="003958C7"/>
    <w:rsid w:val="00395932"/>
    <w:rsid w:val="00395964"/>
    <w:rsid w:val="00396516"/>
    <w:rsid w:val="00396D99"/>
    <w:rsid w:val="00396FF0"/>
    <w:rsid w:val="003971E5"/>
    <w:rsid w:val="00397558"/>
    <w:rsid w:val="00397A0B"/>
    <w:rsid w:val="00397AD7"/>
    <w:rsid w:val="00397F52"/>
    <w:rsid w:val="003A0100"/>
    <w:rsid w:val="003A0138"/>
    <w:rsid w:val="003A0A85"/>
    <w:rsid w:val="003A0CD8"/>
    <w:rsid w:val="003A0EE9"/>
    <w:rsid w:val="003A101C"/>
    <w:rsid w:val="003A12AC"/>
    <w:rsid w:val="003A15A2"/>
    <w:rsid w:val="003A18C7"/>
    <w:rsid w:val="003A26D1"/>
    <w:rsid w:val="003A2857"/>
    <w:rsid w:val="003A326D"/>
    <w:rsid w:val="003A382D"/>
    <w:rsid w:val="003A3A5C"/>
    <w:rsid w:val="003A3A7C"/>
    <w:rsid w:val="003A3FD0"/>
    <w:rsid w:val="003A40BA"/>
    <w:rsid w:val="003A411F"/>
    <w:rsid w:val="003A43A9"/>
    <w:rsid w:val="003A43D6"/>
    <w:rsid w:val="003A4774"/>
    <w:rsid w:val="003A49A2"/>
    <w:rsid w:val="003A4A9E"/>
    <w:rsid w:val="003A4BE7"/>
    <w:rsid w:val="003A5238"/>
    <w:rsid w:val="003A650D"/>
    <w:rsid w:val="003A6B36"/>
    <w:rsid w:val="003A6DFB"/>
    <w:rsid w:val="003A6E3A"/>
    <w:rsid w:val="003A75F5"/>
    <w:rsid w:val="003A79CB"/>
    <w:rsid w:val="003A7B60"/>
    <w:rsid w:val="003A7D66"/>
    <w:rsid w:val="003B0297"/>
    <w:rsid w:val="003B07AC"/>
    <w:rsid w:val="003B0E7B"/>
    <w:rsid w:val="003B0F66"/>
    <w:rsid w:val="003B10C2"/>
    <w:rsid w:val="003B10EF"/>
    <w:rsid w:val="003B13B2"/>
    <w:rsid w:val="003B1740"/>
    <w:rsid w:val="003B17C4"/>
    <w:rsid w:val="003B1C97"/>
    <w:rsid w:val="003B1F81"/>
    <w:rsid w:val="003B2157"/>
    <w:rsid w:val="003B23C9"/>
    <w:rsid w:val="003B2678"/>
    <w:rsid w:val="003B2A6F"/>
    <w:rsid w:val="003B2AF7"/>
    <w:rsid w:val="003B3855"/>
    <w:rsid w:val="003B3B75"/>
    <w:rsid w:val="003B3BDC"/>
    <w:rsid w:val="003B3E1F"/>
    <w:rsid w:val="003B4014"/>
    <w:rsid w:val="003B41CD"/>
    <w:rsid w:val="003B45EF"/>
    <w:rsid w:val="003B4A6F"/>
    <w:rsid w:val="003B4D6D"/>
    <w:rsid w:val="003B4DE2"/>
    <w:rsid w:val="003B53F6"/>
    <w:rsid w:val="003B5B21"/>
    <w:rsid w:val="003B5BAB"/>
    <w:rsid w:val="003B6B7E"/>
    <w:rsid w:val="003B74B3"/>
    <w:rsid w:val="003B75A5"/>
    <w:rsid w:val="003B7D13"/>
    <w:rsid w:val="003B7F80"/>
    <w:rsid w:val="003C0022"/>
    <w:rsid w:val="003C1275"/>
    <w:rsid w:val="003C1DB6"/>
    <w:rsid w:val="003C1E8B"/>
    <w:rsid w:val="003C1F42"/>
    <w:rsid w:val="003C209B"/>
    <w:rsid w:val="003C2A05"/>
    <w:rsid w:val="003C2F44"/>
    <w:rsid w:val="003C3BB7"/>
    <w:rsid w:val="003C3DED"/>
    <w:rsid w:val="003C4388"/>
    <w:rsid w:val="003C4450"/>
    <w:rsid w:val="003C4470"/>
    <w:rsid w:val="003C46E2"/>
    <w:rsid w:val="003C4856"/>
    <w:rsid w:val="003C49FC"/>
    <w:rsid w:val="003C4B12"/>
    <w:rsid w:val="003C4BFE"/>
    <w:rsid w:val="003C4E97"/>
    <w:rsid w:val="003C56DD"/>
    <w:rsid w:val="003C5A90"/>
    <w:rsid w:val="003C5B7D"/>
    <w:rsid w:val="003C6046"/>
    <w:rsid w:val="003C6856"/>
    <w:rsid w:val="003C6CFC"/>
    <w:rsid w:val="003C722E"/>
    <w:rsid w:val="003C7B1D"/>
    <w:rsid w:val="003D01D9"/>
    <w:rsid w:val="003D01E0"/>
    <w:rsid w:val="003D03E4"/>
    <w:rsid w:val="003D07DE"/>
    <w:rsid w:val="003D0E1B"/>
    <w:rsid w:val="003D0EE6"/>
    <w:rsid w:val="003D130F"/>
    <w:rsid w:val="003D145E"/>
    <w:rsid w:val="003D14E6"/>
    <w:rsid w:val="003D1694"/>
    <w:rsid w:val="003D1870"/>
    <w:rsid w:val="003D1D04"/>
    <w:rsid w:val="003D2293"/>
    <w:rsid w:val="003D2A0C"/>
    <w:rsid w:val="003D2B8C"/>
    <w:rsid w:val="003D2E06"/>
    <w:rsid w:val="003D3E3E"/>
    <w:rsid w:val="003D3EFC"/>
    <w:rsid w:val="003D40A7"/>
    <w:rsid w:val="003D48D1"/>
    <w:rsid w:val="003D4AC4"/>
    <w:rsid w:val="003D4CE5"/>
    <w:rsid w:val="003D4E1C"/>
    <w:rsid w:val="003D4F95"/>
    <w:rsid w:val="003D5027"/>
    <w:rsid w:val="003D50E2"/>
    <w:rsid w:val="003D53D6"/>
    <w:rsid w:val="003D61F8"/>
    <w:rsid w:val="003D62B6"/>
    <w:rsid w:val="003D63B5"/>
    <w:rsid w:val="003D69DA"/>
    <w:rsid w:val="003D6B1D"/>
    <w:rsid w:val="003D6EB3"/>
    <w:rsid w:val="003D79D9"/>
    <w:rsid w:val="003E00CC"/>
    <w:rsid w:val="003E0751"/>
    <w:rsid w:val="003E0855"/>
    <w:rsid w:val="003E0924"/>
    <w:rsid w:val="003E1283"/>
    <w:rsid w:val="003E133E"/>
    <w:rsid w:val="003E1345"/>
    <w:rsid w:val="003E1BF4"/>
    <w:rsid w:val="003E1CE1"/>
    <w:rsid w:val="003E1ED1"/>
    <w:rsid w:val="003E22CD"/>
    <w:rsid w:val="003E271A"/>
    <w:rsid w:val="003E2D5D"/>
    <w:rsid w:val="003E2FD2"/>
    <w:rsid w:val="003E3025"/>
    <w:rsid w:val="003E327A"/>
    <w:rsid w:val="003E33B8"/>
    <w:rsid w:val="003E3886"/>
    <w:rsid w:val="003E467E"/>
    <w:rsid w:val="003E4850"/>
    <w:rsid w:val="003E50AE"/>
    <w:rsid w:val="003E5814"/>
    <w:rsid w:val="003E59B7"/>
    <w:rsid w:val="003E5AA5"/>
    <w:rsid w:val="003E6366"/>
    <w:rsid w:val="003E6446"/>
    <w:rsid w:val="003E64BE"/>
    <w:rsid w:val="003E679D"/>
    <w:rsid w:val="003E68E0"/>
    <w:rsid w:val="003E7255"/>
    <w:rsid w:val="003E72A4"/>
    <w:rsid w:val="003E7985"/>
    <w:rsid w:val="003E7C0C"/>
    <w:rsid w:val="003E7CED"/>
    <w:rsid w:val="003E7D5D"/>
    <w:rsid w:val="003E7D8B"/>
    <w:rsid w:val="003E7E55"/>
    <w:rsid w:val="003E7FFB"/>
    <w:rsid w:val="003F022B"/>
    <w:rsid w:val="003F0301"/>
    <w:rsid w:val="003F09AA"/>
    <w:rsid w:val="003F125B"/>
    <w:rsid w:val="003F1370"/>
    <w:rsid w:val="003F15AC"/>
    <w:rsid w:val="003F15D7"/>
    <w:rsid w:val="003F16E7"/>
    <w:rsid w:val="003F18C9"/>
    <w:rsid w:val="003F1D31"/>
    <w:rsid w:val="003F1F98"/>
    <w:rsid w:val="003F230A"/>
    <w:rsid w:val="003F2530"/>
    <w:rsid w:val="003F27BE"/>
    <w:rsid w:val="003F2EDD"/>
    <w:rsid w:val="003F2FB7"/>
    <w:rsid w:val="003F34B6"/>
    <w:rsid w:val="003F35E2"/>
    <w:rsid w:val="003F36AF"/>
    <w:rsid w:val="003F37F0"/>
    <w:rsid w:val="003F38AD"/>
    <w:rsid w:val="003F3967"/>
    <w:rsid w:val="003F3A7B"/>
    <w:rsid w:val="003F4B6D"/>
    <w:rsid w:val="003F4BC7"/>
    <w:rsid w:val="003F4BF7"/>
    <w:rsid w:val="003F5B11"/>
    <w:rsid w:val="003F5BFA"/>
    <w:rsid w:val="003F5F51"/>
    <w:rsid w:val="003F644D"/>
    <w:rsid w:val="003F666C"/>
    <w:rsid w:val="003F68E0"/>
    <w:rsid w:val="003F6D02"/>
    <w:rsid w:val="003F6E0E"/>
    <w:rsid w:val="003F737D"/>
    <w:rsid w:val="003F73E1"/>
    <w:rsid w:val="003F748F"/>
    <w:rsid w:val="003F77B8"/>
    <w:rsid w:val="003F78AA"/>
    <w:rsid w:val="003F7B39"/>
    <w:rsid w:val="003F7C34"/>
    <w:rsid w:val="003F7C76"/>
    <w:rsid w:val="0040033E"/>
    <w:rsid w:val="004006C2"/>
    <w:rsid w:val="004008BE"/>
    <w:rsid w:val="004010D3"/>
    <w:rsid w:val="004010EB"/>
    <w:rsid w:val="004015E6"/>
    <w:rsid w:val="00401E8E"/>
    <w:rsid w:val="00402D66"/>
    <w:rsid w:val="004037BE"/>
    <w:rsid w:val="004039AD"/>
    <w:rsid w:val="00404DF5"/>
    <w:rsid w:val="00404E55"/>
    <w:rsid w:val="00405784"/>
    <w:rsid w:val="00405D03"/>
    <w:rsid w:val="00405D66"/>
    <w:rsid w:val="0040603D"/>
    <w:rsid w:val="00406358"/>
    <w:rsid w:val="00406633"/>
    <w:rsid w:val="00406742"/>
    <w:rsid w:val="004068C3"/>
    <w:rsid w:val="00406ACC"/>
    <w:rsid w:val="00406BFF"/>
    <w:rsid w:val="00406E92"/>
    <w:rsid w:val="004070DB"/>
    <w:rsid w:val="00407588"/>
    <w:rsid w:val="00407970"/>
    <w:rsid w:val="004079A3"/>
    <w:rsid w:val="00410125"/>
    <w:rsid w:val="004101ED"/>
    <w:rsid w:val="004102A4"/>
    <w:rsid w:val="004102C3"/>
    <w:rsid w:val="00410CF1"/>
    <w:rsid w:val="00410D2A"/>
    <w:rsid w:val="00410D2D"/>
    <w:rsid w:val="0041116C"/>
    <w:rsid w:val="00411210"/>
    <w:rsid w:val="00411787"/>
    <w:rsid w:val="00411B56"/>
    <w:rsid w:val="004125B0"/>
    <w:rsid w:val="00412643"/>
    <w:rsid w:val="004127CA"/>
    <w:rsid w:val="00413403"/>
    <w:rsid w:val="00413B3D"/>
    <w:rsid w:val="00413FF2"/>
    <w:rsid w:val="00414385"/>
    <w:rsid w:val="00414C58"/>
    <w:rsid w:val="00414E42"/>
    <w:rsid w:val="0041540F"/>
    <w:rsid w:val="004157AD"/>
    <w:rsid w:val="00415B9D"/>
    <w:rsid w:val="00415C88"/>
    <w:rsid w:val="00416378"/>
    <w:rsid w:val="0041683C"/>
    <w:rsid w:val="00416936"/>
    <w:rsid w:val="00416CC0"/>
    <w:rsid w:val="00416F98"/>
    <w:rsid w:val="0041762B"/>
    <w:rsid w:val="00417807"/>
    <w:rsid w:val="0041782F"/>
    <w:rsid w:val="00417BC6"/>
    <w:rsid w:val="00417D72"/>
    <w:rsid w:val="004211E9"/>
    <w:rsid w:val="0042134B"/>
    <w:rsid w:val="004214D8"/>
    <w:rsid w:val="004218B2"/>
    <w:rsid w:val="00421BED"/>
    <w:rsid w:val="00421CAE"/>
    <w:rsid w:val="00421DE7"/>
    <w:rsid w:val="00421E3A"/>
    <w:rsid w:val="00422270"/>
    <w:rsid w:val="00422754"/>
    <w:rsid w:val="00422784"/>
    <w:rsid w:val="0042286A"/>
    <w:rsid w:val="0042296B"/>
    <w:rsid w:val="00422A4F"/>
    <w:rsid w:val="00422DE2"/>
    <w:rsid w:val="0042318B"/>
    <w:rsid w:val="004232DB"/>
    <w:rsid w:val="00423DB3"/>
    <w:rsid w:val="00424290"/>
    <w:rsid w:val="004243E9"/>
    <w:rsid w:val="004250E5"/>
    <w:rsid w:val="0042531F"/>
    <w:rsid w:val="00425430"/>
    <w:rsid w:val="004256B4"/>
    <w:rsid w:val="004269D6"/>
    <w:rsid w:val="00426C83"/>
    <w:rsid w:val="00426DCB"/>
    <w:rsid w:val="00426E3E"/>
    <w:rsid w:val="0042754F"/>
    <w:rsid w:val="0042767B"/>
    <w:rsid w:val="00430A7A"/>
    <w:rsid w:val="00430BAE"/>
    <w:rsid w:val="00430BCA"/>
    <w:rsid w:val="004316D7"/>
    <w:rsid w:val="00431997"/>
    <w:rsid w:val="00431A5F"/>
    <w:rsid w:val="00431F87"/>
    <w:rsid w:val="0043219B"/>
    <w:rsid w:val="00432371"/>
    <w:rsid w:val="00432D2C"/>
    <w:rsid w:val="00433545"/>
    <w:rsid w:val="00433C4D"/>
    <w:rsid w:val="00433F6F"/>
    <w:rsid w:val="004341E8"/>
    <w:rsid w:val="00434CAE"/>
    <w:rsid w:val="00434E76"/>
    <w:rsid w:val="00434F44"/>
    <w:rsid w:val="00435015"/>
    <w:rsid w:val="004350FE"/>
    <w:rsid w:val="004353B5"/>
    <w:rsid w:val="00435C9E"/>
    <w:rsid w:val="00436645"/>
    <w:rsid w:val="004366BA"/>
    <w:rsid w:val="0043696F"/>
    <w:rsid w:val="00436DCF"/>
    <w:rsid w:val="0043775B"/>
    <w:rsid w:val="00440C96"/>
    <w:rsid w:val="00441338"/>
    <w:rsid w:val="0044169F"/>
    <w:rsid w:val="004417D4"/>
    <w:rsid w:val="00442010"/>
    <w:rsid w:val="0044216B"/>
    <w:rsid w:val="00442A9F"/>
    <w:rsid w:val="00442BED"/>
    <w:rsid w:val="004436CD"/>
    <w:rsid w:val="004438F2"/>
    <w:rsid w:val="004440A0"/>
    <w:rsid w:val="00444537"/>
    <w:rsid w:val="00444BFC"/>
    <w:rsid w:val="00444D5E"/>
    <w:rsid w:val="00444EAB"/>
    <w:rsid w:val="0044501D"/>
    <w:rsid w:val="00445948"/>
    <w:rsid w:val="00445D06"/>
    <w:rsid w:val="00445EA5"/>
    <w:rsid w:val="004463BE"/>
    <w:rsid w:val="00446AF5"/>
    <w:rsid w:val="004471C9"/>
    <w:rsid w:val="00447625"/>
    <w:rsid w:val="004476C1"/>
    <w:rsid w:val="00447771"/>
    <w:rsid w:val="00447923"/>
    <w:rsid w:val="004479F5"/>
    <w:rsid w:val="004479FC"/>
    <w:rsid w:val="00447CAC"/>
    <w:rsid w:val="00447E69"/>
    <w:rsid w:val="00447F2C"/>
    <w:rsid w:val="00447F62"/>
    <w:rsid w:val="004503DE"/>
    <w:rsid w:val="0045050C"/>
    <w:rsid w:val="00450D0C"/>
    <w:rsid w:val="00450E56"/>
    <w:rsid w:val="00450F85"/>
    <w:rsid w:val="00451309"/>
    <w:rsid w:val="00452A41"/>
    <w:rsid w:val="00452B03"/>
    <w:rsid w:val="00453554"/>
    <w:rsid w:val="0045372D"/>
    <w:rsid w:val="00453999"/>
    <w:rsid w:val="00453AEC"/>
    <w:rsid w:val="00453B52"/>
    <w:rsid w:val="00453E61"/>
    <w:rsid w:val="00453F61"/>
    <w:rsid w:val="00454479"/>
    <w:rsid w:val="004548B6"/>
    <w:rsid w:val="004551FB"/>
    <w:rsid w:val="00455486"/>
    <w:rsid w:val="004559F6"/>
    <w:rsid w:val="00455F22"/>
    <w:rsid w:val="00455F5B"/>
    <w:rsid w:val="00456039"/>
    <w:rsid w:val="00456133"/>
    <w:rsid w:val="00456585"/>
    <w:rsid w:val="00456A41"/>
    <w:rsid w:val="004570B5"/>
    <w:rsid w:val="004571E4"/>
    <w:rsid w:val="004575CB"/>
    <w:rsid w:val="00457C00"/>
    <w:rsid w:val="00460123"/>
    <w:rsid w:val="0046022B"/>
    <w:rsid w:val="00460741"/>
    <w:rsid w:val="00460815"/>
    <w:rsid w:val="00460BB5"/>
    <w:rsid w:val="00460E9B"/>
    <w:rsid w:val="004618A9"/>
    <w:rsid w:val="00461CB9"/>
    <w:rsid w:val="00461CD6"/>
    <w:rsid w:val="00461DF3"/>
    <w:rsid w:val="0046205E"/>
    <w:rsid w:val="004620E8"/>
    <w:rsid w:val="00462B7F"/>
    <w:rsid w:val="00462C1D"/>
    <w:rsid w:val="00462D4F"/>
    <w:rsid w:val="00462DF7"/>
    <w:rsid w:val="004630CB"/>
    <w:rsid w:val="004634EA"/>
    <w:rsid w:val="004638E6"/>
    <w:rsid w:val="00464340"/>
    <w:rsid w:val="004643D1"/>
    <w:rsid w:val="00464962"/>
    <w:rsid w:val="00464A87"/>
    <w:rsid w:val="0046501C"/>
    <w:rsid w:val="0046562F"/>
    <w:rsid w:val="004659EB"/>
    <w:rsid w:val="00465B7E"/>
    <w:rsid w:val="004660B3"/>
    <w:rsid w:val="0046697C"/>
    <w:rsid w:val="00467281"/>
    <w:rsid w:val="0046797E"/>
    <w:rsid w:val="00467ABD"/>
    <w:rsid w:val="00467D32"/>
    <w:rsid w:val="0047025E"/>
    <w:rsid w:val="00470491"/>
    <w:rsid w:val="00470848"/>
    <w:rsid w:val="00470932"/>
    <w:rsid w:val="00470CD9"/>
    <w:rsid w:val="0047176D"/>
    <w:rsid w:val="004718C4"/>
    <w:rsid w:val="00471E31"/>
    <w:rsid w:val="004721A3"/>
    <w:rsid w:val="0047249F"/>
    <w:rsid w:val="004729CA"/>
    <w:rsid w:val="004729F7"/>
    <w:rsid w:val="00472FDB"/>
    <w:rsid w:val="0047301A"/>
    <w:rsid w:val="0047341C"/>
    <w:rsid w:val="0047345B"/>
    <w:rsid w:val="0047387A"/>
    <w:rsid w:val="00473D8F"/>
    <w:rsid w:val="00473F89"/>
    <w:rsid w:val="00474064"/>
    <w:rsid w:val="004744CB"/>
    <w:rsid w:val="004748A4"/>
    <w:rsid w:val="004748D9"/>
    <w:rsid w:val="00474AD1"/>
    <w:rsid w:val="00474E85"/>
    <w:rsid w:val="00475461"/>
    <w:rsid w:val="00475523"/>
    <w:rsid w:val="00475D61"/>
    <w:rsid w:val="00476177"/>
    <w:rsid w:val="004765A6"/>
    <w:rsid w:val="00476618"/>
    <w:rsid w:val="00476622"/>
    <w:rsid w:val="00476D28"/>
    <w:rsid w:val="00477036"/>
    <w:rsid w:val="004774CE"/>
    <w:rsid w:val="004775F4"/>
    <w:rsid w:val="00477AC1"/>
    <w:rsid w:val="00477C22"/>
    <w:rsid w:val="00480090"/>
    <w:rsid w:val="00480481"/>
    <w:rsid w:val="004804E0"/>
    <w:rsid w:val="00480780"/>
    <w:rsid w:val="00480C46"/>
    <w:rsid w:val="004811FD"/>
    <w:rsid w:val="00481401"/>
    <w:rsid w:val="00481CE0"/>
    <w:rsid w:val="00481D22"/>
    <w:rsid w:val="00481D86"/>
    <w:rsid w:val="00481EFD"/>
    <w:rsid w:val="0048222E"/>
    <w:rsid w:val="00482662"/>
    <w:rsid w:val="00482AC2"/>
    <w:rsid w:val="00482D07"/>
    <w:rsid w:val="0048356E"/>
    <w:rsid w:val="00483812"/>
    <w:rsid w:val="00483B4B"/>
    <w:rsid w:val="00483D29"/>
    <w:rsid w:val="00484A96"/>
    <w:rsid w:val="00485240"/>
    <w:rsid w:val="004854BB"/>
    <w:rsid w:val="00485DC7"/>
    <w:rsid w:val="00486537"/>
    <w:rsid w:val="004872A6"/>
    <w:rsid w:val="00487925"/>
    <w:rsid w:val="00487A6C"/>
    <w:rsid w:val="00487C88"/>
    <w:rsid w:val="00487FC6"/>
    <w:rsid w:val="00490C51"/>
    <w:rsid w:val="00490DDE"/>
    <w:rsid w:val="0049123B"/>
    <w:rsid w:val="00491748"/>
    <w:rsid w:val="00492145"/>
    <w:rsid w:val="00492173"/>
    <w:rsid w:val="00492282"/>
    <w:rsid w:val="00492321"/>
    <w:rsid w:val="004926B6"/>
    <w:rsid w:val="00492DC8"/>
    <w:rsid w:val="00493568"/>
    <w:rsid w:val="004935E5"/>
    <w:rsid w:val="0049433B"/>
    <w:rsid w:val="00494343"/>
    <w:rsid w:val="004944B8"/>
    <w:rsid w:val="00495313"/>
    <w:rsid w:val="00495414"/>
    <w:rsid w:val="00495541"/>
    <w:rsid w:val="004966E2"/>
    <w:rsid w:val="00496860"/>
    <w:rsid w:val="00496B00"/>
    <w:rsid w:val="00496B69"/>
    <w:rsid w:val="00496B80"/>
    <w:rsid w:val="00496DC6"/>
    <w:rsid w:val="00496F6B"/>
    <w:rsid w:val="0049767A"/>
    <w:rsid w:val="00497754"/>
    <w:rsid w:val="00497F3E"/>
    <w:rsid w:val="004A020E"/>
    <w:rsid w:val="004A02F5"/>
    <w:rsid w:val="004A0406"/>
    <w:rsid w:val="004A05E6"/>
    <w:rsid w:val="004A1031"/>
    <w:rsid w:val="004A145E"/>
    <w:rsid w:val="004A1DC8"/>
    <w:rsid w:val="004A21D3"/>
    <w:rsid w:val="004A22D5"/>
    <w:rsid w:val="004A26B9"/>
    <w:rsid w:val="004A30BD"/>
    <w:rsid w:val="004A31AF"/>
    <w:rsid w:val="004A39E3"/>
    <w:rsid w:val="004A4B4E"/>
    <w:rsid w:val="004A4EA7"/>
    <w:rsid w:val="004A4F77"/>
    <w:rsid w:val="004A5373"/>
    <w:rsid w:val="004A5B4B"/>
    <w:rsid w:val="004A5D88"/>
    <w:rsid w:val="004A62E2"/>
    <w:rsid w:val="004A6B13"/>
    <w:rsid w:val="004A6BCB"/>
    <w:rsid w:val="004A6F9C"/>
    <w:rsid w:val="004A71DA"/>
    <w:rsid w:val="004A749D"/>
    <w:rsid w:val="004A74F1"/>
    <w:rsid w:val="004A7BBA"/>
    <w:rsid w:val="004B0074"/>
    <w:rsid w:val="004B01BE"/>
    <w:rsid w:val="004B043E"/>
    <w:rsid w:val="004B0686"/>
    <w:rsid w:val="004B0791"/>
    <w:rsid w:val="004B093B"/>
    <w:rsid w:val="004B0E95"/>
    <w:rsid w:val="004B1105"/>
    <w:rsid w:val="004B11D1"/>
    <w:rsid w:val="004B1390"/>
    <w:rsid w:val="004B1BFB"/>
    <w:rsid w:val="004B200F"/>
    <w:rsid w:val="004B203E"/>
    <w:rsid w:val="004B218A"/>
    <w:rsid w:val="004B21F8"/>
    <w:rsid w:val="004B2EA6"/>
    <w:rsid w:val="004B3184"/>
    <w:rsid w:val="004B3376"/>
    <w:rsid w:val="004B338F"/>
    <w:rsid w:val="004B3444"/>
    <w:rsid w:val="004B3655"/>
    <w:rsid w:val="004B3945"/>
    <w:rsid w:val="004B3DA5"/>
    <w:rsid w:val="004B3E12"/>
    <w:rsid w:val="004B408C"/>
    <w:rsid w:val="004B4702"/>
    <w:rsid w:val="004B4C3B"/>
    <w:rsid w:val="004B4FDF"/>
    <w:rsid w:val="004B5046"/>
    <w:rsid w:val="004B5102"/>
    <w:rsid w:val="004B61C6"/>
    <w:rsid w:val="004B6352"/>
    <w:rsid w:val="004B6677"/>
    <w:rsid w:val="004B681A"/>
    <w:rsid w:val="004B6CFA"/>
    <w:rsid w:val="004B7653"/>
    <w:rsid w:val="004B766A"/>
    <w:rsid w:val="004B78C1"/>
    <w:rsid w:val="004B7A04"/>
    <w:rsid w:val="004C0120"/>
    <w:rsid w:val="004C02E4"/>
    <w:rsid w:val="004C0302"/>
    <w:rsid w:val="004C0342"/>
    <w:rsid w:val="004C04DC"/>
    <w:rsid w:val="004C07EF"/>
    <w:rsid w:val="004C0893"/>
    <w:rsid w:val="004C0990"/>
    <w:rsid w:val="004C0BB2"/>
    <w:rsid w:val="004C0ED5"/>
    <w:rsid w:val="004C1003"/>
    <w:rsid w:val="004C156D"/>
    <w:rsid w:val="004C162B"/>
    <w:rsid w:val="004C1694"/>
    <w:rsid w:val="004C16BE"/>
    <w:rsid w:val="004C195C"/>
    <w:rsid w:val="004C1BAB"/>
    <w:rsid w:val="004C1EE3"/>
    <w:rsid w:val="004C3619"/>
    <w:rsid w:val="004C36D7"/>
    <w:rsid w:val="004C398A"/>
    <w:rsid w:val="004C4A49"/>
    <w:rsid w:val="004C4C38"/>
    <w:rsid w:val="004C4DB2"/>
    <w:rsid w:val="004C5207"/>
    <w:rsid w:val="004C53E3"/>
    <w:rsid w:val="004C58DD"/>
    <w:rsid w:val="004C5DEB"/>
    <w:rsid w:val="004C5F01"/>
    <w:rsid w:val="004C6821"/>
    <w:rsid w:val="004C7E5C"/>
    <w:rsid w:val="004D0040"/>
    <w:rsid w:val="004D0096"/>
    <w:rsid w:val="004D00BF"/>
    <w:rsid w:val="004D023B"/>
    <w:rsid w:val="004D0433"/>
    <w:rsid w:val="004D04F0"/>
    <w:rsid w:val="004D0C68"/>
    <w:rsid w:val="004D11DC"/>
    <w:rsid w:val="004D12E1"/>
    <w:rsid w:val="004D1A8A"/>
    <w:rsid w:val="004D1C30"/>
    <w:rsid w:val="004D1F91"/>
    <w:rsid w:val="004D235A"/>
    <w:rsid w:val="004D2376"/>
    <w:rsid w:val="004D239B"/>
    <w:rsid w:val="004D36B2"/>
    <w:rsid w:val="004D3CE0"/>
    <w:rsid w:val="004D3DFE"/>
    <w:rsid w:val="004D3F67"/>
    <w:rsid w:val="004D45A6"/>
    <w:rsid w:val="004D4959"/>
    <w:rsid w:val="004D4B3B"/>
    <w:rsid w:val="004D4C70"/>
    <w:rsid w:val="004D4EDD"/>
    <w:rsid w:val="004D4F99"/>
    <w:rsid w:val="004D5059"/>
    <w:rsid w:val="004D50B4"/>
    <w:rsid w:val="004D5D45"/>
    <w:rsid w:val="004D636E"/>
    <w:rsid w:val="004D6FBB"/>
    <w:rsid w:val="004D7098"/>
    <w:rsid w:val="004D71F1"/>
    <w:rsid w:val="004D73B8"/>
    <w:rsid w:val="004D7472"/>
    <w:rsid w:val="004D75EF"/>
    <w:rsid w:val="004D7849"/>
    <w:rsid w:val="004D7D57"/>
    <w:rsid w:val="004E03A1"/>
    <w:rsid w:val="004E053E"/>
    <w:rsid w:val="004E09AC"/>
    <w:rsid w:val="004E1195"/>
    <w:rsid w:val="004E135F"/>
    <w:rsid w:val="004E1BB1"/>
    <w:rsid w:val="004E1BFE"/>
    <w:rsid w:val="004E2935"/>
    <w:rsid w:val="004E2BF2"/>
    <w:rsid w:val="004E2BF7"/>
    <w:rsid w:val="004E2C25"/>
    <w:rsid w:val="004E303C"/>
    <w:rsid w:val="004E3457"/>
    <w:rsid w:val="004E35C2"/>
    <w:rsid w:val="004E37EA"/>
    <w:rsid w:val="004E3E1B"/>
    <w:rsid w:val="004E3E88"/>
    <w:rsid w:val="004E42DA"/>
    <w:rsid w:val="004E453D"/>
    <w:rsid w:val="004E4576"/>
    <w:rsid w:val="004E4E1A"/>
    <w:rsid w:val="004E4FF6"/>
    <w:rsid w:val="004E506E"/>
    <w:rsid w:val="004E513C"/>
    <w:rsid w:val="004E51C2"/>
    <w:rsid w:val="004E5905"/>
    <w:rsid w:val="004E59EB"/>
    <w:rsid w:val="004E5D87"/>
    <w:rsid w:val="004E6187"/>
    <w:rsid w:val="004E6F97"/>
    <w:rsid w:val="004E75D8"/>
    <w:rsid w:val="004E7B88"/>
    <w:rsid w:val="004E7C7E"/>
    <w:rsid w:val="004F00B5"/>
    <w:rsid w:val="004F056F"/>
    <w:rsid w:val="004F07EA"/>
    <w:rsid w:val="004F0F3F"/>
    <w:rsid w:val="004F1371"/>
    <w:rsid w:val="004F1C93"/>
    <w:rsid w:val="004F1CE2"/>
    <w:rsid w:val="004F2084"/>
    <w:rsid w:val="004F2E8A"/>
    <w:rsid w:val="004F31AF"/>
    <w:rsid w:val="004F36E2"/>
    <w:rsid w:val="004F3888"/>
    <w:rsid w:val="004F4182"/>
    <w:rsid w:val="004F42E4"/>
    <w:rsid w:val="004F49E4"/>
    <w:rsid w:val="004F4B4B"/>
    <w:rsid w:val="004F4F98"/>
    <w:rsid w:val="004F53A1"/>
    <w:rsid w:val="004F5B08"/>
    <w:rsid w:val="004F5C9B"/>
    <w:rsid w:val="004F6191"/>
    <w:rsid w:val="004F6697"/>
    <w:rsid w:val="004F6845"/>
    <w:rsid w:val="004F6FCD"/>
    <w:rsid w:val="004F70F5"/>
    <w:rsid w:val="004F7203"/>
    <w:rsid w:val="004F7426"/>
    <w:rsid w:val="004F76C2"/>
    <w:rsid w:val="004F7F79"/>
    <w:rsid w:val="0050061F"/>
    <w:rsid w:val="00500AF3"/>
    <w:rsid w:val="00500EFA"/>
    <w:rsid w:val="00501037"/>
    <w:rsid w:val="00501676"/>
    <w:rsid w:val="0050174F"/>
    <w:rsid w:val="00501780"/>
    <w:rsid w:val="005018C6"/>
    <w:rsid w:val="005019F6"/>
    <w:rsid w:val="00502062"/>
    <w:rsid w:val="005022A6"/>
    <w:rsid w:val="0050271E"/>
    <w:rsid w:val="00502FEE"/>
    <w:rsid w:val="005031E8"/>
    <w:rsid w:val="005039F0"/>
    <w:rsid w:val="00503DFC"/>
    <w:rsid w:val="00503F22"/>
    <w:rsid w:val="00504124"/>
    <w:rsid w:val="005043FE"/>
    <w:rsid w:val="00504A9F"/>
    <w:rsid w:val="00504AC4"/>
    <w:rsid w:val="00504B95"/>
    <w:rsid w:val="005052E0"/>
    <w:rsid w:val="005054A2"/>
    <w:rsid w:val="00505DF3"/>
    <w:rsid w:val="005061A7"/>
    <w:rsid w:val="005061F9"/>
    <w:rsid w:val="00506443"/>
    <w:rsid w:val="00506619"/>
    <w:rsid w:val="005066E0"/>
    <w:rsid w:val="005067BA"/>
    <w:rsid w:val="00507019"/>
    <w:rsid w:val="005075D5"/>
    <w:rsid w:val="0050769A"/>
    <w:rsid w:val="00507BB1"/>
    <w:rsid w:val="00507C63"/>
    <w:rsid w:val="00507C8B"/>
    <w:rsid w:val="00507DFC"/>
    <w:rsid w:val="005106E3"/>
    <w:rsid w:val="005108D7"/>
    <w:rsid w:val="00510A6B"/>
    <w:rsid w:val="0051111E"/>
    <w:rsid w:val="00511BAF"/>
    <w:rsid w:val="00511BB3"/>
    <w:rsid w:val="00511E43"/>
    <w:rsid w:val="00511F20"/>
    <w:rsid w:val="0051227D"/>
    <w:rsid w:val="00512606"/>
    <w:rsid w:val="00512D34"/>
    <w:rsid w:val="0051340B"/>
    <w:rsid w:val="005134CC"/>
    <w:rsid w:val="00513641"/>
    <w:rsid w:val="00513C1C"/>
    <w:rsid w:val="00513EF7"/>
    <w:rsid w:val="00513F4A"/>
    <w:rsid w:val="005140D1"/>
    <w:rsid w:val="0051422C"/>
    <w:rsid w:val="00514254"/>
    <w:rsid w:val="00514536"/>
    <w:rsid w:val="00514B3C"/>
    <w:rsid w:val="00514C10"/>
    <w:rsid w:val="005151D3"/>
    <w:rsid w:val="005152F1"/>
    <w:rsid w:val="005153CC"/>
    <w:rsid w:val="00515659"/>
    <w:rsid w:val="00515A91"/>
    <w:rsid w:val="00515EA7"/>
    <w:rsid w:val="00515F28"/>
    <w:rsid w:val="00515FE0"/>
    <w:rsid w:val="005165B9"/>
    <w:rsid w:val="00516DA2"/>
    <w:rsid w:val="00516EB7"/>
    <w:rsid w:val="005171DB"/>
    <w:rsid w:val="00517964"/>
    <w:rsid w:val="00517B78"/>
    <w:rsid w:val="00517C5B"/>
    <w:rsid w:val="0052058F"/>
    <w:rsid w:val="005206BB"/>
    <w:rsid w:val="00521658"/>
    <w:rsid w:val="00521912"/>
    <w:rsid w:val="0052220C"/>
    <w:rsid w:val="0052253E"/>
    <w:rsid w:val="00522B4C"/>
    <w:rsid w:val="0052305A"/>
    <w:rsid w:val="005236BB"/>
    <w:rsid w:val="00523EB6"/>
    <w:rsid w:val="0052423B"/>
    <w:rsid w:val="0052456D"/>
    <w:rsid w:val="00524B4E"/>
    <w:rsid w:val="00525250"/>
    <w:rsid w:val="00525512"/>
    <w:rsid w:val="00525732"/>
    <w:rsid w:val="00525E25"/>
    <w:rsid w:val="00525F8B"/>
    <w:rsid w:val="005261AC"/>
    <w:rsid w:val="005263FD"/>
    <w:rsid w:val="005267C6"/>
    <w:rsid w:val="00530543"/>
    <w:rsid w:val="00530637"/>
    <w:rsid w:val="005310CD"/>
    <w:rsid w:val="0053122C"/>
    <w:rsid w:val="005312B7"/>
    <w:rsid w:val="00531609"/>
    <w:rsid w:val="00531BEF"/>
    <w:rsid w:val="005322B0"/>
    <w:rsid w:val="005327DA"/>
    <w:rsid w:val="00532D6E"/>
    <w:rsid w:val="00533397"/>
    <w:rsid w:val="005337B2"/>
    <w:rsid w:val="00533AAA"/>
    <w:rsid w:val="00533C90"/>
    <w:rsid w:val="00534718"/>
    <w:rsid w:val="0053498E"/>
    <w:rsid w:val="00534C04"/>
    <w:rsid w:val="00535594"/>
    <w:rsid w:val="00535F2B"/>
    <w:rsid w:val="00536256"/>
    <w:rsid w:val="00536550"/>
    <w:rsid w:val="0053695F"/>
    <w:rsid w:val="00536FA3"/>
    <w:rsid w:val="0053709F"/>
    <w:rsid w:val="005370DB"/>
    <w:rsid w:val="0053734F"/>
    <w:rsid w:val="005377B5"/>
    <w:rsid w:val="00537A4F"/>
    <w:rsid w:val="00537A93"/>
    <w:rsid w:val="0054009B"/>
    <w:rsid w:val="0054045E"/>
    <w:rsid w:val="005404FC"/>
    <w:rsid w:val="00540718"/>
    <w:rsid w:val="00540AD2"/>
    <w:rsid w:val="00541558"/>
    <w:rsid w:val="00541E18"/>
    <w:rsid w:val="00541FC2"/>
    <w:rsid w:val="00542727"/>
    <w:rsid w:val="0054274F"/>
    <w:rsid w:val="00542829"/>
    <w:rsid w:val="00542D3E"/>
    <w:rsid w:val="00542DFD"/>
    <w:rsid w:val="0054314B"/>
    <w:rsid w:val="005432B9"/>
    <w:rsid w:val="00543330"/>
    <w:rsid w:val="00543816"/>
    <w:rsid w:val="00543984"/>
    <w:rsid w:val="00543E9A"/>
    <w:rsid w:val="00543F9C"/>
    <w:rsid w:val="00544406"/>
    <w:rsid w:val="00544745"/>
    <w:rsid w:val="00544A9F"/>
    <w:rsid w:val="00544B12"/>
    <w:rsid w:val="00544D64"/>
    <w:rsid w:val="00546354"/>
    <w:rsid w:val="005463BA"/>
    <w:rsid w:val="005463DA"/>
    <w:rsid w:val="00546C46"/>
    <w:rsid w:val="00547B05"/>
    <w:rsid w:val="00550040"/>
    <w:rsid w:val="0055015F"/>
    <w:rsid w:val="00550EED"/>
    <w:rsid w:val="00550FB5"/>
    <w:rsid w:val="00551057"/>
    <w:rsid w:val="005512B9"/>
    <w:rsid w:val="005515B2"/>
    <w:rsid w:val="00551612"/>
    <w:rsid w:val="00551D42"/>
    <w:rsid w:val="00551D86"/>
    <w:rsid w:val="00552098"/>
    <w:rsid w:val="00552224"/>
    <w:rsid w:val="00552306"/>
    <w:rsid w:val="00552613"/>
    <w:rsid w:val="00552891"/>
    <w:rsid w:val="00552D99"/>
    <w:rsid w:val="00552E25"/>
    <w:rsid w:val="0055316B"/>
    <w:rsid w:val="0055327C"/>
    <w:rsid w:val="005533E2"/>
    <w:rsid w:val="00553765"/>
    <w:rsid w:val="0055386F"/>
    <w:rsid w:val="00553D4F"/>
    <w:rsid w:val="00553DB3"/>
    <w:rsid w:val="005545D1"/>
    <w:rsid w:val="0055499B"/>
    <w:rsid w:val="00554AC8"/>
    <w:rsid w:val="00554AE3"/>
    <w:rsid w:val="00554C27"/>
    <w:rsid w:val="00555593"/>
    <w:rsid w:val="005566B4"/>
    <w:rsid w:val="00556B37"/>
    <w:rsid w:val="00556FA2"/>
    <w:rsid w:val="00557564"/>
    <w:rsid w:val="00557A98"/>
    <w:rsid w:val="00557B06"/>
    <w:rsid w:val="00557E85"/>
    <w:rsid w:val="0056004B"/>
    <w:rsid w:val="005608A2"/>
    <w:rsid w:val="00560D87"/>
    <w:rsid w:val="00560EDB"/>
    <w:rsid w:val="00560F44"/>
    <w:rsid w:val="00561D82"/>
    <w:rsid w:val="00561F5C"/>
    <w:rsid w:val="00562807"/>
    <w:rsid w:val="00562C71"/>
    <w:rsid w:val="00563ACD"/>
    <w:rsid w:val="00564F95"/>
    <w:rsid w:val="0056516F"/>
    <w:rsid w:val="005659AD"/>
    <w:rsid w:val="00565D27"/>
    <w:rsid w:val="00565DA8"/>
    <w:rsid w:val="00565E0E"/>
    <w:rsid w:val="00565E80"/>
    <w:rsid w:val="00565F3C"/>
    <w:rsid w:val="00566295"/>
    <w:rsid w:val="005672EF"/>
    <w:rsid w:val="00567789"/>
    <w:rsid w:val="00567C26"/>
    <w:rsid w:val="00567EC7"/>
    <w:rsid w:val="005701E0"/>
    <w:rsid w:val="00570610"/>
    <w:rsid w:val="00571723"/>
    <w:rsid w:val="00572374"/>
    <w:rsid w:val="005724EA"/>
    <w:rsid w:val="00572659"/>
    <w:rsid w:val="0057298B"/>
    <w:rsid w:val="00572BAC"/>
    <w:rsid w:val="00572C23"/>
    <w:rsid w:val="00572C8A"/>
    <w:rsid w:val="00572CF6"/>
    <w:rsid w:val="00572D13"/>
    <w:rsid w:val="00572F35"/>
    <w:rsid w:val="0057381C"/>
    <w:rsid w:val="00573C44"/>
    <w:rsid w:val="00573DA9"/>
    <w:rsid w:val="00574130"/>
    <w:rsid w:val="00574D02"/>
    <w:rsid w:val="0057565B"/>
    <w:rsid w:val="005756DD"/>
    <w:rsid w:val="00575D18"/>
    <w:rsid w:val="00576601"/>
    <w:rsid w:val="0057662B"/>
    <w:rsid w:val="0057681C"/>
    <w:rsid w:val="005768A4"/>
    <w:rsid w:val="00576D6D"/>
    <w:rsid w:val="00576FF8"/>
    <w:rsid w:val="005770A8"/>
    <w:rsid w:val="00577367"/>
    <w:rsid w:val="005778E8"/>
    <w:rsid w:val="00577994"/>
    <w:rsid w:val="00577AB7"/>
    <w:rsid w:val="00577D8A"/>
    <w:rsid w:val="00577D9D"/>
    <w:rsid w:val="0058092B"/>
    <w:rsid w:val="00580D3A"/>
    <w:rsid w:val="00580DF3"/>
    <w:rsid w:val="005812AF"/>
    <w:rsid w:val="00581383"/>
    <w:rsid w:val="00581677"/>
    <w:rsid w:val="00581E41"/>
    <w:rsid w:val="00582D8D"/>
    <w:rsid w:val="0058309E"/>
    <w:rsid w:val="00583103"/>
    <w:rsid w:val="00583163"/>
    <w:rsid w:val="005841D4"/>
    <w:rsid w:val="005845DB"/>
    <w:rsid w:val="005846C8"/>
    <w:rsid w:val="0058482D"/>
    <w:rsid w:val="0058504F"/>
    <w:rsid w:val="005850DD"/>
    <w:rsid w:val="005854C1"/>
    <w:rsid w:val="00585C98"/>
    <w:rsid w:val="005860F5"/>
    <w:rsid w:val="005865CB"/>
    <w:rsid w:val="0058667C"/>
    <w:rsid w:val="005866DF"/>
    <w:rsid w:val="00586C38"/>
    <w:rsid w:val="005875D2"/>
    <w:rsid w:val="00587633"/>
    <w:rsid w:val="005877CD"/>
    <w:rsid w:val="00587B61"/>
    <w:rsid w:val="00587CA4"/>
    <w:rsid w:val="00587D32"/>
    <w:rsid w:val="005905CA"/>
    <w:rsid w:val="00590880"/>
    <w:rsid w:val="0059147E"/>
    <w:rsid w:val="0059176F"/>
    <w:rsid w:val="005917E1"/>
    <w:rsid w:val="005918BB"/>
    <w:rsid w:val="00591969"/>
    <w:rsid w:val="00591AAD"/>
    <w:rsid w:val="00591D3C"/>
    <w:rsid w:val="00591D54"/>
    <w:rsid w:val="00591F37"/>
    <w:rsid w:val="005927A0"/>
    <w:rsid w:val="0059293A"/>
    <w:rsid w:val="00592D49"/>
    <w:rsid w:val="0059351B"/>
    <w:rsid w:val="00593646"/>
    <w:rsid w:val="00593D84"/>
    <w:rsid w:val="00594156"/>
    <w:rsid w:val="0059492E"/>
    <w:rsid w:val="00594968"/>
    <w:rsid w:val="0059569B"/>
    <w:rsid w:val="005956CB"/>
    <w:rsid w:val="00595E82"/>
    <w:rsid w:val="0059658C"/>
    <w:rsid w:val="005969CE"/>
    <w:rsid w:val="00596A42"/>
    <w:rsid w:val="00596DB5"/>
    <w:rsid w:val="0059799F"/>
    <w:rsid w:val="00597CA7"/>
    <w:rsid w:val="00597E03"/>
    <w:rsid w:val="005A0992"/>
    <w:rsid w:val="005A09B9"/>
    <w:rsid w:val="005A1096"/>
    <w:rsid w:val="005A1BC5"/>
    <w:rsid w:val="005A1DB5"/>
    <w:rsid w:val="005A2235"/>
    <w:rsid w:val="005A2850"/>
    <w:rsid w:val="005A2CAD"/>
    <w:rsid w:val="005A2ED0"/>
    <w:rsid w:val="005A3194"/>
    <w:rsid w:val="005A3209"/>
    <w:rsid w:val="005A36CF"/>
    <w:rsid w:val="005A4047"/>
    <w:rsid w:val="005A433A"/>
    <w:rsid w:val="005A470C"/>
    <w:rsid w:val="005A4760"/>
    <w:rsid w:val="005A478D"/>
    <w:rsid w:val="005A4B68"/>
    <w:rsid w:val="005A5331"/>
    <w:rsid w:val="005A5668"/>
    <w:rsid w:val="005A5920"/>
    <w:rsid w:val="005A5FE8"/>
    <w:rsid w:val="005A6222"/>
    <w:rsid w:val="005A6455"/>
    <w:rsid w:val="005A6620"/>
    <w:rsid w:val="005A6BC6"/>
    <w:rsid w:val="005A7008"/>
    <w:rsid w:val="005B0297"/>
    <w:rsid w:val="005B04E5"/>
    <w:rsid w:val="005B065B"/>
    <w:rsid w:val="005B078A"/>
    <w:rsid w:val="005B10C9"/>
    <w:rsid w:val="005B1D77"/>
    <w:rsid w:val="005B1FDF"/>
    <w:rsid w:val="005B24CA"/>
    <w:rsid w:val="005B2A74"/>
    <w:rsid w:val="005B2AB4"/>
    <w:rsid w:val="005B2CFC"/>
    <w:rsid w:val="005B3241"/>
    <w:rsid w:val="005B3836"/>
    <w:rsid w:val="005B4614"/>
    <w:rsid w:val="005B49EE"/>
    <w:rsid w:val="005B4B86"/>
    <w:rsid w:val="005B4CB9"/>
    <w:rsid w:val="005B4D17"/>
    <w:rsid w:val="005B4ECC"/>
    <w:rsid w:val="005B52BB"/>
    <w:rsid w:val="005B53BA"/>
    <w:rsid w:val="005B57F7"/>
    <w:rsid w:val="005B5A5E"/>
    <w:rsid w:val="005B5CB0"/>
    <w:rsid w:val="005B7136"/>
    <w:rsid w:val="005B72DB"/>
    <w:rsid w:val="005B732D"/>
    <w:rsid w:val="005C028B"/>
    <w:rsid w:val="005C05D9"/>
    <w:rsid w:val="005C07C3"/>
    <w:rsid w:val="005C0C25"/>
    <w:rsid w:val="005C11AB"/>
    <w:rsid w:val="005C1352"/>
    <w:rsid w:val="005C16CE"/>
    <w:rsid w:val="005C2024"/>
    <w:rsid w:val="005C2084"/>
    <w:rsid w:val="005C226A"/>
    <w:rsid w:val="005C232B"/>
    <w:rsid w:val="005C32C6"/>
    <w:rsid w:val="005C3BB9"/>
    <w:rsid w:val="005C40FA"/>
    <w:rsid w:val="005C42FF"/>
    <w:rsid w:val="005C4527"/>
    <w:rsid w:val="005C4582"/>
    <w:rsid w:val="005C4A4D"/>
    <w:rsid w:val="005C4E23"/>
    <w:rsid w:val="005C4E68"/>
    <w:rsid w:val="005C52EF"/>
    <w:rsid w:val="005C55AB"/>
    <w:rsid w:val="005C65B7"/>
    <w:rsid w:val="005C68DB"/>
    <w:rsid w:val="005C68F8"/>
    <w:rsid w:val="005C7010"/>
    <w:rsid w:val="005C7566"/>
    <w:rsid w:val="005C76A0"/>
    <w:rsid w:val="005C7E67"/>
    <w:rsid w:val="005D047E"/>
    <w:rsid w:val="005D06E1"/>
    <w:rsid w:val="005D07CE"/>
    <w:rsid w:val="005D1122"/>
    <w:rsid w:val="005D1775"/>
    <w:rsid w:val="005D1C6E"/>
    <w:rsid w:val="005D1DA9"/>
    <w:rsid w:val="005D25AE"/>
    <w:rsid w:val="005D260F"/>
    <w:rsid w:val="005D2626"/>
    <w:rsid w:val="005D2861"/>
    <w:rsid w:val="005D2867"/>
    <w:rsid w:val="005D2A6C"/>
    <w:rsid w:val="005D2E41"/>
    <w:rsid w:val="005D3027"/>
    <w:rsid w:val="005D39A6"/>
    <w:rsid w:val="005D401E"/>
    <w:rsid w:val="005D415E"/>
    <w:rsid w:val="005D43BE"/>
    <w:rsid w:val="005D4458"/>
    <w:rsid w:val="005D498D"/>
    <w:rsid w:val="005D50C7"/>
    <w:rsid w:val="005D5176"/>
    <w:rsid w:val="005D5265"/>
    <w:rsid w:val="005D576C"/>
    <w:rsid w:val="005D5B6B"/>
    <w:rsid w:val="005D5F59"/>
    <w:rsid w:val="005D68A1"/>
    <w:rsid w:val="005D69C4"/>
    <w:rsid w:val="005D6FA4"/>
    <w:rsid w:val="005E0086"/>
    <w:rsid w:val="005E00D1"/>
    <w:rsid w:val="005E00EE"/>
    <w:rsid w:val="005E026E"/>
    <w:rsid w:val="005E0440"/>
    <w:rsid w:val="005E0A92"/>
    <w:rsid w:val="005E0D10"/>
    <w:rsid w:val="005E0DCC"/>
    <w:rsid w:val="005E0E29"/>
    <w:rsid w:val="005E14AB"/>
    <w:rsid w:val="005E1682"/>
    <w:rsid w:val="005E1A7B"/>
    <w:rsid w:val="005E1C7D"/>
    <w:rsid w:val="005E1D39"/>
    <w:rsid w:val="005E1FB1"/>
    <w:rsid w:val="005E2E59"/>
    <w:rsid w:val="005E2EE3"/>
    <w:rsid w:val="005E336A"/>
    <w:rsid w:val="005E3D15"/>
    <w:rsid w:val="005E3FC9"/>
    <w:rsid w:val="005E41C0"/>
    <w:rsid w:val="005E4F25"/>
    <w:rsid w:val="005E5051"/>
    <w:rsid w:val="005E53E3"/>
    <w:rsid w:val="005E5611"/>
    <w:rsid w:val="005E5D6B"/>
    <w:rsid w:val="005E5E84"/>
    <w:rsid w:val="005E6E8A"/>
    <w:rsid w:val="005E73F9"/>
    <w:rsid w:val="005E748A"/>
    <w:rsid w:val="005E75FC"/>
    <w:rsid w:val="005E7ADE"/>
    <w:rsid w:val="005E7FEF"/>
    <w:rsid w:val="005F1772"/>
    <w:rsid w:val="005F22D2"/>
    <w:rsid w:val="005F23BC"/>
    <w:rsid w:val="005F2C78"/>
    <w:rsid w:val="005F2CB9"/>
    <w:rsid w:val="005F30EE"/>
    <w:rsid w:val="005F328F"/>
    <w:rsid w:val="005F33A9"/>
    <w:rsid w:val="005F38B1"/>
    <w:rsid w:val="005F3BA8"/>
    <w:rsid w:val="005F3D8C"/>
    <w:rsid w:val="005F4740"/>
    <w:rsid w:val="005F4906"/>
    <w:rsid w:val="005F4E6E"/>
    <w:rsid w:val="005F5887"/>
    <w:rsid w:val="005F60FF"/>
    <w:rsid w:val="005F64C2"/>
    <w:rsid w:val="005F6804"/>
    <w:rsid w:val="005F6A1C"/>
    <w:rsid w:val="005F6D19"/>
    <w:rsid w:val="005F70D0"/>
    <w:rsid w:val="00600338"/>
    <w:rsid w:val="006005C4"/>
    <w:rsid w:val="006010CE"/>
    <w:rsid w:val="006014A9"/>
    <w:rsid w:val="00601939"/>
    <w:rsid w:val="00601FD6"/>
    <w:rsid w:val="00602463"/>
    <w:rsid w:val="006027E9"/>
    <w:rsid w:val="00602AB5"/>
    <w:rsid w:val="00602C1C"/>
    <w:rsid w:val="00602F4D"/>
    <w:rsid w:val="0060322D"/>
    <w:rsid w:val="00603268"/>
    <w:rsid w:val="00603375"/>
    <w:rsid w:val="006037AD"/>
    <w:rsid w:val="006037B7"/>
    <w:rsid w:val="00603F2F"/>
    <w:rsid w:val="00604947"/>
    <w:rsid w:val="00604EE0"/>
    <w:rsid w:val="00605143"/>
    <w:rsid w:val="006057C8"/>
    <w:rsid w:val="0060584F"/>
    <w:rsid w:val="00605F55"/>
    <w:rsid w:val="00606063"/>
    <w:rsid w:val="00607033"/>
    <w:rsid w:val="00610024"/>
    <w:rsid w:val="006104E8"/>
    <w:rsid w:val="006106C9"/>
    <w:rsid w:val="00610717"/>
    <w:rsid w:val="00610822"/>
    <w:rsid w:val="00611163"/>
    <w:rsid w:val="00611983"/>
    <w:rsid w:val="00611A7A"/>
    <w:rsid w:val="00611F3B"/>
    <w:rsid w:val="00612092"/>
    <w:rsid w:val="0061211A"/>
    <w:rsid w:val="00612424"/>
    <w:rsid w:val="00612630"/>
    <w:rsid w:val="00612B41"/>
    <w:rsid w:val="00612B43"/>
    <w:rsid w:val="00612F11"/>
    <w:rsid w:val="006131DB"/>
    <w:rsid w:val="006134A6"/>
    <w:rsid w:val="00613C4C"/>
    <w:rsid w:val="00614C02"/>
    <w:rsid w:val="00614EFA"/>
    <w:rsid w:val="006151FC"/>
    <w:rsid w:val="006152C8"/>
    <w:rsid w:val="00615307"/>
    <w:rsid w:val="0061563E"/>
    <w:rsid w:val="006161E4"/>
    <w:rsid w:val="006162D0"/>
    <w:rsid w:val="00616326"/>
    <w:rsid w:val="006167AC"/>
    <w:rsid w:val="0061687E"/>
    <w:rsid w:val="00616C5D"/>
    <w:rsid w:val="00617A26"/>
    <w:rsid w:val="00617AAC"/>
    <w:rsid w:val="0062010F"/>
    <w:rsid w:val="0062013B"/>
    <w:rsid w:val="00620189"/>
    <w:rsid w:val="0062067A"/>
    <w:rsid w:val="00620D31"/>
    <w:rsid w:val="00620ECA"/>
    <w:rsid w:val="00621140"/>
    <w:rsid w:val="006212B5"/>
    <w:rsid w:val="006212D0"/>
    <w:rsid w:val="0062177C"/>
    <w:rsid w:val="00621A05"/>
    <w:rsid w:val="006223A1"/>
    <w:rsid w:val="00622427"/>
    <w:rsid w:val="00622DA8"/>
    <w:rsid w:val="00622E69"/>
    <w:rsid w:val="0062329B"/>
    <w:rsid w:val="00623383"/>
    <w:rsid w:val="00624367"/>
    <w:rsid w:val="006246B5"/>
    <w:rsid w:val="0062498A"/>
    <w:rsid w:val="006249DB"/>
    <w:rsid w:val="00624B23"/>
    <w:rsid w:val="0062540B"/>
    <w:rsid w:val="00625619"/>
    <w:rsid w:val="0062587B"/>
    <w:rsid w:val="006258D6"/>
    <w:rsid w:val="00625AE2"/>
    <w:rsid w:val="00625AFB"/>
    <w:rsid w:val="00625DAD"/>
    <w:rsid w:val="0062621F"/>
    <w:rsid w:val="006269B4"/>
    <w:rsid w:val="00626AED"/>
    <w:rsid w:val="00626BCE"/>
    <w:rsid w:val="00626BDF"/>
    <w:rsid w:val="00626DAD"/>
    <w:rsid w:val="00627180"/>
    <w:rsid w:val="006272B7"/>
    <w:rsid w:val="0062761C"/>
    <w:rsid w:val="00627DD6"/>
    <w:rsid w:val="00627FC0"/>
    <w:rsid w:val="006306DF"/>
    <w:rsid w:val="00630901"/>
    <w:rsid w:val="00630B7B"/>
    <w:rsid w:val="00631BB1"/>
    <w:rsid w:val="00631DD6"/>
    <w:rsid w:val="00632478"/>
    <w:rsid w:val="00632FF0"/>
    <w:rsid w:val="00633A00"/>
    <w:rsid w:val="00633B69"/>
    <w:rsid w:val="00633D5D"/>
    <w:rsid w:val="00633E5D"/>
    <w:rsid w:val="00633ED4"/>
    <w:rsid w:val="0063469E"/>
    <w:rsid w:val="00634BD5"/>
    <w:rsid w:val="006353F2"/>
    <w:rsid w:val="0063585E"/>
    <w:rsid w:val="006359BE"/>
    <w:rsid w:val="00635B74"/>
    <w:rsid w:val="00635C56"/>
    <w:rsid w:val="00635EC5"/>
    <w:rsid w:val="006360BF"/>
    <w:rsid w:val="006360C8"/>
    <w:rsid w:val="0063643C"/>
    <w:rsid w:val="0063681E"/>
    <w:rsid w:val="00637643"/>
    <w:rsid w:val="00640124"/>
    <w:rsid w:val="0064041A"/>
    <w:rsid w:val="00640E05"/>
    <w:rsid w:val="00640E86"/>
    <w:rsid w:val="00641723"/>
    <w:rsid w:val="00641959"/>
    <w:rsid w:val="00641964"/>
    <w:rsid w:val="00642060"/>
    <w:rsid w:val="00642AE6"/>
    <w:rsid w:val="00642D8C"/>
    <w:rsid w:val="00642F13"/>
    <w:rsid w:val="00643B0B"/>
    <w:rsid w:val="00643B8E"/>
    <w:rsid w:val="00643C10"/>
    <w:rsid w:val="00643DCC"/>
    <w:rsid w:val="00644035"/>
    <w:rsid w:val="006441B9"/>
    <w:rsid w:val="0064444B"/>
    <w:rsid w:val="006446DB"/>
    <w:rsid w:val="00644C9E"/>
    <w:rsid w:val="00644F26"/>
    <w:rsid w:val="00645368"/>
    <w:rsid w:val="00645431"/>
    <w:rsid w:val="0064595D"/>
    <w:rsid w:val="00646506"/>
    <w:rsid w:val="00646CCB"/>
    <w:rsid w:val="00646D24"/>
    <w:rsid w:val="00646E13"/>
    <w:rsid w:val="00646FE8"/>
    <w:rsid w:val="006470D0"/>
    <w:rsid w:val="00647530"/>
    <w:rsid w:val="0064765D"/>
    <w:rsid w:val="00647F01"/>
    <w:rsid w:val="00650432"/>
    <w:rsid w:val="00650467"/>
    <w:rsid w:val="006504A0"/>
    <w:rsid w:val="00650654"/>
    <w:rsid w:val="00650A34"/>
    <w:rsid w:val="00650BBF"/>
    <w:rsid w:val="00651AF2"/>
    <w:rsid w:val="00651F36"/>
    <w:rsid w:val="006522C2"/>
    <w:rsid w:val="0065266D"/>
    <w:rsid w:val="00652E69"/>
    <w:rsid w:val="00653667"/>
    <w:rsid w:val="00653B44"/>
    <w:rsid w:val="00653EB9"/>
    <w:rsid w:val="006541F1"/>
    <w:rsid w:val="006543A4"/>
    <w:rsid w:val="006543B9"/>
    <w:rsid w:val="00654874"/>
    <w:rsid w:val="00654A35"/>
    <w:rsid w:val="00654ACF"/>
    <w:rsid w:val="00655ABF"/>
    <w:rsid w:val="00656035"/>
    <w:rsid w:val="00656673"/>
    <w:rsid w:val="00656BB5"/>
    <w:rsid w:val="00656BB7"/>
    <w:rsid w:val="00656E41"/>
    <w:rsid w:val="00657189"/>
    <w:rsid w:val="00657707"/>
    <w:rsid w:val="00657F28"/>
    <w:rsid w:val="0066000D"/>
    <w:rsid w:val="00660A05"/>
    <w:rsid w:val="00660A0C"/>
    <w:rsid w:val="00660A6C"/>
    <w:rsid w:val="00660EEB"/>
    <w:rsid w:val="00660F09"/>
    <w:rsid w:val="0066113C"/>
    <w:rsid w:val="0066158E"/>
    <w:rsid w:val="00661926"/>
    <w:rsid w:val="0066216B"/>
    <w:rsid w:val="006623E8"/>
    <w:rsid w:val="006629B6"/>
    <w:rsid w:val="006629F9"/>
    <w:rsid w:val="00662E77"/>
    <w:rsid w:val="0066307C"/>
    <w:rsid w:val="0066388C"/>
    <w:rsid w:val="00663B71"/>
    <w:rsid w:val="00663DC3"/>
    <w:rsid w:val="00663E2B"/>
    <w:rsid w:val="00663FD4"/>
    <w:rsid w:val="0066437C"/>
    <w:rsid w:val="00664E32"/>
    <w:rsid w:val="0066509C"/>
    <w:rsid w:val="00665238"/>
    <w:rsid w:val="0066537F"/>
    <w:rsid w:val="006654E6"/>
    <w:rsid w:val="00665818"/>
    <w:rsid w:val="00665B38"/>
    <w:rsid w:val="00666072"/>
    <w:rsid w:val="00666979"/>
    <w:rsid w:val="00666F26"/>
    <w:rsid w:val="00667674"/>
    <w:rsid w:val="00667795"/>
    <w:rsid w:val="006677B5"/>
    <w:rsid w:val="0066796C"/>
    <w:rsid w:val="00667D79"/>
    <w:rsid w:val="0067087A"/>
    <w:rsid w:val="00670AF7"/>
    <w:rsid w:val="00670F41"/>
    <w:rsid w:val="0067160E"/>
    <w:rsid w:val="00672124"/>
    <w:rsid w:val="006721E5"/>
    <w:rsid w:val="00672734"/>
    <w:rsid w:val="00672D36"/>
    <w:rsid w:val="00672E28"/>
    <w:rsid w:val="00672EB6"/>
    <w:rsid w:val="006731FE"/>
    <w:rsid w:val="00673807"/>
    <w:rsid w:val="006738EA"/>
    <w:rsid w:val="00673FF7"/>
    <w:rsid w:val="00674392"/>
    <w:rsid w:val="006746B9"/>
    <w:rsid w:val="00674B48"/>
    <w:rsid w:val="00674D1B"/>
    <w:rsid w:val="00675159"/>
    <w:rsid w:val="0067531A"/>
    <w:rsid w:val="00675531"/>
    <w:rsid w:val="00675592"/>
    <w:rsid w:val="0067626F"/>
    <w:rsid w:val="0067640D"/>
    <w:rsid w:val="0067668F"/>
    <w:rsid w:val="00676712"/>
    <w:rsid w:val="0067692E"/>
    <w:rsid w:val="00676E9F"/>
    <w:rsid w:val="006771B6"/>
    <w:rsid w:val="006774B8"/>
    <w:rsid w:val="0067777C"/>
    <w:rsid w:val="0067789E"/>
    <w:rsid w:val="0067796E"/>
    <w:rsid w:val="00677D77"/>
    <w:rsid w:val="00680119"/>
    <w:rsid w:val="00680AF3"/>
    <w:rsid w:val="00681097"/>
    <w:rsid w:val="006812F0"/>
    <w:rsid w:val="00681B39"/>
    <w:rsid w:val="00681BA9"/>
    <w:rsid w:val="00681C8E"/>
    <w:rsid w:val="00681CCA"/>
    <w:rsid w:val="0068206F"/>
    <w:rsid w:val="00682271"/>
    <w:rsid w:val="00682680"/>
    <w:rsid w:val="00682977"/>
    <w:rsid w:val="00682EE6"/>
    <w:rsid w:val="00683664"/>
    <w:rsid w:val="00683E63"/>
    <w:rsid w:val="0068419D"/>
    <w:rsid w:val="0068454E"/>
    <w:rsid w:val="00684E0F"/>
    <w:rsid w:val="00684EA8"/>
    <w:rsid w:val="006856AE"/>
    <w:rsid w:val="006857F3"/>
    <w:rsid w:val="00685869"/>
    <w:rsid w:val="006858F5"/>
    <w:rsid w:val="00685932"/>
    <w:rsid w:val="00685CFC"/>
    <w:rsid w:val="00685D5E"/>
    <w:rsid w:val="00686021"/>
    <w:rsid w:val="0068607D"/>
    <w:rsid w:val="006864DD"/>
    <w:rsid w:val="00686795"/>
    <w:rsid w:val="00686950"/>
    <w:rsid w:val="00686AEC"/>
    <w:rsid w:val="00686EF6"/>
    <w:rsid w:val="00687669"/>
    <w:rsid w:val="006909ED"/>
    <w:rsid w:val="006909F7"/>
    <w:rsid w:val="00690DBF"/>
    <w:rsid w:val="00690F97"/>
    <w:rsid w:val="006914F3"/>
    <w:rsid w:val="00691650"/>
    <w:rsid w:val="006918E6"/>
    <w:rsid w:val="0069198D"/>
    <w:rsid w:val="00691A30"/>
    <w:rsid w:val="00691DA2"/>
    <w:rsid w:val="00691E90"/>
    <w:rsid w:val="00691F8E"/>
    <w:rsid w:val="006920D9"/>
    <w:rsid w:val="0069245E"/>
    <w:rsid w:val="00692507"/>
    <w:rsid w:val="00692A25"/>
    <w:rsid w:val="00692B7C"/>
    <w:rsid w:val="00692C95"/>
    <w:rsid w:val="00692D3E"/>
    <w:rsid w:val="00692DE4"/>
    <w:rsid w:val="00692EBF"/>
    <w:rsid w:val="006934F6"/>
    <w:rsid w:val="00693663"/>
    <w:rsid w:val="006937F0"/>
    <w:rsid w:val="0069412D"/>
    <w:rsid w:val="00694442"/>
    <w:rsid w:val="00694E77"/>
    <w:rsid w:val="0069529C"/>
    <w:rsid w:val="006952CE"/>
    <w:rsid w:val="006957FD"/>
    <w:rsid w:val="00695AAC"/>
    <w:rsid w:val="00695DE8"/>
    <w:rsid w:val="00696220"/>
    <w:rsid w:val="006964A6"/>
    <w:rsid w:val="006966EC"/>
    <w:rsid w:val="00696CB8"/>
    <w:rsid w:val="00697221"/>
    <w:rsid w:val="006975E3"/>
    <w:rsid w:val="006977D0"/>
    <w:rsid w:val="0069780A"/>
    <w:rsid w:val="00697A14"/>
    <w:rsid w:val="00697E8C"/>
    <w:rsid w:val="006A01A6"/>
    <w:rsid w:val="006A03B7"/>
    <w:rsid w:val="006A07F7"/>
    <w:rsid w:val="006A1131"/>
    <w:rsid w:val="006A1238"/>
    <w:rsid w:val="006A15A3"/>
    <w:rsid w:val="006A21AB"/>
    <w:rsid w:val="006A2238"/>
    <w:rsid w:val="006A2363"/>
    <w:rsid w:val="006A239B"/>
    <w:rsid w:val="006A2D4D"/>
    <w:rsid w:val="006A2E8F"/>
    <w:rsid w:val="006A316E"/>
    <w:rsid w:val="006A3625"/>
    <w:rsid w:val="006A36C5"/>
    <w:rsid w:val="006A3764"/>
    <w:rsid w:val="006A3F1E"/>
    <w:rsid w:val="006A420D"/>
    <w:rsid w:val="006A42D0"/>
    <w:rsid w:val="006A451E"/>
    <w:rsid w:val="006A4777"/>
    <w:rsid w:val="006A4AC8"/>
    <w:rsid w:val="006A4BDF"/>
    <w:rsid w:val="006A5028"/>
    <w:rsid w:val="006A53AC"/>
    <w:rsid w:val="006A5567"/>
    <w:rsid w:val="006A56FB"/>
    <w:rsid w:val="006A67BA"/>
    <w:rsid w:val="006A6831"/>
    <w:rsid w:val="006A6C3E"/>
    <w:rsid w:val="006A719C"/>
    <w:rsid w:val="006A7495"/>
    <w:rsid w:val="006A7AAE"/>
    <w:rsid w:val="006B03CE"/>
    <w:rsid w:val="006B03D7"/>
    <w:rsid w:val="006B09A3"/>
    <w:rsid w:val="006B17A4"/>
    <w:rsid w:val="006B2008"/>
    <w:rsid w:val="006B22B2"/>
    <w:rsid w:val="006B254B"/>
    <w:rsid w:val="006B2597"/>
    <w:rsid w:val="006B2693"/>
    <w:rsid w:val="006B2A92"/>
    <w:rsid w:val="006B2BD5"/>
    <w:rsid w:val="006B2E1A"/>
    <w:rsid w:val="006B3658"/>
    <w:rsid w:val="006B37AF"/>
    <w:rsid w:val="006B3840"/>
    <w:rsid w:val="006B3A81"/>
    <w:rsid w:val="006B3AEC"/>
    <w:rsid w:val="006B3E33"/>
    <w:rsid w:val="006B522D"/>
    <w:rsid w:val="006B54AF"/>
    <w:rsid w:val="006B5853"/>
    <w:rsid w:val="006B59AA"/>
    <w:rsid w:val="006B5AE2"/>
    <w:rsid w:val="006B5CB9"/>
    <w:rsid w:val="006B62CA"/>
    <w:rsid w:val="006B635A"/>
    <w:rsid w:val="006B6B0E"/>
    <w:rsid w:val="006B6CD9"/>
    <w:rsid w:val="006B7753"/>
    <w:rsid w:val="006B79B0"/>
    <w:rsid w:val="006C098C"/>
    <w:rsid w:val="006C0BF4"/>
    <w:rsid w:val="006C124B"/>
    <w:rsid w:val="006C16F7"/>
    <w:rsid w:val="006C1998"/>
    <w:rsid w:val="006C1A1A"/>
    <w:rsid w:val="006C1A6E"/>
    <w:rsid w:val="006C1BFA"/>
    <w:rsid w:val="006C1CBB"/>
    <w:rsid w:val="006C217A"/>
    <w:rsid w:val="006C250B"/>
    <w:rsid w:val="006C251D"/>
    <w:rsid w:val="006C2690"/>
    <w:rsid w:val="006C2752"/>
    <w:rsid w:val="006C3386"/>
    <w:rsid w:val="006C34C7"/>
    <w:rsid w:val="006C4617"/>
    <w:rsid w:val="006C4CCE"/>
    <w:rsid w:val="006C4F9A"/>
    <w:rsid w:val="006C5099"/>
    <w:rsid w:val="006C547A"/>
    <w:rsid w:val="006C5D8A"/>
    <w:rsid w:val="006C6405"/>
    <w:rsid w:val="006C6579"/>
    <w:rsid w:val="006C6647"/>
    <w:rsid w:val="006C6721"/>
    <w:rsid w:val="006C6837"/>
    <w:rsid w:val="006C6E43"/>
    <w:rsid w:val="006C6ED6"/>
    <w:rsid w:val="006C70BA"/>
    <w:rsid w:val="006C7153"/>
    <w:rsid w:val="006C73D4"/>
    <w:rsid w:val="006C7510"/>
    <w:rsid w:val="006C765B"/>
    <w:rsid w:val="006C76C0"/>
    <w:rsid w:val="006C7A62"/>
    <w:rsid w:val="006C7EDD"/>
    <w:rsid w:val="006D0D5C"/>
    <w:rsid w:val="006D0D82"/>
    <w:rsid w:val="006D0DCE"/>
    <w:rsid w:val="006D1106"/>
    <w:rsid w:val="006D19A0"/>
    <w:rsid w:val="006D1A45"/>
    <w:rsid w:val="006D21CE"/>
    <w:rsid w:val="006D251E"/>
    <w:rsid w:val="006D2C4B"/>
    <w:rsid w:val="006D3B38"/>
    <w:rsid w:val="006D3B85"/>
    <w:rsid w:val="006D43D8"/>
    <w:rsid w:val="006D4444"/>
    <w:rsid w:val="006D48A8"/>
    <w:rsid w:val="006D496D"/>
    <w:rsid w:val="006D5216"/>
    <w:rsid w:val="006D56FA"/>
    <w:rsid w:val="006D59D2"/>
    <w:rsid w:val="006D5A48"/>
    <w:rsid w:val="006D5ABF"/>
    <w:rsid w:val="006D5D87"/>
    <w:rsid w:val="006D5F2F"/>
    <w:rsid w:val="006D60E9"/>
    <w:rsid w:val="006D61DC"/>
    <w:rsid w:val="006D63F5"/>
    <w:rsid w:val="006D69AE"/>
    <w:rsid w:val="006D6A8A"/>
    <w:rsid w:val="006D6AD1"/>
    <w:rsid w:val="006D6D02"/>
    <w:rsid w:val="006D727A"/>
    <w:rsid w:val="006D77DF"/>
    <w:rsid w:val="006D7B3E"/>
    <w:rsid w:val="006D7D46"/>
    <w:rsid w:val="006D7E15"/>
    <w:rsid w:val="006E00B2"/>
    <w:rsid w:val="006E02C3"/>
    <w:rsid w:val="006E0A11"/>
    <w:rsid w:val="006E1089"/>
    <w:rsid w:val="006E1345"/>
    <w:rsid w:val="006E165C"/>
    <w:rsid w:val="006E23CC"/>
    <w:rsid w:val="006E268A"/>
    <w:rsid w:val="006E28F6"/>
    <w:rsid w:val="006E2AF7"/>
    <w:rsid w:val="006E33AF"/>
    <w:rsid w:val="006E39E2"/>
    <w:rsid w:val="006E401F"/>
    <w:rsid w:val="006E4247"/>
    <w:rsid w:val="006E4483"/>
    <w:rsid w:val="006E44D9"/>
    <w:rsid w:val="006E4861"/>
    <w:rsid w:val="006E4A21"/>
    <w:rsid w:val="006E4D76"/>
    <w:rsid w:val="006E529A"/>
    <w:rsid w:val="006E52B6"/>
    <w:rsid w:val="006E5469"/>
    <w:rsid w:val="006E5740"/>
    <w:rsid w:val="006E5ABC"/>
    <w:rsid w:val="006E5AC5"/>
    <w:rsid w:val="006E5BB1"/>
    <w:rsid w:val="006E5F39"/>
    <w:rsid w:val="006E6394"/>
    <w:rsid w:val="006E6D3A"/>
    <w:rsid w:val="006E6D8A"/>
    <w:rsid w:val="006E73BA"/>
    <w:rsid w:val="006E7DF3"/>
    <w:rsid w:val="006F0A0B"/>
    <w:rsid w:val="006F0B07"/>
    <w:rsid w:val="006F0CC7"/>
    <w:rsid w:val="006F0CFC"/>
    <w:rsid w:val="006F0D79"/>
    <w:rsid w:val="006F108E"/>
    <w:rsid w:val="006F13E5"/>
    <w:rsid w:val="006F1807"/>
    <w:rsid w:val="006F1BC2"/>
    <w:rsid w:val="006F1FC1"/>
    <w:rsid w:val="006F250B"/>
    <w:rsid w:val="006F29D8"/>
    <w:rsid w:val="006F2D5E"/>
    <w:rsid w:val="006F2F90"/>
    <w:rsid w:val="006F335E"/>
    <w:rsid w:val="006F3F76"/>
    <w:rsid w:val="006F40F8"/>
    <w:rsid w:val="006F4E56"/>
    <w:rsid w:val="006F4F39"/>
    <w:rsid w:val="006F564A"/>
    <w:rsid w:val="006F579F"/>
    <w:rsid w:val="006F5C7F"/>
    <w:rsid w:val="006F5D90"/>
    <w:rsid w:val="006F5F61"/>
    <w:rsid w:val="006F61A0"/>
    <w:rsid w:val="006F6C47"/>
    <w:rsid w:val="006F70D4"/>
    <w:rsid w:val="006F74D5"/>
    <w:rsid w:val="006F7774"/>
    <w:rsid w:val="006F7930"/>
    <w:rsid w:val="006F7D13"/>
    <w:rsid w:val="00700877"/>
    <w:rsid w:val="00700910"/>
    <w:rsid w:val="00700A63"/>
    <w:rsid w:val="00700C7A"/>
    <w:rsid w:val="00700D5F"/>
    <w:rsid w:val="00701CAE"/>
    <w:rsid w:val="00702601"/>
    <w:rsid w:val="00702A8E"/>
    <w:rsid w:val="00702DEC"/>
    <w:rsid w:val="007033E9"/>
    <w:rsid w:val="007036A5"/>
    <w:rsid w:val="00703F1C"/>
    <w:rsid w:val="00703F6D"/>
    <w:rsid w:val="00703F7E"/>
    <w:rsid w:val="007041F8"/>
    <w:rsid w:val="00704AC7"/>
    <w:rsid w:val="00705516"/>
    <w:rsid w:val="007056D2"/>
    <w:rsid w:val="00705CCF"/>
    <w:rsid w:val="00705EE7"/>
    <w:rsid w:val="007068E4"/>
    <w:rsid w:val="00706927"/>
    <w:rsid w:val="0070695D"/>
    <w:rsid w:val="00706B43"/>
    <w:rsid w:val="00706E3D"/>
    <w:rsid w:val="007073E1"/>
    <w:rsid w:val="007074A8"/>
    <w:rsid w:val="0070765E"/>
    <w:rsid w:val="007114F5"/>
    <w:rsid w:val="0071177A"/>
    <w:rsid w:val="0071220F"/>
    <w:rsid w:val="00712285"/>
    <w:rsid w:val="0071298D"/>
    <w:rsid w:val="00712D18"/>
    <w:rsid w:val="00713095"/>
    <w:rsid w:val="00713361"/>
    <w:rsid w:val="007138EA"/>
    <w:rsid w:val="007139C7"/>
    <w:rsid w:val="00713B93"/>
    <w:rsid w:val="00713DB5"/>
    <w:rsid w:val="0071440F"/>
    <w:rsid w:val="00714617"/>
    <w:rsid w:val="00714E1E"/>
    <w:rsid w:val="00715354"/>
    <w:rsid w:val="0071554F"/>
    <w:rsid w:val="007160B9"/>
    <w:rsid w:val="0071628A"/>
    <w:rsid w:val="0071660C"/>
    <w:rsid w:val="00716B8D"/>
    <w:rsid w:val="00716F58"/>
    <w:rsid w:val="0071745B"/>
    <w:rsid w:val="00717924"/>
    <w:rsid w:val="007179EA"/>
    <w:rsid w:val="00717BEC"/>
    <w:rsid w:val="007204C6"/>
    <w:rsid w:val="007205E7"/>
    <w:rsid w:val="00720AF9"/>
    <w:rsid w:val="00720F0C"/>
    <w:rsid w:val="00721451"/>
    <w:rsid w:val="00721502"/>
    <w:rsid w:val="00721D5B"/>
    <w:rsid w:val="00721F2C"/>
    <w:rsid w:val="0072202B"/>
    <w:rsid w:val="00722398"/>
    <w:rsid w:val="00722659"/>
    <w:rsid w:val="00722FC6"/>
    <w:rsid w:val="00723422"/>
    <w:rsid w:val="007235EA"/>
    <w:rsid w:val="00723D6C"/>
    <w:rsid w:val="00723F23"/>
    <w:rsid w:val="00723FA1"/>
    <w:rsid w:val="007246FF"/>
    <w:rsid w:val="0072492B"/>
    <w:rsid w:val="00724C50"/>
    <w:rsid w:val="007257D5"/>
    <w:rsid w:val="00725971"/>
    <w:rsid w:val="007259C9"/>
    <w:rsid w:val="00725B31"/>
    <w:rsid w:val="00726958"/>
    <w:rsid w:val="007269ED"/>
    <w:rsid w:val="00726DA7"/>
    <w:rsid w:val="00726FE2"/>
    <w:rsid w:val="00727052"/>
    <w:rsid w:val="00727950"/>
    <w:rsid w:val="00730751"/>
    <w:rsid w:val="007313C8"/>
    <w:rsid w:val="00731497"/>
    <w:rsid w:val="007316F0"/>
    <w:rsid w:val="00731BFC"/>
    <w:rsid w:val="00731DC7"/>
    <w:rsid w:val="00731DDE"/>
    <w:rsid w:val="007333C1"/>
    <w:rsid w:val="007333FE"/>
    <w:rsid w:val="007338F5"/>
    <w:rsid w:val="007339B7"/>
    <w:rsid w:val="00733B22"/>
    <w:rsid w:val="00733C12"/>
    <w:rsid w:val="00734215"/>
    <w:rsid w:val="007342E4"/>
    <w:rsid w:val="007359AF"/>
    <w:rsid w:val="007360A6"/>
    <w:rsid w:val="007367C0"/>
    <w:rsid w:val="00737019"/>
    <w:rsid w:val="00737232"/>
    <w:rsid w:val="00737B0D"/>
    <w:rsid w:val="0074065D"/>
    <w:rsid w:val="00740811"/>
    <w:rsid w:val="0074093C"/>
    <w:rsid w:val="007413F2"/>
    <w:rsid w:val="0074172D"/>
    <w:rsid w:val="007419B0"/>
    <w:rsid w:val="0074214B"/>
    <w:rsid w:val="00742EA0"/>
    <w:rsid w:val="00743086"/>
    <w:rsid w:val="007432FB"/>
    <w:rsid w:val="007435A3"/>
    <w:rsid w:val="007437CF"/>
    <w:rsid w:val="007438CD"/>
    <w:rsid w:val="007440CF"/>
    <w:rsid w:val="00744B3B"/>
    <w:rsid w:val="00745412"/>
    <w:rsid w:val="00745704"/>
    <w:rsid w:val="00745CED"/>
    <w:rsid w:val="00745D78"/>
    <w:rsid w:val="00746090"/>
    <w:rsid w:val="00746F64"/>
    <w:rsid w:val="007479D8"/>
    <w:rsid w:val="00747B6E"/>
    <w:rsid w:val="00747C76"/>
    <w:rsid w:val="007500AF"/>
    <w:rsid w:val="007501B8"/>
    <w:rsid w:val="00750300"/>
    <w:rsid w:val="007504BF"/>
    <w:rsid w:val="007505A0"/>
    <w:rsid w:val="00750609"/>
    <w:rsid w:val="0075072A"/>
    <w:rsid w:val="00750878"/>
    <w:rsid w:val="00750D45"/>
    <w:rsid w:val="00751560"/>
    <w:rsid w:val="00751733"/>
    <w:rsid w:val="0075187C"/>
    <w:rsid w:val="007518C9"/>
    <w:rsid w:val="00751D74"/>
    <w:rsid w:val="00751DE8"/>
    <w:rsid w:val="007520E0"/>
    <w:rsid w:val="007522EA"/>
    <w:rsid w:val="00752584"/>
    <w:rsid w:val="00752A09"/>
    <w:rsid w:val="00752FE2"/>
    <w:rsid w:val="007530B3"/>
    <w:rsid w:val="00753ABB"/>
    <w:rsid w:val="0075407F"/>
    <w:rsid w:val="007541FF"/>
    <w:rsid w:val="0075436D"/>
    <w:rsid w:val="00754A3E"/>
    <w:rsid w:val="00754C9B"/>
    <w:rsid w:val="00754E90"/>
    <w:rsid w:val="00754FEB"/>
    <w:rsid w:val="0075523A"/>
    <w:rsid w:val="00755347"/>
    <w:rsid w:val="007555D9"/>
    <w:rsid w:val="00755693"/>
    <w:rsid w:val="00755910"/>
    <w:rsid w:val="0075598B"/>
    <w:rsid w:val="007559AA"/>
    <w:rsid w:val="00755BAD"/>
    <w:rsid w:val="007567D6"/>
    <w:rsid w:val="00756999"/>
    <w:rsid w:val="00756A84"/>
    <w:rsid w:val="00756EDA"/>
    <w:rsid w:val="00756F24"/>
    <w:rsid w:val="0075719B"/>
    <w:rsid w:val="00757919"/>
    <w:rsid w:val="00757AB4"/>
    <w:rsid w:val="00760183"/>
    <w:rsid w:val="007601D6"/>
    <w:rsid w:val="007602B0"/>
    <w:rsid w:val="00760650"/>
    <w:rsid w:val="00760775"/>
    <w:rsid w:val="00761506"/>
    <w:rsid w:val="0076191F"/>
    <w:rsid w:val="00761E12"/>
    <w:rsid w:val="00762293"/>
    <w:rsid w:val="0076258C"/>
    <w:rsid w:val="007625BC"/>
    <w:rsid w:val="00762988"/>
    <w:rsid w:val="007629FA"/>
    <w:rsid w:val="00762E50"/>
    <w:rsid w:val="00762F29"/>
    <w:rsid w:val="00763350"/>
    <w:rsid w:val="00763879"/>
    <w:rsid w:val="007639F5"/>
    <w:rsid w:val="00763D30"/>
    <w:rsid w:val="00763FD0"/>
    <w:rsid w:val="0076416F"/>
    <w:rsid w:val="00764425"/>
    <w:rsid w:val="0076478B"/>
    <w:rsid w:val="00764856"/>
    <w:rsid w:val="007648A2"/>
    <w:rsid w:val="007648BE"/>
    <w:rsid w:val="00764918"/>
    <w:rsid w:val="00764D09"/>
    <w:rsid w:val="00765DCA"/>
    <w:rsid w:val="0076636F"/>
    <w:rsid w:val="007665CE"/>
    <w:rsid w:val="0076689D"/>
    <w:rsid w:val="00766A00"/>
    <w:rsid w:val="00766BC7"/>
    <w:rsid w:val="00766D3D"/>
    <w:rsid w:val="00767391"/>
    <w:rsid w:val="00767B98"/>
    <w:rsid w:val="00767F0C"/>
    <w:rsid w:val="007701E8"/>
    <w:rsid w:val="007708E3"/>
    <w:rsid w:val="00770949"/>
    <w:rsid w:val="00770DB8"/>
    <w:rsid w:val="00770F95"/>
    <w:rsid w:val="0077135F"/>
    <w:rsid w:val="007715B1"/>
    <w:rsid w:val="00771985"/>
    <w:rsid w:val="00771DC2"/>
    <w:rsid w:val="00772040"/>
    <w:rsid w:val="00772749"/>
    <w:rsid w:val="007727D3"/>
    <w:rsid w:val="00772892"/>
    <w:rsid w:val="00772EE5"/>
    <w:rsid w:val="00773AC6"/>
    <w:rsid w:val="00773DB5"/>
    <w:rsid w:val="0077475E"/>
    <w:rsid w:val="00774B3B"/>
    <w:rsid w:val="00774E0C"/>
    <w:rsid w:val="007752AA"/>
    <w:rsid w:val="00775CB8"/>
    <w:rsid w:val="00775D7F"/>
    <w:rsid w:val="0077645F"/>
    <w:rsid w:val="0077648B"/>
    <w:rsid w:val="00776D6F"/>
    <w:rsid w:val="00777838"/>
    <w:rsid w:val="00777CF8"/>
    <w:rsid w:val="00777F4D"/>
    <w:rsid w:val="00780033"/>
    <w:rsid w:val="007800CD"/>
    <w:rsid w:val="0078013D"/>
    <w:rsid w:val="0078040D"/>
    <w:rsid w:val="007808AA"/>
    <w:rsid w:val="00780913"/>
    <w:rsid w:val="00780E9B"/>
    <w:rsid w:val="00780F8C"/>
    <w:rsid w:val="00781737"/>
    <w:rsid w:val="00781744"/>
    <w:rsid w:val="00782D6E"/>
    <w:rsid w:val="00782DD3"/>
    <w:rsid w:val="00783354"/>
    <w:rsid w:val="007838AD"/>
    <w:rsid w:val="00783A84"/>
    <w:rsid w:val="00784079"/>
    <w:rsid w:val="00784A63"/>
    <w:rsid w:val="00784B01"/>
    <w:rsid w:val="00784DC6"/>
    <w:rsid w:val="007857EA"/>
    <w:rsid w:val="00785C05"/>
    <w:rsid w:val="0078640F"/>
    <w:rsid w:val="007870E0"/>
    <w:rsid w:val="00787221"/>
    <w:rsid w:val="00787404"/>
    <w:rsid w:val="00787415"/>
    <w:rsid w:val="00787455"/>
    <w:rsid w:val="007877DF"/>
    <w:rsid w:val="00787F8A"/>
    <w:rsid w:val="0079076C"/>
    <w:rsid w:val="007908BE"/>
    <w:rsid w:val="0079133F"/>
    <w:rsid w:val="00791F1A"/>
    <w:rsid w:val="0079226A"/>
    <w:rsid w:val="007923D0"/>
    <w:rsid w:val="00792C72"/>
    <w:rsid w:val="00792D03"/>
    <w:rsid w:val="00792D81"/>
    <w:rsid w:val="00792F27"/>
    <w:rsid w:val="00793130"/>
    <w:rsid w:val="007931AB"/>
    <w:rsid w:val="007932AA"/>
    <w:rsid w:val="00793558"/>
    <w:rsid w:val="007936B0"/>
    <w:rsid w:val="00793C51"/>
    <w:rsid w:val="007941D3"/>
    <w:rsid w:val="00794590"/>
    <w:rsid w:val="00795309"/>
    <w:rsid w:val="007965CE"/>
    <w:rsid w:val="007967AC"/>
    <w:rsid w:val="00796C02"/>
    <w:rsid w:val="00796E12"/>
    <w:rsid w:val="00796EDE"/>
    <w:rsid w:val="007975F5"/>
    <w:rsid w:val="007979A1"/>
    <w:rsid w:val="00797B01"/>
    <w:rsid w:val="00797EFE"/>
    <w:rsid w:val="007A01B3"/>
    <w:rsid w:val="007A08B3"/>
    <w:rsid w:val="007A0DC1"/>
    <w:rsid w:val="007A142C"/>
    <w:rsid w:val="007A2CF6"/>
    <w:rsid w:val="007A3730"/>
    <w:rsid w:val="007A3CE7"/>
    <w:rsid w:val="007A405C"/>
    <w:rsid w:val="007A467B"/>
    <w:rsid w:val="007A46FD"/>
    <w:rsid w:val="007A4F48"/>
    <w:rsid w:val="007A4FD3"/>
    <w:rsid w:val="007A54C5"/>
    <w:rsid w:val="007A5726"/>
    <w:rsid w:val="007A57A1"/>
    <w:rsid w:val="007A5E70"/>
    <w:rsid w:val="007A6344"/>
    <w:rsid w:val="007A6660"/>
    <w:rsid w:val="007A66D0"/>
    <w:rsid w:val="007A6DEC"/>
    <w:rsid w:val="007A7130"/>
    <w:rsid w:val="007A718B"/>
    <w:rsid w:val="007A735D"/>
    <w:rsid w:val="007A7A78"/>
    <w:rsid w:val="007A7D34"/>
    <w:rsid w:val="007B06ED"/>
    <w:rsid w:val="007B096B"/>
    <w:rsid w:val="007B0FCE"/>
    <w:rsid w:val="007B1197"/>
    <w:rsid w:val="007B1388"/>
    <w:rsid w:val="007B147F"/>
    <w:rsid w:val="007B1B80"/>
    <w:rsid w:val="007B1C39"/>
    <w:rsid w:val="007B1CCD"/>
    <w:rsid w:val="007B20E1"/>
    <w:rsid w:val="007B2772"/>
    <w:rsid w:val="007B2843"/>
    <w:rsid w:val="007B2D99"/>
    <w:rsid w:val="007B3101"/>
    <w:rsid w:val="007B3988"/>
    <w:rsid w:val="007B3EE4"/>
    <w:rsid w:val="007B3FE9"/>
    <w:rsid w:val="007B4459"/>
    <w:rsid w:val="007B49A6"/>
    <w:rsid w:val="007B49CC"/>
    <w:rsid w:val="007B4D72"/>
    <w:rsid w:val="007B4E8E"/>
    <w:rsid w:val="007B4F9B"/>
    <w:rsid w:val="007B5020"/>
    <w:rsid w:val="007B5C9B"/>
    <w:rsid w:val="007B5FB6"/>
    <w:rsid w:val="007B609F"/>
    <w:rsid w:val="007B60BA"/>
    <w:rsid w:val="007B6869"/>
    <w:rsid w:val="007B6F65"/>
    <w:rsid w:val="007B709B"/>
    <w:rsid w:val="007B7149"/>
    <w:rsid w:val="007B74ED"/>
    <w:rsid w:val="007B7604"/>
    <w:rsid w:val="007B7693"/>
    <w:rsid w:val="007B7BF5"/>
    <w:rsid w:val="007C088B"/>
    <w:rsid w:val="007C0917"/>
    <w:rsid w:val="007C12DF"/>
    <w:rsid w:val="007C1531"/>
    <w:rsid w:val="007C1545"/>
    <w:rsid w:val="007C1DF7"/>
    <w:rsid w:val="007C1F29"/>
    <w:rsid w:val="007C2B73"/>
    <w:rsid w:val="007C2E18"/>
    <w:rsid w:val="007C3724"/>
    <w:rsid w:val="007C3939"/>
    <w:rsid w:val="007C3A13"/>
    <w:rsid w:val="007C3DAF"/>
    <w:rsid w:val="007C3E2D"/>
    <w:rsid w:val="007C3F03"/>
    <w:rsid w:val="007C42D4"/>
    <w:rsid w:val="007C5A0D"/>
    <w:rsid w:val="007C64B7"/>
    <w:rsid w:val="007C677B"/>
    <w:rsid w:val="007C6C68"/>
    <w:rsid w:val="007C6CB6"/>
    <w:rsid w:val="007C6D85"/>
    <w:rsid w:val="007C6DD3"/>
    <w:rsid w:val="007C6F5A"/>
    <w:rsid w:val="007C7DC3"/>
    <w:rsid w:val="007D0042"/>
    <w:rsid w:val="007D0A60"/>
    <w:rsid w:val="007D0AFF"/>
    <w:rsid w:val="007D0D79"/>
    <w:rsid w:val="007D0D97"/>
    <w:rsid w:val="007D0E38"/>
    <w:rsid w:val="007D113D"/>
    <w:rsid w:val="007D1243"/>
    <w:rsid w:val="007D1776"/>
    <w:rsid w:val="007D1960"/>
    <w:rsid w:val="007D1BFD"/>
    <w:rsid w:val="007D2923"/>
    <w:rsid w:val="007D2941"/>
    <w:rsid w:val="007D2E9A"/>
    <w:rsid w:val="007D2F32"/>
    <w:rsid w:val="007D2F47"/>
    <w:rsid w:val="007D3089"/>
    <w:rsid w:val="007D3323"/>
    <w:rsid w:val="007D33E9"/>
    <w:rsid w:val="007D3634"/>
    <w:rsid w:val="007D379A"/>
    <w:rsid w:val="007D3B9D"/>
    <w:rsid w:val="007D3C53"/>
    <w:rsid w:val="007D3CAA"/>
    <w:rsid w:val="007D3D91"/>
    <w:rsid w:val="007D4278"/>
    <w:rsid w:val="007D4477"/>
    <w:rsid w:val="007D468F"/>
    <w:rsid w:val="007D46AD"/>
    <w:rsid w:val="007D4DBA"/>
    <w:rsid w:val="007D5AC0"/>
    <w:rsid w:val="007D63B9"/>
    <w:rsid w:val="007D6625"/>
    <w:rsid w:val="007D6BE1"/>
    <w:rsid w:val="007D6DA0"/>
    <w:rsid w:val="007D7319"/>
    <w:rsid w:val="007D738E"/>
    <w:rsid w:val="007D74DE"/>
    <w:rsid w:val="007D780B"/>
    <w:rsid w:val="007D7A1A"/>
    <w:rsid w:val="007D7ABA"/>
    <w:rsid w:val="007D7B60"/>
    <w:rsid w:val="007E0678"/>
    <w:rsid w:val="007E06DC"/>
    <w:rsid w:val="007E077E"/>
    <w:rsid w:val="007E08F5"/>
    <w:rsid w:val="007E0C17"/>
    <w:rsid w:val="007E13DF"/>
    <w:rsid w:val="007E16BF"/>
    <w:rsid w:val="007E1A52"/>
    <w:rsid w:val="007E2575"/>
    <w:rsid w:val="007E2693"/>
    <w:rsid w:val="007E2798"/>
    <w:rsid w:val="007E2984"/>
    <w:rsid w:val="007E29C9"/>
    <w:rsid w:val="007E2A67"/>
    <w:rsid w:val="007E352B"/>
    <w:rsid w:val="007E3C14"/>
    <w:rsid w:val="007E3EFE"/>
    <w:rsid w:val="007E4A8E"/>
    <w:rsid w:val="007E55C5"/>
    <w:rsid w:val="007E6258"/>
    <w:rsid w:val="007E641D"/>
    <w:rsid w:val="007E66E3"/>
    <w:rsid w:val="007E68A5"/>
    <w:rsid w:val="007E6B95"/>
    <w:rsid w:val="007E6C0D"/>
    <w:rsid w:val="007E7740"/>
    <w:rsid w:val="007E78CD"/>
    <w:rsid w:val="007F0020"/>
    <w:rsid w:val="007F0D89"/>
    <w:rsid w:val="007F0DCF"/>
    <w:rsid w:val="007F0E46"/>
    <w:rsid w:val="007F1319"/>
    <w:rsid w:val="007F1917"/>
    <w:rsid w:val="007F1AA7"/>
    <w:rsid w:val="007F1E70"/>
    <w:rsid w:val="007F21BD"/>
    <w:rsid w:val="007F24BE"/>
    <w:rsid w:val="007F2F4E"/>
    <w:rsid w:val="007F320D"/>
    <w:rsid w:val="007F3383"/>
    <w:rsid w:val="007F397B"/>
    <w:rsid w:val="007F4076"/>
    <w:rsid w:val="007F43D1"/>
    <w:rsid w:val="007F4673"/>
    <w:rsid w:val="007F4793"/>
    <w:rsid w:val="007F49C1"/>
    <w:rsid w:val="007F4A23"/>
    <w:rsid w:val="007F5515"/>
    <w:rsid w:val="007F5FC8"/>
    <w:rsid w:val="007F6586"/>
    <w:rsid w:val="007F67E4"/>
    <w:rsid w:val="007F6E2B"/>
    <w:rsid w:val="007F7D5F"/>
    <w:rsid w:val="00800555"/>
    <w:rsid w:val="008006E3"/>
    <w:rsid w:val="008007AA"/>
    <w:rsid w:val="0080118C"/>
    <w:rsid w:val="008011F8"/>
    <w:rsid w:val="008017BE"/>
    <w:rsid w:val="00801A7F"/>
    <w:rsid w:val="00801C9B"/>
    <w:rsid w:val="00801CF5"/>
    <w:rsid w:val="00801E2A"/>
    <w:rsid w:val="00802030"/>
    <w:rsid w:val="0080205A"/>
    <w:rsid w:val="00802FE8"/>
    <w:rsid w:val="0080332C"/>
    <w:rsid w:val="00803353"/>
    <w:rsid w:val="00803474"/>
    <w:rsid w:val="008034D0"/>
    <w:rsid w:val="008036F8"/>
    <w:rsid w:val="00803C8F"/>
    <w:rsid w:val="00803E05"/>
    <w:rsid w:val="00803EFC"/>
    <w:rsid w:val="00804B6F"/>
    <w:rsid w:val="0080588A"/>
    <w:rsid w:val="008058FD"/>
    <w:rsid w:val="008059E8"/>
    <w:rsid w:val="00806491"/>
    <w:rsid w:val="00806582"/>
    <w:rsid w:val="00806D81"/>
    <w:rsid w:val="00806FF8"/>
    <w:rsid w:val="008073FD"/>
    <w:rsid w:val="008075EA"/>
    <w:rsid w:val="00807610"/>
    <w:rsid w:val="008076E4"/>
    <w:rsid w:val="00807A03"/>
    <w:rsid w:val="00807D9B"/>
    <w:rsid w:val="0081080D"/>
    <w:rsid w:val="00810F30"/>
    <w:rsid w:val="008111DC"/>
    <w:rsid w:val="00811365"/>
    <w:rsid w:val="00812AB4"/>
    <w:rsid w:val="00812C10"/>
    <w:rsid w:val="00812CAB"/>
    <w:rsid w:val="00812E7B"/>
    <w:rsid w:val="008135A6"/>
    <w:rsid w:val="008144D2"/>
    <w:rsid w:val="00814A2B"/>
    <w:rsid w:val="00814A49"/>
    <w:rsid w:val="00814A9E"/>
    <w:rsid w:val="008151AE"/>
    <w:rsid w:val="00815606"/>
    <w:rsid w:val="00816C60"/>
    <w:rsid w:val="00816F99"/>
    <w:rsid w:val="008177FE"/>
    <w:rsid w:val="00817A8E"/>
    <w:rsid w:val="00817DBF"/>
    <w:rsid w:val="0082023C"/>
    <w:rsid w:val="0082056D"/>
    <w:rsid w:val="00820637"/>
    <w:rsid w:val="0082140D"/>
    <w:rsid w:val="008216B8"/>
    <w:rsid w:val="008219A9"/>
    <w:rsid w:val="008219B2"/>
    <w:rsid w:val="00822068"/>
    <w:rsid w:val="00822594"/>
    <w:rsid w:val="008226DB"/>
    <w:rsid w:val="008227A8"/>
    <w:rsid w:val="00822F36"/>
    <w:rsid w:val="00823124"/>
    <w:rsid w:val="00823440"/>
    <w:rsid w:val="00823BCC"/>
    <w:rsid w:val="00823E98"/>
    <w:rsid w:val="00823EB8"/>
    <w:rsid w:val="0082401D"/>
    <w:rsid w:val="0082420D"/>
    <w:rsid w:val="00824A45"/>
    <w:rsid w:val="00824D11"/>
    <w:rsid w:val="0082522F"/>
    <w:rsid w:val="0082555A"/>
    <w:rsid w:val="008255AA"/>
    <w:rsid w:val="00825C10"/>
    <w:rsid w:val="00826420"/>
    <w:rsid w:val="00826BB2"/>
    <w:rsid w:val="008274B0"/>
    <w:rsid w:val="00827A1F"/>
    <w:rsid w:val="00827E41"/>
    <w:rsid w:val="00827E76"/>
    <w:rsid w:val="00827F43"/>
    <w:rsid w:val="008306A6"/>
    <w:rsid w:val="00831435"/>
    <w:rsid w:val="00831678"/>
    <w:rsid w:val="00831A16"/>
    <w:rsid w:val="00831CC6"/>
    <w:rsid w:val="008325EF"/>
    <w:rsid w:val="0083263C"/>
    <w:rsid w:val="00832965"/>
    <w:rsid w:val="00832BA5"/>
    <w:rsid w:val="00832ED7"/>
    <w:rsid w:val="00832F09"/>
    <w:rsid w:val="008332A7"/>
    <w:rsid w:val="008332AD"/>
    <w:rsid w:val="008332FD"/>
    <w:rsid w:val="008333ED"/>
    <w:rsid w:val="00833C47"/>
    <w:rsid w:val="00833E29"/>
    <w:rsid w:val="00833F5A"/>
    <w:rsid w:val="00833F83"/>
    <w:rsid w:val="0083441B"/>
    <w:rsid w:val="00834459"/>
    <w:rsid w:val="00834469"/>
    <w:rsid w:val="0083447E"/>
    <w:rsid w:val="00834A9B"/>
    <w:rsid w:val="00834AA9"/>
    <w:rsid w:val="008352A3"/>
    <w:rsid w:val="008357E8"/>
    <w:rsid w:val="0083588E"/>
    <w:rsid w:val="008358F5"/>
    <w:rsid w:val="00836013"/>
    <w:rsid w:val="00836193"/>
    <w:rsid w:val="0083641A"/>
    <w:rsid w:val="00836485"/>
    <w:rsid w:val="008365BC"/>
    <w:rsid w:val="00836951"/>
    <w:rsid w:val="00836954"/>
    <w:rsid w:val="00836C97"/>
    <w:rsid w:val="00837167"/>
    <w:rsid w:val="00837491"/>
    <w:rsid w:val="008375BF"/>
    <w:rsid w:val="00837DAE"/>
    <w:rsid w:val="00837E8E"/>
    <w:rsid w:val="0084011B"/>
    <w:rsid w:val="008401AA"/>
    <w:rsid w:val="00840568"/>
    <w:rsid w:val="00840722"/>
    <w:rsid w:val="0084123A"/>
    <w:rsid w:val="008423D0"/>
    <w:rsid w:val="008423FE"/>
    <w:rsid w:val="0084250E"/>
    <w:rsid w:val="0084273C"/>
    <w:rsid w:val="00842B4C"/>
    <w:rsid w:val="00842D61"/>
    <w:rsid w:val="00843444"/>
    <w:rsid w:val="00843963"/>
    <w:rsid w:val="00844104"/>
    <w:rsid w:val="008441E6"/>
    <w:rsid w:val="0084423B"/>
    <w:rsid w:val="008444C2"/>
    <w:rsid w:val="00844D9A"/>
    <w:rsid w:val="00845DED"/>
    <w:rsid w:val="0084611B"/>
    <w:rsid w:val="00846122"/>
    <w:rsid w:val="00846A34"/>
    <w:rsid w:val="00846ADD"/>
    <w:rsid w:val="00846BEC"/>
    <w:rsid w:val="00846DC1"/>
    <w:rsid w:val="0084707E"/>
    <w:rsid w:val="008471C4"/>
    <w:rsid w:val="00847234"/>
    <w:rsid w:val="00847272"/>
    <w:rsid w:val="00847730"/>
    <w:rsid w:val="008477C1"/>
    <w:rsid w:val="00847822"/>
    <w:rsid w:val="00847B81"/>
    <w:rsid w:val="00847D17"/>
    <w:rsid w:val="00847E58"/>
    <w:rsid w:val="0085010B"/>
    <w:rsid w:val="00850121"/>
    <w:rsid w:val="008508BA"/>
    <w:rsid w:val="00850938"/>
    <w:rsid w:val="008509D2"/>
    <w:rsid w:val="00851829"/>
    <w:rsid w:val="00851E46"/>
    <w:rsid w:val="00852401"/>
    <w:rsid w:val="00852693"/>
    <w:rsid w:val="008528CA"/>
    <w:rsid w:val="00852D47"/>
    <w:rsid w:val="008530B4"/>
    <w:rsid w:val="00853448"/>
    <w:rsid w:val="00853A63"/>
    <w:rsid w:val="00853A8A"/>
    <w:rsid w:val="00853F22"/>
    <w:rsid w:val="00854153"/>
    <w:rsid w:val="00854A1F"/>
    <w:rsid w:val="00854AC4"/>
    <w:rsid w:val="00854D35"/>
    <w:rsid w:val="00855FAB"/>
    <w:rsid w:val="008562F5"/>
    <w:rsid w:val="00856517"/>
    <w:rsid w:val="00856677"/>
    <w:rsid w:val="00856CD0"/>
    <w:rsid w:val="00856D1A"/>
    <w:rsid w:val="00856D8C"/>
    <w:rsid w:val="00857042"/>
    <w:rsid w:val="008574B8"/>
    <w:rsid w:val="008578AE"/>
    <w:rsid w:val="00857C01"/>
    <w:rsid w:val="00857D15"/>
    <w:rsid w:val="00857D92"/>
    <w:rsid w:val="00860036"/>
    <w:rsid w:val="00860075"/>
    <w:rsid w:val="008601BE"/>
    <w:rsid w:val="008603BF"/>
    <w:rsid w:val="0086049E"/>
    <w:rsid w:val="008604A6"/>
    <w:rsid w:val="0086103D"/>
    <w:rsid w:val="00861052"/>
    <w:rsid w:val="00861125"/>
    <w:rsid w:val="008613F1"/>
    <w:rsid w:val="00861438"/>
    <w:rsid w:val="0086148F"/>
    <w:rsid w:val="0086291D"/>
    <w:rsid w:val="00862A58"/>
    <w:rsid w:val="00862F00"/>
    <w:rsid w:val="008633DE"/>
    <w:rsid w:val="00863EB0"/>
    <w:rsid w:val="00863F52"/>
    <w:rsid w:val="00864AC7"/>
    <w:rsid w:val="00864C82"/>
    <w:rsid w:val="00865009"/>
    <w:rsid w:val="00865364"/>
    <w:rsid w:val="00865B4F"/>
    <w:rsid w:val="00865BF0"/>
    <w:rsid w:val="00865CE5"/>
    <w:rsid w:val="0086606A"/>
    <w:rsid w:val="00866524"/>
    <w:rsid w:val="00866A78"/>
    <w:rsid w:val="00866EBC"/>
    <w:rsid w:val="00866EEB"/>
    <w:rsid w:val="00867655"/>
    <w:rsid w:val="008676AE"/>
    <w:rsid w:val="00867E0A"/>
    <w:rsid w:val="0087030B"/>
    <w:rsid w:val="00870A5D"/>
    <w:rsid w:val="008712FC"/>
    <w:rsid w:val="00871505"/>
    <w:rsid w:val="00871695"/>
    <w:rsid w:val="008718A5"/>
    <w:rsid w:val="00872600"/>
    <w:rsid w:val="008736C0"/>
    <w:rsid w:val="00873BD3"/>
    <w:rsid w:val="008741CA"/>
    <w:rsid w:val="00874585"/>
    <w:rsid w:val="008745F8"/>
    <w:rsid w:val="008747E2"/>
    <w:rsid w:val="008748A1"/>
    <w:rsid w:val="00874B82"/>
    <w:rsid w:val="00874D63"/>
    <w:rsid w:val="00875208"/>
    <w:rsid w:val="0087542B"/>
    <w:rsid w:val="008754DD"/>
    <w:rsid w:val="008758D6"/>
    <w:rsid w:val="0087590F"/>
    <w:rsid w:val="00875AF6"/>
    <w:rsid w:val="00875DEC"/>
    <w:rsid w:val="00875F4A"/>
    <w:rsid w:val="00876063"/>
    <w:rsid w:val="008762B6"/>
    <w:rsid w:val="008762B7"/>
    <w:rsid w:val="00876A87"/>
    <w:rsid w:val="00877712"/>
    <w:rsid w:val="00877BB1"/>
    <w:rsid w:val="008800EC"/>
    <w:rsid w:val="00880466"/>
    <w:rsid w:val="008804E1"/>
    <w:rsid w:val="00880D34"/>
    <w:rsid w:val="0088174C"/>
    <w:rsid w:val="00881E11"/>
    <w:rsid w:val="00881EBE"/>
    <w:rsid w:val="00882012"/>
    <w:rsid w:val="00882461"/>
    <w:rsid w:val="0088266C"/>
    <w:rsid w:val="00882873"/>
    <w:rsid w:val="00882A33"/>
    <w:rsid w:val="00883CA6"/>
    <w:rsid w:val="00883E6C"/>
    <w:rsid w:val="00883EA0"/>
    <w:rsid w:val="00884293"/>
    <w:rsid w:val="00884B79"/>
    <w:rsid w:val="00884FD4"/>
    <w:rsid w:val="00885042"/>
    <w:rsid w:val="00885612"/>
    <w:rsid w:val="00885C1D"/>
    <w:rsid w:val="00885E9D"/>
    <w:rsid w:val="008864ED"/>
    <w:rsid w:val="0088659A"/>
    <w:rsid w:val="00886776"/>
    <w:rsid w:val="008867E3"/>
    <w:rsid w:val="00886A93"/>
    <w:rsid w:val="008871FF"/>
    <w:rsid w:val="0088769F"/>
    <w:rsid w:val="00887929"/>
    <w:rsid w:val="00891183"/>
    <w:rsid w:val="00891461"/>
    <w:rsid w:val="00891677"/>
    <w:rsid w:val="00891C74"/>
    <w:rsid w:val="00891E59"/>
    <w:rsid w:val="0089270B"/>
    <w:rsid w:val="008927C7"/>
    <w:rsid w:val="008928B6"/>
    <w:rsid w:val="00892EDD"/>
    <w:rsid w:val="008944DF"/>
    <w:rsid w:val="0089479C"/>
    <w:rsid w:val="00894B1F"/>
    <w:rsid w:val="00894DAB"/>
    <w:rsid w:val="00895D09"/>
    <w:rsid w:val="00895D7F"/>
    <w:rsid w:val="00895DE2"/>
    <w:rsid w:val="00895EFE"/>
    <w:rsid w:val="00895F57"/>
    <w:rsid w:val="00896002"/>
    <w:rsid w:val="0089639F"/>
    <w:rsid w:val="0089664F"/>
    <w:rsid w:val="00896E55"/>
    <w:rsid w:val="00897021"/>
    <w:rsid w:val="008970C4"/>
    <w:rsid w:val="008971D7"/>
    <w:rsid w:val="00897717"/>
    <w:rsid w:val="0089773B"/>
    <w:rsid w:val="008A020E"/>
    <w:rsid w:val="008A0525"/>
    <w:rsid w:val="008A0AF4"/>
    <w:rsid w:val="008A0D36"/>
    <w:rsid w:val="008A1DE2"/>
    <w:rsid w:val="008A1E04"/>
    <w:rsid w:val="008A1E72"/>
    <w:rsid w:val="008A20A9"/>
    <w:rsid w:val="008A2130"/>
    <w:rsid w:val="008A217F"/>
    <w:rsid w:val="008A274D"/>
    <w:rsid w:val="008A2A45"/>
    <w:rsid w:val="008A3715"/>
    <w:rsid w:val="008A415C"/>
    <w:rsid w:val="008A44EC"/>
    <w:rsid w:val="008A49D7"/>
    <w:rsid w:val="008A4B0A"/>
    <w:rsid w:val="008A5588"/>
    <w:rsid w:val="008A5757"/>
    <w:rsid w:val="008A59AE"/>
    <w:rsid w:val="008A657C"/>
    <w:rsid w:val="008A663C"/>
    <w:rsid w:val="008A69BF"/>
    <w:rsid w:val="008A6E8E"/>
    <w:rsid w:val="008A6EB0"/>
    <w:rsid w:val="008A7364"/>
    <w:rsid w:val="008A7546"/>
    <w:rsid w:val="008A756F"/>
    <w:rsid w:val="008A78D9"/>
    <w:rsid w:val="008A7950"/>
    <w:rsid w:val="008A7A20"/>
    <w:rsid w:val="008B00FD"/>
    <w:rsid w:val="008B0609"/>
    <w:rsid w:val="008B1937"/>
    <w:rsid w:val="008B2037"/>
    <w:rsid w:val="008B28DE"/>
    <w:rsid w:val="008B2ABD"/>
    <w:rsid w:val="008B2F51"/>
    <w:rsid w:val="008B35F2"/>
    <w:rsid w:val="008B360C"/>
    <w:rsid w:val="008B3A24"/>
    <w:rsid w:val="008B4045"/>
    <w:rsid w:val="008B4725"/>
    <w:rsid w:val="008B48B8"/>
    <w:rsid w:val="008B4BB6"/>
    <w:rsid w:val="008B50C2"/>
    <w:rsid w:val="008B5363"/>
    <w:rsid w:val="008B5410"/>
    <w:rsid w:val="008B55CA"/>
    <w:rsid w:val="008B55F2"/>
    <w:rsid w:val="008B581B"/>
    <w:rsid w:val="008B5C59"/>
    <w:rsid w:val="008B659B"/>
    <w:rsid w:val="008B6B95"/>
    <w:rsid w:val="008B71AF"/>
    <w:rsid w:val="008B71EF"/>
    <w:rsid w:val="008B72F7"/>
    <w:rsid w:val="008B7333"/>
    <w:rsid w:val="008B774B"/>
    <w:rsid w:val="008B7CDE"/>
    <w:rsid w:val="008C0252"/>
    <w:rsid w:val="008C0BE8"/>
    <w:rsid w:val="008C0E86"/>
    <w:rsid w:val="008C0F79"/>
    <w:rsid w:val="008C1319"/>
    <w:rsid w:val="008C1794"/>
    <w:rsid w:val="008C1BA8"/>
    <w:rsid w:val="008C1D55"/>
    <w:rsid w:val="008C217A"/>
    <w:rsid w:val="008C24DD"/>
    <w:rsid w:val="008C25B0"/>
    <w:rsid w:val="008C2A7C"/>
    <w:rsid w:val="008C33A7"/>
    <w:rsid w:val="008C3CE3"/>
    <w:rsid w:val="008C4076"/>
    <w:rsid w:val="008C4982"/>
    <w:rsid w:val="008C4CD7"/>
    <w:rsid w:val="008C4DF1"/>
    <w:rsid w:val="008C5CAA"/>
    <w:rsid w:val="008C5D91"/>
    <w:rsid w:val="008C658C"/>
    <w:rsid w:val="008C664F"/>
    <w:rsid w:val="008C678C"/>
    <w:rsid w:val="008C6829"/>
    <w:rsid w:val="008C68EE"/>
    <w:rsid w:val="008C6AF0"/>
    <w:rsid w:val="008C7A0A"/>
    <w:rsid w:val="008D0DB3"/>
    <w:rsid w:val="008D1025"/>
    <w:rsid w:val="008D115C"/>
    <w:rsid w:val="008D11DB"/>
    <w:rsid w:val="008D16EC"/>
    <w:rsid w:val="008D1CF4"/>
    <w:rsid w:val="008D1D4F"/>
    <w:rsid w:val="008D201E"/>
    <w:rsid w:val="008D21AC"/>
    <w:rsid w:val="008D22AD"/>
    <w:rsid w:val="008D258D"/>
    <w:rsid w:val="008D265D"/>
    <w:rsid w:val="008D33A4"/>
    <w:rsid w:val="008D3FFC"/>
    <w:rsid w:val="008D4065"/>
    <w:rsid w:val="008D458C"/>
    <w:rsid w:val="008D49F1"/>
    <w:rsid w:val="008D4CAC"/>
    <w:rsid w:val="008D5D51"/>
    <w:rsid w:val="008D5E4A"/>
    <w:rsid w:val="008D63E2"/>
    <w:rsid w:val="008D69B0"/>
    <w:rsid w:val="008D6F4B"/>
    <w:rsid w:val="008D72D3"/>
    <w:rsid w:val="008D7DD3"/>
    <w:rsid w:val="008E0197"/>
    <w:rsid w:val="008E023D"/>
    <w:rsid w:val="008E0667"/>
    <w:rsid w:val="008E0B8E"/>
    <w:rsid w:val="008E0C08"/>
    <w:rsid w:val="008E0FD6"/>
    <w:rsid w:val="008E1138"/>
    <w:rsid w:val="008E1AFD"/>
    <w:rsid w:val="008E1E5C"/>
    <w:rsid w:val="008E2149"/>
    <w:rsid w:val="008E2ABE"/>
    <w:rsid w:val="008E32CD"/>
    <w:rsid w:val="008E336A"/>
    <w:rsid w:val="008E3B6C"/>
    <w:rsid w:val="008E3BBC"/>
    <w:rsid w:val="008E4626"/>
    <w:rsid w:val="008E496B"/>
    <w:rsid w:val="008E51C1"/>
    <w:rsid w:val="008E5510"/>
    <w:rsid w:val="008E5646"/>
    <w:rsid w:val="008E59D1"/>
    <w:rsid w:val="008E60D0"/>
    <w:rsid w:val="008E689D"/>
    <w:rsid w:val="008E6D7C"/>
    <w:rsid w:val="008E6D92"/>
    <w:rsid w:val="008E73F3"/>
    <w:rsid w:val="008E749E"/>
    <w:rsid w:val="008E7C00"/>
    <w:rsid w:val="008F02AE"/>
    <w:rsid w:val="008F08BD"/>
    <w:rsid w:val="008F0B4D"/>
    <w:rsid w:val="008F0C78"/>
    <w:rsid w:val="008F0D86"/>
    <w:rsid w:val="008F0DA3"/>
    <w:rsid w:val="008F1611"/>
    <w:rsid w:val="008F216B"/>
    <w:rsid w:val="008F2871"/>
    <w:rsid w:val="008F2D6D"/>
    <w:rsid w:val="008F326F"/>
    <w:rsid w:val="008F33BF"/>
    <w:rsid w:val="008F33E3"/>
    <w:rsid w:val="008F35FA"/>
    <w:rsid w:val="008F3661"/>
    <w:rsid w:val="008F40F8"/>
    <w:rsid w:val="008F422A"/>
    <w:rsid w:val="008F4261"/>
    <w:rsid w:val="008F4742"/>
    <w:rsid w:val="008F5089"/>
    <w:rsid w:val="008F5161"/>
    <w:rsid w:val="008F5CF4"/>
    <w:rsid w:val="008F5D81"/>
    <w:rsid w:val="008F5D85"/>
    <w:rsid w:val="008F6370"/>
    <w:rsid w:val="008F6400"/>
    <w:rsid w:val="008F708E"/>
    <w:rsid w:val="008F753B"/>
    <w:rsid w:val="008F785C"/>
    <w:rsid w:val="009000CC"/>
    <w:rsid w:val="0090012D"/>
    <w:rsid w:val="0090033D"/>
    <w:rsid w:val="00900EAB"/>
    <w:rsid w:val="009014A1"/>
    <w:rsid w:val="009018EF"/>
    <w:rsid w:val="00901F6E"/>
    <w:rsid w:val="00902210"/>
    <w:rsid w:val="00902378"/>
    <w:rsid w:val="00902F6E"/>
    <w:rsid w:val="009030EC"/>
    <w:rsid w:val="009031E1"/>
    <w:rsid w:val="009038D1"/>
    <w:rsid w:val="00903C14"/>
    <w:rsid w:val="009042E3"/>
    <w:rsid w:val="009048FD"/>
    <w:rsid w:val="009049F4"/>
    <w:rsid w:val="00905171"/>
    <w:rsid w:val="00905351"/>
    <w:rsid w:val="009067FB"/>
    <w:rsid w:val="0090731E"/>
    <w:rsid w:val="009073EA"/>
    <w:rsid w:val="00907B8A"/>
    <w:rsid w:val="0091016D"/>
    <w:rsid w:val="0091069E"/>
    <w:rsid w:val="009109EF"/>
    <w:rsid w:val="00910B1F"/>
    <w:rsid w:val="00910B2E"/>
    <w:rsid w:val="00910C21"/>
    <w:rsid w:val="00911001"/>
    <w:rsid w:val="0091160B"/>
    <w:rsid w:val="00912EC2"/>
    <w:rsid w:val="00912F09"/>
    <w:rsid w:val="0091336B"/>
    <w:rsid w:val="00913BDE"/>
    <w:rsid w:val="0091410B"/>
    <w:rsid w:val="009146FF"/>
    <w:rsid w:val="00914F52"/>
    <w:rsid w:val="009151F4"/>
    <w:rsid w:val="00915301"/>
    <w:rsid w:val="00915A3E"/>
    <w:rsid w:val="00915C7B"/>
    <w:rsid w:val="009164E4"/>
    <w:rsid w:val="00916576"/>
    <w:rsid w:val="00916A23"/>
    <w:rsid w:val="0091733F"/>
    <w:rsid w:val="00917505"/>
    <w:rsid w:val="009206A8"/>
    <w:rsid w:val="00920EC4"/>
    <w:rsid w:val="009216EC"/>
    <w:rsid w:val="00921C33"/>
    <w:rsid w:val="00921FE6"/>
    <w:rsid w:val="00922074"/>
    <w:rsid w:val="009224CC"/>
    <w:rsid w:val="00922C8B"/>
    <w:rsid w:val="00922CB8"/>
    <w:rsid w:val="00922D16"/>
    <w:rsid w:val="009238AE"/>
    <w:rsid w:val="00923C55"/>
    <w:rsid w:val="00923FF9"/>
    <w:rsid w:val="009242FB"/>
    <w:rsid w:val="00924803"/>
    <w:rsid w:val="00924954"/>
    <w:rsid w:val="00924F76"/>
    <w:rsid w:val="009256F3"/>
    <w:rsid w:val="00926A93"/>
    <w:rsid w:val="00927409"/>
    <w:rsid w:val="009274EA"/>
    <w:rsid w:val="00927649"/>
    <w:rsid w:val="00927C14"/>
    <w:rsid w:val="00927C1B"/>
    <w:rsid w:val="009304C9"/>
    <w:rsid w:val="009306C7"/>
    <w:rsid w:val="00930724"/>
    <w:rsid w:val="00930BAD"/>
    <w:rsid w:val="00930FD5"/>
    <w:rsid w:val="0093158F"/>
    <w:rsid w:val="00931C90"/>
    <w:rsid w:val="00931CC3"/>
    <w:rsid w:val="009321D0"/>
    <w:rsid w:val="00932499"/>
    <w:rsid w:val="009326B6"/>
    <w:rsid w:val="009327FA"/>
    <w:rsid w:val="00932CE3"/>
    <w:rsid w:val="00932CED"/>
    <w:rsid w:val="00932EFA"/>
    <w:rsid w:val="009332BE"/>
    <w:rsid w:val="009337E4"/>
    <w:rsid w:val="00933EA4"/>
    <w:rsid w:val="0093471E"/>
    <w:rsid w:val="00934DCB"/>
    <w:rsid w:val="00935066"/>
    <w:rsid w:val="00935489"/>
    <w:rsid w:val="00936813"/>
    <w:rsid w:val="00936CC1"/>
    <w:rsid w:val="00936DC7"/>
    <w:rsid w:val="00937070"/>
    <w:rsid w:val="0093744F"/>
    <w:rsid w:val="00937992"/>
    <w:rsid w:val="009379AD"/>
    <w:rsid w:val="009379DC"/>
    <w:rsid w:val="00937A81"/>
    <w:rsid w:val="00940114"/>
    <w:rsid w:val="00940314"/>
    <w:rsid w:val="00940353"/>
    <w:rsid w:val="0094045A"/>
    <w:rsid w:val="009404BE"/>
    <w:rsid w:val="00940601"/>
    <w:rsid w:val="009409C8"/>
    <w:rsid w:val="009413C3"/>
    <w:rsid w:val="00941A9F"/>
    <w:rsid w:val="00941B67"/>
    <w:rsid w:val="00941B7E"/>
    <w:rsid w:val="00941BA1"/>
    <w:rsid w:val="00941C82"/>
    <w:rsid w:val="00941CBF"/>
    <w:rsid w:val="00941CF2"/>
    <w:rsid w:val="00941CF8"/>
    <w:rsid w:val="00941FED"/>
    <w:rsid w:val="009421DC"/>
    <w:rsid w:val="009422EC"/>
    <w:rsid w:val="009423B2"/>
    <w:rsid w:val="009423E4"/>
    <w:rsid w:val="00942A18"/>
    <w:rsid w:val="00942C43"/>
    <w:rsid w:val="00942FCA"/>
    <w:rsid w:val="00943223"/>
    <w:rsid w:val="0094351F"/>
    <w:rsid w:val="0094370F"/>
    <w:rsid w:val="00943846"/>
    <w:rsid w:val="009438E8"/>
    <w:rsid w:val="00943D2E"/>
    <w:rsid w:val="00943DA5"/>
    <w:rsid w:val="009445C8"/>
    <w:rsid w:val="009447B4"/>
    <w:rsid w:val="00945951"/>
    <w:rsid w:val="00945ADA"/>
    <w:rsid w:val="00945D2A"/>
    <w:rsid w:val="00945D48"/>
    <w:rsid w:val="00946392"/>
    <w:rsid w:val="009467B0"/>
    <w:rsid w:val="00946D2B"/>
    <w:rsid w:val="009470CA"/>
    <w:rsid w:val="00947231"/>
    <w:rsid w:val="009477DC"/>
    <w:rsid w:val="00947876"/>
    <w:rsid w:val="00947B5E"/>
    <w:rsid w:val="00947EBF"/>
    <w:rsid w:val="00950651"/>
    <w:rsid w:val="00950987"/>
    <w:rsid w:val="00950A38"/>
    <w:rsid w:val="00950C0E"/>
    <w:rsid w:val="00951158"/>
    <w:rsid w:val="009512C7"/>
    <w:rsid w:val="009515B6"/>
    <w:rsid w:val="00951AC0"/>
    <w:rsid w:val="00951DC2"/>
    <w:rsid w:val="00951F57"/>
    <w:rsid w:val="009525E7"/>
    <w:rsid w:val="00952710"/>
    <w:rsid w:val="00952736"/>
    <w:rsid w:val="00952AA8"/>
    <w:rsid w:val="00952D82"/>
    <w:rsid w:val="00952F8C"/>
    <w:rsid w:val="009538EC"/>
    <w:rsid w:val="00953CBE"/>
    <w:rsid w:val="00953E89"/>
    <w:rsid w:val="00954188"/>
    <w:rsid w:val="009541F0"/>
    <w:rsid w:val="00954CED"/>
    <w:rsid w:val="00954E56"/>
    <w:rsid w:val="0095501C"/>
    <w:rsid w:val="009550D4"/>
    <w:rsid w:val="0095519F"/>
    <w:rsid w:val="009553EC"/>
    <w:rsid w:val="00955564"/>
    <w:rsid w:val="009556F3"/>
    <w:rsid w:val="009559E9"/>
    <w:rsid w:val="00955B4F"/>
    <w:rsid w:val="00956013"/>
    <w:rsid w:val="009561D5"/>
    <w:rsid w:val="00956219"/>
    <w:rsid w:val="009562EC"/>
    <w:rsid w:val="009568D1"/>
    <w:rsid w:val="00956CEC"/>
    <w:rsid w:val="009572EB"/>
    <w:rsid w:val="009574F3"/>
    <w:rsid w:val="00957516"/>
    <w:rsid w:val="00957603"/>
    <w:rsid w:val="009579C7"/>
    <w:rsid w:val="00957A06"/>
    <w:rsid w:val="00957E5B"/>
    <w:rsid w:val="0096091F"/>
    <w:rsid w:val="00960A1E"/>
    <w:rsid w:val="00960C90"/>
    <w:rsid w:val="00960FD1"/>
    <w:rsid w:val="00961264"/>
    <w:rsid w:val="00961762"/>
    <w:rsid w:val="00961CF7"/>
    <w:rsid w:val="00961E49"/>
    <w:rsid w:val="0096261F"/>
    <w:rsid w:val="0096270D"/>
    <w:rsid w:val="00962BD0"/>
    <w:rsid w:val="00963984"/>
    <w:rsid w:val="00963F9A"/>
    <w:rsid w:val="00964019"/>
    <w:rsid w:val="009640EB"/>
    <w:rsid w:val="0096458B"/>
    <w:rsid w:val="00965094"/>
    <w:rsid w:val="00965478"/>
    <w:rsid w:val="009656A7"/>
    <w:rsid w:val="00965858"/>
    <w:rsid w:val="00965979"/>
    <w:rsid w:val="00965D94"/>
    <w:rsid w:val="009660B4"/>
    <w:rsid w:val="009660C6"/>
    <w:rsid w:val="0096637B"/>
    <w:rsid w:val="00970194"/>
    <w:rsid w:val="00970D6E"/>
    <w:rsid w:val="00970F7A"/>
    <w:rsid w:val="00971AEA"/>
    <w:rsid w:val="0097292D"/>
    <w:rsid w:val="00972C43"/>
    <w:rsid w:val="00973342"/>
    <w:rsid w:val="0097345B"/>
    <w:rsid w:val="00973866"/>
    <w:rsid w:val="00973AD3"/>
    <w:rsid w:val="00973F17"/>
    <w:rsid w:val="009740A6"/>
    <w:rsid w:val="009741AC"/>
    <w:rsid w:val="009744DA"/>
    <w:rsid w:val="00974537"/>
    <w:rsid w:val="009749F0"/>
    <w:rsid w:val="00974B66"/>
    <w:rsid w:val="009752C4"/>
    <w:rsid w:val="009752D1"/>
    <w:rsid w:val="00975BCA"/>
    <w:rsid w:val="009762D5"/>
    <w:rsid w:val="009764FB"/>
    <w:rsid w:val="0097699F"/>
    <w:rsid w:val="00976B05"/>
    <w:rsid w:val="00977E2D"/>
    <w:rsid w:val="00977F4B"/>
    <w:rsid w:val="0098030A"/>
    <w:rsid w:val="00980312"/>
    <w:rsid w:val="009803B9"/>
    <w:rsid w:val="0098051C"/>
    <w:rsid w:val="00980C2F"/>
    <w:rsid w:val="00981000"/>
    <w:rsid w:val="0098126C"/>
    <w:rsid w:val="00981279"/>
    <w:rsid w:val="00981519"/>
    <w:rsid w:val="00981608"/>
    <w:rsid w:val="00981C3F"/>
    <w:rsid w:val="00981EB5"/>
    <w:rsid w:val="00982547"/>
    <w:rsid w:val="00983207"/>
    <w:rsid w:val="009834CB"/>
    <w:rsid w:val="009834F6"/>
    <w:rsid w:val="00983983"/>
    <w:rsid w:val="009839D9"/>
    <w:rsid w:val="00983A25"/>
    <w:rsid w:val="00983ED0"/>
    <w:rsid w:val="00984384"/>
    <w:rsid w:val="009844B7"/>
    <w:rsid w:val="0098469C"/>
    <w:rsid w:val="00984807"/>
    <w:rsid w:val="00984DD7"/>
    <w:rsid w:val="0098500F"/>
    <w:rsid w:val="009850BE"/>
    <w:rsid w:val="009854E3"/>
    <w:rsid w:val="00985592"/>
    <w:rsid w:val="009857C5"/>
    <w:rsid w:val="00986305"/>
    <w:rsid w:val="009867E9"/>
    <w:rsid w:val="009870BF"/>
    <w:rsid w:val="00987441"/>
    <w:rsid w:val="009901BC"/>
    <w:rsid w:val="009903E8"/>
    <w:rsid w:val="009905BE"/>
    <w:rsid w:val="00990780"/>
    <w:rsid w:val="0099083E"/>
    <w:rsid w:val="00990982"/>
    <w:rsid w:val="00990A50"/>
    <w:rsid w:val="0099150B"/>
    <w:rsid w:val="0099175E"/>
    <w:rsid w:val="00991A3F"/>
    <w:rsid w:val="00991DF5"/>
    <w:rsid w:val="00991EB2"/>
    <w:rsid w:val="009926B2"/>
    <w:rsid w:val="00992837"/>
    <w:rsid w:val="0099319F"/>
    <w:rsid w:val="00993608"/>
    <w:rsid w:val="0099429D"/>
    <w:rsid w:val="009944E2"/>
    <w:rsid w:val="00995191"/>
    <w:rsid w:val="00995270"/>
    <w:rsid w:val="00995BDF"/>
    <w:rsid w:val="00995F2A"/>
    <w:rsid w:val="00995FEB"/>
    <w:rsid w:val="0099644B"/>
    <w:rsid w:val="00996491"/>
    <w:rsid w:val="009964E8"/>
    <w:rsid w:val="0099689F"/>
    <w:rsid w:val="00996E8F"/>
    <w:rsid w:val="00997308"/>
    <w:rsid w:val="009973D4"/>
    <w:rsid w:val="00997465"/>
    <w:rsid w:val="009976B7"/>
    <w:rsid w:val="00997A78"/>
    <w:rsid w:val="009A06FD"/>
    <w:rsid w:val="009A09EF"/>
    <w:rsid w:val="009A106A"/>
    <w:rsid w:val="009A118F"/>
    <w:rsid w:val="009A13FC"/>
    <w:rsid w:val="009A19E6"/>
    <w:rsid w:val="009A220B"/>
    <w:rsid w:val="009A227D"/>
    <w:rsid w:val="009A26D3"/>
    <w:rsid w:val="009A2941"/>
    <w:rsid w:val="009A29B6"/>
    <w:rsid w:val="009A309C"/>
    <w:rsid w:val="009A361E"/>
    <w:rsid w:val="009A4049"/>
    <w:rsid w:val="009A4243"/>
    <w:rsid w:val="009A4267"/>
    <w:rsid w:val="009A454A"/>
    <w:rsid w:val="009A4953"/>
    <w:rsid w:val="009A49D8"/>
    <w:rsid w:val="009A4D0F"/>
    <w:rsid w:val="009A591A"/>
    <w:rsid w:val="009A5A7D"/>
    <w:rsid w:val="009A5AAD"/>
    <w:rsid w:val="009A5BCE"/>
    <w:rsid w:val="009A5E04"/>
    <w:rsid w:val="009A667E"/>
    <w:rsid w:val="009A672D"/>
    <w:rsid w:val="009A6DFA"/>
    <w:rsid w:val="009A7D9F"/>
    <w:rsid w:val="009B002C"/>
    <w:rsid w:val="009B02C2"/>
    <w:rsid w:val="009B0465"/>
    <w:rsid w:val="009B05AC"/>
    <w:rsid w:val="009B063C"/>
    <w:rsid w:val="009B06C3"/>
    <w:rsid w:val="009B08F2"/>
    <w:rsid w:val="009B0C83"/>
    <w:rsid w:val="009B0D7A"/>
    <w:rsid w:val="009B1323"/>
    <w:rsid w:val="009B18A0"/>
    <w:rsid w:val="009B198A"/>
    <w:rsid w:val="009B1A51"/>
    <w:rsid w:val="009B1EDF"/>
    <w:rsid w:val="009B2B29"/>
    <w:rsid w:val="009B3131"/>
    <w:rsid w:val="009B31BB"/>
    <w:rsid w:val="009B397F"/>
    <w:rsid w:val="009B3E1D"/>
    <w:rsid w:val="009B3FAB"/>
    <w:rsid w:val="009B3FB8"/>
    <w:rsid w:val="009B4405"/>
    <w:rsid w:val="009B4469"/>
    <w:rsid w:val="009B4755"/>
    <w:rsid w:val="009B58E8"/>
    <w:rsid w:val="009B5DC9"/>
    <w:rsid w:val="009B5FAC"/>
    <w:rsid w:val="009B628A"/>
    <w:rsid w:val="009B6377"/>
    <w:rsid w:val="009B682B"/>
    <w:rsid w:val="009B6A7F"/>
    <w:rsid w:val="009B72FB"/>
    <w:rsid w:val="009B73E1"/>
    <w:rsid w:val="009B7412"/>
    <w:rsid w:val="009B7CEE"/>
    <w:rsid w:val="009C0A7E"/>
    <w:rsid w:val="009C10A6"/>
    <w:rsid w:val="009C1658"/>
    <w:rsid w:val="009C204C"/>
    <w:rsid w:val="009C20BF"/>
    <w:rsid w:val="009C2177"/>
    <w:rsid w:val="009C2216"/>
    <w:rsid w:val="009C256E"/>
    <w:rsid w:val="009C28EC"/>
    <w:rsid w:val="009C31DF"/>
    <w:rsid w:val="009C3200"/>
    <w:rsid w:val="009C325D"/>
    <w:rsid w:val="009C3448"/>
    <w:rsid w:val="009C3599"/>
    <w:rsid w:val="009C3956"/>
    <w:rsid w:val="009C3AFD"/>
    <w:rsid w:val="009C3E83"/>
    <w:rsid w:val="009C44F7"/>
    <w:rsid w:val="009C47CC"/>
    <w:rsid w:val="009C4BD4"/>
    <w:rsid w:val="009C4D0D"/>
    <w:rsid w:val="009C4F42"/>
    <w:rsid w:val="009C4FB5"/>
    <w:rsid w:val="009C5AD3"/>
    <w:rsid w:val="009C5DFE"/>
    <w:rsid w:val="009C6748"/>
    <w:rsid w:val="009C6858"/>
    <w:rsid w:val="009C6D6F"/>
    <w:rsid w:val="009C6D76"/>
    <w:rsid w:val="009C713E"/>
    <w:rsid w:val="009D036F"/>
    <w:rsid w:val="009D0862"/>
    <w:rsid w:val="009D0E31"/>
    <w:rsid w:val="009D10D8"/>
    <w:rsid w:val="009D1709"/>
    <w:rsid w:val="009D19D5"/>
    <w:rsid w:val="009D2083"/>
    <w:rsid w:val="009D2291"/>
    <w:rsid w:val="009D243E"/>
    <w:rsid w:val="009D26F6"/>
    <w:rsid w:val="009D2D1E"/>
    <w:rsid w:val="009D33A1"/>
    <w:rsid w:val="009D3AF4"/>
    <w:rsid w:val="009D3F4E"/>
    <w:rsid w:val="009D4BB3"/>
    <w:rsid w:val="009D4C5F"/>
    <w:rsid w:val="009D52A4"/>
    <w:rsid w:val="009D5468"/>
    <w:rsid w:val="009D54F4"/>
    <w:rsid w:val="009D56AB"/>
    <w:rsid w:val="009D57C4"/>
    <w:rsid w:val="009D5DAE"/>
    <w:rsid w:val="009D5E64"/>
    <w:rsid w:val="009D66D0"/>
    <w:rsid w:val="009D66E9"/>
    <w:rsid w:val="009D6C30"/>
    <w:rsid w:val="009D6C5C"/>
    <w:rsid w:val="009D6CAC"/>
    <w:rsid w:val="009D73FE"/>
    <w:rsid w:val="009D782A"/>
    <w:rsid w:val="009D78F2"/>
    <w:rsid w:val="009E1018"/>
    <w:rsid w:val="009E13A1"/>
    <w:rsid w:val="009E14BB"/>
    <w:rsid w:val="009E1CF0"/>
    <w:rsid w:val="009E1D6B"/>
    <w:rsid w:val="009E2499"/>
    <w:rsid w:val="009E253B"/>
    <w:rsid w:val="009E2549"/>
    <w:rsid w:val="009E286E"/>
    <w:rsid w:val="009E3261"/>
    <w:rsid w:val="009E3727"/>
    <w:rsid w:val="009E418C"/>
    <w:rsid w:val="009E4B06"/>
    <w:rsid w:val="009E4CA9"/>
    <w:rsid w:val="009E5517"/>
    <w:rsid w:val="009E583D"/>
    <w:rsid w:val="009E5CDF"/>
    <w:rsid w:val="009E5E53"/>
    <w:rsid w:val="009E5FF3"/>
    <w:rsid w:val="009E61D8"/>
    <w:rsid w:val="009E624E"/>
    <w:rsid w:val="009E6390"/>
    <w:rsid w:val="009E660D"/>
    <w:rsid w:val="009E66A7"/>
    <w:rsid w:val="009E6930"/>
    <w:rsid w:val="009E6B49"/>
    <w:rsid w:val="009E6F60"/>
    <w:rsid w:val="009E7092"/>
    <w:rsid w:val="009E70BC"/>
    <w:rsid w:val="009E7277"/>
    <w:rsid w:val="009E771B"/>
    <w:rsid w:val="009E7CD9"/>
    <w:rsid w:val="009E7DE3"/>
    <w:rsid w:val="009F001C"/>
    <w:rsid w:val="009F0C79"/>
    <w:rsid w:val="009F0C9E"/>
    <w:rsid w:val="009F0EE1"/>
    <w:rsid w:val="009F0F64"/>
    <w:rsid w:val="009F0F73"/>
    <w:rsid w:val="009F108B"/>
    <w:rsid w:val="009F168E"/>
    <w:rsid w:val="009F1B8A"/>
    <w:rsid w:val="009F1E00"/>
    <w:rsid w:val="009F202E"/>
    <w:rsid w:val="009F29C1"/>
    <w:rsid w:val="009F2D0D"/>
    <w:rsid w:val="009F2D90"/>
    <w:rsid w:val="009F2E5C"/>
    <w:rsid w:val="009F3265"/>
    <w:rsid w:val="009F382F"/>
    <w:rsid w:val="009F3AD8"/>
    <w:rsid w:val="009F3C61"/>
    <w:rsid w:val="009F4220"/>
    <w:rsid w:val="009F563C"/>
    <w:rsid w:val="009F59A8"/>
    <w:rsid w:val="009F5C4D"/>
    <w:rsid w:val="009F67BB"/>
    <w:rsid w:val="009F6910"/>
    <w:rsid w:val="009F69DD"/>
    <w:rsid w:val="009F6FE7"/>
    <w:rsid w:val="009F7394"/>
    <w:rsid w:val="009F7B19"/>
    <w:rsid w:val="00A0010B"/>
    <w:rsid w:val="00A00689"/>
    <w:rsid w:val="00A00D29"/>
    <w:rsid w:val="00A00D66"/>
    <w:rsid w:val="00A0170A"/>
    <w:rsid w:val="00A019C6"/>
    <w:rsid w:val="00A0219F"/>
    <w:rsid w:val="00A02834"/>
    <w:rsid w:val="00A028BA"/>
    <w:rsid w:val="00A02A1C"/>
    <w:rsid w:val="00A039E0"/>
    <w:rsid w:val="00A04C6C"/>
    <w:rsid w:val="00A04DA9"/>
    <w:rsid w:val="00A04E0E"/>
    <w:rsid w:val="00A05C72"/>
    <w:rsid w:val="00A05D47"/>
    <w:rsid w:val="00A070AD"/>
    <w:rsid w:val="00A07258"/>
    <w:rsid w:val="00A073FB"/>
    <w:rsid w:val="00A07839"/>
    <w:rsid w:val="00A07DEC"/>
    <w:rsid w:val="00A10AE6"/>
    <w:rsid w:val="00A10EF7"/>
    <w:rsid w:val="00A10F35"/>
    <w:rsid w:val="00A112CD"/>
    <w:rsid w:val="00A11D9A"/>
    <w:rsid w:val="00A11F15"/>
    <w:rsid w:val="00A12419"/>
    <w:rsid w:val="00A125E0"/>
    <w:rsid w:val="00A128AA"/>
    <w:rsid w:val="00A130E3"/>
    <w:rsid w:val="00A134B6"/>
    <w:rsid w:val="00A138D6"/>
    <w:rsid w:val="00A13A9A"/>
    <w:rsid w:val="00A13ABA"/>
    <w:rsid w:val="00A140D0"/>
    <w:rsid w:val="00A1411D"/>
    <w:rsid w:val="00A14269"/>
    <w:rsid w:val="00A14726"/>
    <w:rsid w:val="00A14B22"/>
    <w:rsid w:val="00A14BCE"/>
    <w:rsid w:val="00A14CD0"/>
    <w:rsid w:val="00A14EEA"/>
    <w:rsid w:val="00A15440"/>
    <w:rsid w:val="00A1566E"/>
    <w:rsid w:val="00A15C6D"/>
    <w:rsid w:val="00A15E44"/>
    <w:rsid w:val="00A1620A"/>
    <w:rsid w:val="00A16354"/>
    <w:rsid w:val="00A1650C"/>
    <w:rsid w:val="00A16C94"/>
    <w:rsid w:val="00A16D91"/>
    <w:rsid w:val="00A16DBC"/>
    <w:rsid w:val="00A16EA8"/>
    <w:rsid w:val="00A17327"/>
    <w:rsid w:val="00A17B8E"/>
    <w:rsid w:val="00A17C3B"/>
    <w:rsid w:val="00A17D17"/>
    <w:rsid w:val="00A202FE"/>
    <w:rsid w:val="00A206BB"/>
    <w:rsid w:val="00A209FC"/>
    <w:rsid w:val="00A20A60"/>
    <w:rsid w:val="00A20C20"/>
    <w:rsid w:val="00A20F0D"/>
    <w:rsid w:val="00A21422"/>
    <w:rsid w:val="00A21A9A"/>
    <w:rsid w:val="00A2208F"/>
    <w:rsid w:val="00A22CD7"/>
    <w:rsid w:val="00A22F36"/>
    <w:rsid w:val="00A22F58"/>
    <w:rsid w:val="00A2307C"/>
    <w:rsid w:val="00A232B7"/>
    <w:rsid w:val="00A23389"/>
    <w:rsid w:val="00A23B26"/>
    <w:rsid w:val="00A24369"/>
    <w:rsid w:val="00A24538"/>
    <w:rsid w:val="00A24611"/>
    <w:rsid w:val="00A24C3D"/>
    <w:rsid w:val="00A24EBC"/>
    <w:rsid w:val="00A24F48"/>
    <w:rsid w:val="00A25229"/>
    <w:rsid w:val="00A253E3"/>
    <w:rsid w:val="00A2577D"/>
    <w:rsid w:val="00A258DC"/>
    <w:rsid w:val="00A25A34"/>
    <w:rsid w:val="00A25DCD"/>
    <w:rsid w:val="00A26271"/>
    <w:rsid w:val="00A262F5"/>
    <w:rsid w:val="00A2644D"/>
    <w:rsid w:val="00A26772"/>
    <w:rsid w:val="00A26FFE"/>
    <w:rsid w:val="00A27148"/>
    <w:rsid w:val="00A276EE"/>
    <w:rsid w:val="00A30D0F"/>
    <w:rsid w:val="00A31110"/>
    <w:rsid w:val="00A3119A"/>
    <w:rsid w:val="00A315A9"/>
    <w:rsid w:val="00A31859"/>
    <w:rsid w:val="00A31D1E"/>
    <w:rsid w:val="00A31DC1"/>
    <w:rsid w:val="00A31EE6"/>
    <w:rsid w:val="00A31F5E"/>
    <w:rsid w:val="00A32176"/>
    <w:rsid w:val="00A32311"/>
    <w:rsid w:val="00A327DC"/>
    <w:rsid w:val="00A3299A"/>
    <w:rsid w:val="00A32A9B"/>
    <w:rsid w:val="00A32AD6"/>
    <w:rsid w:val="00A33053"/>
    <w:rsid w:val="00A3383D"/>
    <w:rsid w:val="00A33A78"/>
    <w:rsid w:val="00A33CEA"/>
    <w:rsid w:val="00A33CF4"/>
    <w:rsid w:val="00A34592"/>
    <w:rsid w:val="00A34AAF"/>
    <w:rsid w:val="00A34C50"/>
    <w:rsid w:val="00A3524B"/>
    <w:rsid w:val="00A3530D"/>
    <w:rsid w:val="00A35320"/>
    <w:rsid w:val="00A35325"/>
    <w:rsid w:val="00A35484"/>
    <w:rsid w:val="00A358AC"/>
    <w:rsid w:val="00A35CB7"/>
    <w:rsid w:val="00A35DAB"/>
    <w:rsid w:val="00A36273"/>
    <w:rsid w:val="00A3634F"/>
    <w:rsid w:val="00A378F7"/>
    <w:rsid w:val="00A37AC9"/>
    <w:rsid w:val="00A37E45"/>
    <w:rsid w:val="00A4043C"/>
    <w:rsid w:val="00A41220"/>
    <w:rsid w:val="00A4144E"/>
    <w:rsid w:val="00A4147D"/>
    <w:rsid w:val="00A4168F"/>
    <w:rsid w:val="00A42100"/>
    <w:rsid w:val="00A429DC"/>
    <w:rsid w:val="00A42EDE"/>
    <w:rsid w:val="00A43A19"/>
    <w:rsid w:val="00A43BE4"/>
    <w:rsid w:val="00A43EC9"/>
    <w:rsid w:val="00A43ED0"/>
    <w:rsid w:val="00A441AB"/>
    <w:rsid w:val="00A442BD"/>
    <w:rsid w:val="00A44D01"/>
    <w:rsid w:val="00A46475"/>
    <w:rsid w:val="00A46C71"/>
    <w:rsid w:val="00A47154"/>
    <w:rsid w:val="00A475BA"/>
    <w:rsid w:val="00A47C82"/>
    <w:rsid w:val="00A47D98"/>
    <w:rsid w:val="00A47FDD"/>
    <w:rsid w:val="00A50602"/>
    <w:rsid w:val="00A50D62"/>
    <w:rsid w:val="00A50D8E"/>
    <w:rsid w:val="00A5166C"/>
    <w:rsid w:val="00A5177C"/>
    <w:rsid w:val="00A52264"/>
    <w:rsid w:val="00A52A57"/>
    <w:rsid w:val="00A52E67"/>
    <w:rsid w:val="00A5347F"/>
    <w:rsid w:val="00A537B8"/>
    <w:rsid w:val="00A53873"/>
    <w:rsid w:val="00A53976"/>
    <w:rsid w:val="00A53A0B"/>
    <w:rsid w:val="00A53ADB"/>
    <w:rsid w:val="00A53D04"/>
    <w:rsid w:val="00A53FF6"/>
    <w:rsid w:val="00A543F3"/>
    <w:rsid w:val="00A54626"/>
    <w:rsid w:val="00A54FC7"/>
    <w:rsid w:val="00A553D1"/>
    <w:rsid w:val="00A55497"/>
    <w:rsid w:val="00A55A0C"/>
    <w:rsid w:val="00A55A86"/>
    <w:rsid w:val="00A5620E"/>
    <w:rsid w:val="00A5631D"/>
    <w:rsid w:val="00A571EB"/>
    <w:rsid w:val="00A5746B"/>
    <w:rsid w:val="00A57A20"/>
    <w:rsid w:val="00A57D2D"/>
    <w:rsid w:val="00A57E1A"/>
    <w:rsid w:val="00A600C1"/>
    <w:rsid w:val="00A601BB"/>
    <w:rsid w:val="00A60B22"/>
    <w:rsid w:val="00A615C4"/>
    <w:rsid w:val="00A617B6"/>
    <w:rsid w:val="00A61975"/>
    <w:rsid w:val="00A61D8C"/>
    <w:rsid w:val="00A6201A"/>
    <w:rsid w:val="00A6209B"/>
    <w:rsid w:val="00A62262"/>
    <w:rsid w:val="00A6270C"/>
    <w:rsid w:val="00A62AD5"/>
    <w:rsid w:val="00A62DA3"/>
    <w:rsid w:val="00A6352B"/>
    <w:rsid w:val="00A635B8"/>
    <w:rsid w:val="00A64284"/>
    <w:rsid w:val="00A64730"/>
    <w:rsid w:val="00A648A3"/>
    <w:rsid w:val="00A64E9E"/>
    <w:rsid w:val="00A64ED5"/>
    <w:rsid w:val="00A65620"/>
    <w:rsid w:val="00A657C2"/>
    <w:rsid w:val="00A657FE"/>
    <w:rsid w:val="00A65D4C"/>
    <w:rsid w:val="00A66120"/>
    <w:rsid w:val="00A66382"/>
    <w:rsid w:val="00A66613"/>
    <w:rsid w:val="00A667C7"/>
    <w:rsid w:val="00A66DFB"/>
    <w:rsid w:val="00A6755F"/>
    <w:rsid w:val="00A6793F"/>
    <w:rsid w:val="00A67DDC"/>
    <w:rsid w:val="00A70161"/>
    <w:rsid w:val="00A7046C"/>
    <w:rsid w:val="00A70DB9"/>
    <w:rsid w:val="00A70F33"/>
    <w:rsid w:val="00A70F35"/>
    <w:rsid w:val="00A71402"/>
    <w:rsid w:val="00A714E9"/>
    <w:rsid w:val="00A7190D"/>
    <w:rsid w:val="00A72D99"/>
    <w:rsid w:val="00A732BA"/>
    <w:rsid w:val="00A73B2C"/>
    <w:rsid w:val="00A742D0"/>
    <w:rsid w:val="00A74650"/>
    <w:rsid w:val="00A74CF2"/>
    <w:rsid w:val="00A75521"/>
    <w:rsid w:val="00A75618"/>
    <w:rsid w:val="00A7571E"/>
    <w:rsid w:val="00A7597F"/>
    <w:rsid w:val="00A759E0"/>
    <w:rsid w:val="00A75B42"/>
    <w:rsid w:val="00A75E2D"/>
    <w:rsid w:val="00A7644C"/>
    <w:rsid w:val="00A764E8"/>
    <w:rsid w:val="00A76604"/>
    <w:rsid w:val="00A76957"/>
    <w:rsid w:val="00A76D61"/>
    <w:rsid w:val="00A76D70"/>
    <w:rsid w:val="00A77038"/>
    <w:rsid w:val="00A7732A"/>
    <w:rsid w:val="00A773DB"/>
    <w:rsid w:val="00A77D3C"/>
    <w:rsid w:val="00A77D56"/>
    <w:rsid w:val="00A77D61"/>
    <w:rsid w:val="00A77DC8"/>
    <w:rsid w:val="00A800D9"/>
    <w:rsid w:val="00A80285"/>
    <w:rsid w:val="00A803B7"/>
    <w:rsid w:val="00A806DD"/>
    <w:rsid w:val="00A80A5C"/>
    <w:rsid w:val="00A80DFF"/>
    <w:rsid w:val="00A815B9"/>
    <w:rsid w:val="00A82539"/>
    <w:rsid w:val="00A8260B"/>
    <w:rsid w:val="00A82703"/>
    <w:rsid w:val="00A835D8"/>
    <w:rsid w:val="00A83DE1"/>
    <w:rsid w:val="00A84810"/>
    <w:rsid w:val="00A84D0F"/>
    <w:rsid w:val="00A84F2B"/>
    <w:rsid w:val="00A85838"/>
    <w:rsid w:val="00A859CF"/>
    <w:rsid w:val="00A86141"/>
    <w:rsid w:val="00A86291"/>
    <w:rsid w:val="00A8686F"/>
    <w:rsid w:val="00A868A5"/>
    <w:rsid w:val="00A868B3"/>
    <w:rsid w:val="00A86B08"/>
    <w:rsid w:val="00A86D6F"/>
    <w:rsid w:val="00A87FBA"/>
    <w:rsid w:val="00A90DDC"/>
    <w:rsid w:val="00A917D4"/>
    <w:rsid w:val="00A91938"/>
    <w:rsid w:val="00A91C7B"/>
    <w:rsid w:val="00A92370"/>
    <w:rsid w:val="00A927D5"/>
    <w:rsid w:val="00A92C10"/>
    <w:rsid w:val="00A93123"/>
    <w:rsid w:val="00A938A6"/>
    <w:rsid w:val="00A93B34"/>
    <w:rsid w:val="00A93BC7"/>
    <w:rsid w:val="00A93FC7"/>
    <w:rsid w:val="00A944C3"/>
    <w:rsid w:val="00A94599"/>
    <w:rsid w:val="00A9496E"/>
    <w:rsid w:val="00A94A6A"/>
    <w:rsid w:val="00A94B38"/>
    <w:rsid w:val="00A94D4D"/>
    <w:rsid w:val="00A94E13"/>
    <w:rsid w:val="00A94F03"/>
    <w:rsid w:val="00A95046"/>
    <w:rsid w:val="00A951CC"/>
    <w:rsid w:val="00A95441"/>
    <w:rsid w:val="00A9584A"/>
    <w:rsid w:val="00A95D11"/>
    <w:rsid w:val="00A962DF"/>
    <w:rsid w:val="00A96389"/>
    <w:rsid w:val="00A96FEC"/>
    <w:rsid w:val="00A9714E"/>
    <w:rsid w:val="00A975EC"/>
    <w:rsid w:val="00A9772B"/>
    <w:rsid w:val="00A97757"/>
    <w:rsid w:val="00A97FD2"/>
    <w:rsid w:val="00AA0135"/>
    <w:rsid w:val="00AA040F"/>
    <w:rsid w:val="00AA1016"/>
    <w:rsid w:val="00AA186B"/>
    <w:rsid w:val="00AA197D"/>
    <w:rsid w:val="00AA1A4F"/>
    <w:rsid w:val="00AA1C1E"/>
    <w:rsid w:val="00AA2126"/>
    <w:rsid w:val="00AA2E37"/>
    <w:rsid w:val="00AA2EFA"/>
    <w:rsid w:val="00AA2F06"/>
    <w:rsid w:val="00AA3085"/>
    <w:rsid w:val="00AA3086"/>
    <w:rsid w:val="00AA35A0"/>
    <w:rsid w:val="00AA37AE"/>
    <w:rsid w:val="00AA39D9"/>
    <w:rsid w:val="00AA4891"/>
    <w:rsid w:val="00AA4CC4"/>
    <w:rsid w:val="00AA5091"/>
    <w:rsid w:val="00AA51C5"/>
    <w:rsid w:val="00AA62A3"/>
    <w:rsid w:val="00AA638D"/>
    <w:rsid w:val="00AA667D"/>
    <w:rsid w:val="00AA6EC9"/>
    <w:rsid w:val="00AA7552"/>
    <w:rsid w:val="00AA756D"/>
    <w:rsid w:val="00AA776F"/>
    <w:rsid w:val="00AA7D30"/>
    <w:rsid w:val="00AB00ED"/>
    <w:rsid w:val="00AB02EF"/>
    <w:rsid w:val="00AB0347"/>
    <w:rsid w:val="00AB0371"/>
    <w:rsid w:val="00AB051B"/>
    <w:rsid w:val="00AB0838"/>
    <w:rsid w:val="00AB132F"/>
    <w:rsid w:val="00AB169C"/>
    <w:rsid w:val="00AB16A0"/>
    <w:rsid w:val="00AB16AD"/>
    <w:rsid w:val="00AB1F86"/>
    <w:rsid w:val="00AB2AB6"/>
    <w:rsid w:val="00AB2B94"/>
    <w:rsid w:val="00AB2D87"/>
    <w:rsid w:val="00AB3142"/>
    <w:rsid w:val="00AB3319"/>
    <w:rsid w:val="00AB35E8"/>
    <w:rsid w:val="00AB375D"/>
    <w:rsid w:val="00AB3BD4"/>
    <w:rsid w:val="00AB437E"/>
    <w:rsid w:val="00AB44C8"/>
    <w:rsid w:val="00AB465A"/>
    <w:rsid w:val="00AB4A0E"/>
    <w:rsid w:val="00AB4EEE"/>
    <w:rsid w:val="00AB4FDE"/>
    <w:rsid w:val="00AB562B"/>
    <w:rsid w:val="00AB5B9A"/>
    <w:rsid w:val="00AB5CF7"/>
    <w:rsid w:val="00AB605A"/>
    <w:rsid w:val="00AB621B"/>
    <w:rsid w:val="00AB6825"/>
    <w:rsid w:val="00AB693A"/>
    <w:rsid w:val="00AB6D10"/>
    <w:rsid w:val="00AB7246"/>
    <w:rsid w:val="00AB75BA"/>
    <w:rsid w:val="00AB76A4"/>
    <w:rsid w:val="00AC009D"/>
    <w:rsid w:val="00AC08E9"/>
    <w:rsid w:val="00AC0A5E"/>
    <w:rsid w:val="00AC0BC6"/>
    <w:rsid w:val="00AC0D3D"/>
    <w:rsid w:val="00AC1FE4"/>
    <w:rsid w:val="00AC2A44"/>
    <w:rsid w:val="00AC2C88"/>
    <w:rsid w:val="00AC2E58"/>
    <w:rsid w:val="00AC3409"/>
    <w:rsid w:val="00AC35C4"/>
    <w:rsid w:val="00AC3FCB"/>
    <w:rsid w:val="00AC4072"/>
    <w:rsid w:val="00AC41A9"/>
    <w:rsid w:val="00AC44A3"/>
    <w:rsid w:val="00AC49DF"/>
    <w:rsid w:val="00AC4A5B"/>
    <w:rsid w:val="00AC4FFE"/>
    <w:rsid w:val="00AC5050"/>
    <w:rsid w:val="00AC507B"/>
    <w:rsid w:val="00AC5215"/>
    <w:rsid w:val="00AC54A8"/>
    <w:rsid w:val="00AC54EA"/>
    <w:rsid w:val="00AC5846"/>
    <w:rsid w:val="00AC5FD1"/>
    <w:rsid w:val="00AC602E"/>
    <w:rsid w:val="00AC7286"/>
    <w:rsid w:val="00AC73C5"/>
    <w:rsid w:val="00AC76DD"/>
    <w:rsid w:val="00AD02E5"/>
    <w:rsid w:val="00AD0A12"/>
    <w:rsid w:val="00AD0C79"/>
    <w:rsid w:val="00AD16AC"/>
    <w:rsid w:val="00AD1B34"/>
    <w:rsid w:val="00AD217B"/>
    <w:rsid w:val="00AD2251"/>
    <w:rsid w:val="00AD2BB1"/>
    <w:rsid w:val="00AD2C0C"/>
    <w:rsid w:val="00AD2CD2"/>
    <w:rsid w:val="00AD34C2"/>
    <w:rsid w:val="00AD381D"/>
    <w:rsid w:val="00AD4332"/>
    <w:rsid w:val="00AD434A"/>
    <w:rsid w:val="00AD44A5"/>
    <w:rsid w:val="00AD463C"/>
    <w:rsid w:val="00AD46AA"/>
    <w:rsid w:val="00AD4859"/>
    <w:rsid w:val="00AD4984"/>
    <w:rsid w:val="00AD4AC6"/>
    <w:rsid w:val="00AD52C0"/>
    <w:rsid w:val="00AD5623"/>
    <w:rsid w:val="00AD5984"/>
    <w:rsid w:val="00AD5C3A"/>
    <w:rsid w:val="00AD66FC"/>
    <w:rsid w:val="00AD6FF5"/>
    <w:rsid w:val="00AD72AB"/>
    <w:rsid w:val="00AD733F"/>
    <w:rsid w:val="00AD7812"/>
    <w:rsid w:val="00AD7DF0"/>
    <w:rsid w:val="00AE01DA"/>
    <w:rsid w:val="00AE03E5"/>
    <w:rsid w:val="00AE03F9"/>
    <w:rsid w:val="00AE0580"/>
    <w:rsid w:val="00AE1174"/>
    <w:rsid w:val="00AE1348"/>
    <w:rsid w:val="00AE15B0"/>
    <w:rsid w:val="00AE1681"/>
    <w:rsid w:val="00AE1BF3"/>
    <w:rsid w:val="00AE1D08"/>
    <w:rsid w:val="00AE1EBC"/>
    <w:rsid w:val="00AE2300"/>
    <w:rsid w:val="00AE2896"/>
    <w:rsid w:val="00AE289A"/>
    <w:rsid w:val="00AE2EB3"/>
    <w:rsid w:val="00AE31FE"/>
    <w:rsid w:val="00AE359D"/>
    <w:rsid w:val="00AE3615"/>
    <w:rsid w:val="00AE3805"/>
    <w:rsid w:val="00AE394D"/>
    <w:rsid w:val="00AE3F14"/>
    <w:rsid w:val="00AE3F85"/>
    <w:rsid w:val="00AE40EB"/>
    <w:rsid w:val="00AE40FA"/>
    <w:rsid w:val="00AE43CB"/>
    <w:rsid w:val="00AE45D2"/>
    <w:rsid w:val="00AE48E1"/>
    <w:rsid w:val="00AE4A25"/>
    <w:rsid w:val="00AE4E49"/>
    <w:rsid w:val="00AE599E"/>
    <w:rsid w:val="00AE5E87"/>
    <w:rsid w:val="00AE5F28"/>
    <w:rsid w:val="00AE64B2"/>
    <w:rsid w:val="00AE67C2"/>
    <w:rsid w:val="00AE67F6"/>
    <w:rsid w:val="00AE6E94"/>
    <w:rsid w:val="00AE6ED3"/>
    <w:rsid w:val="00AE79AE"/>
    <w:rsid w:val="00AE7AA2"/>
    <w:rsid w:val="00AE7B45"/>
    <w:rsid w:val="00AE7B63"/>
    <w:rsid w:val="00AE7D6A"/>
    <w:rsid w:val="00AE7D71"/>
    <w:rsid w:val="00AE7F1B"/>
    <w:rsid w:val="00AE7F3B"/>
    <w:rsid w:val="00AF120E"/>
    <w:rsid w:val="00AF133D"/>
    <w:rsid w:val="00AF136F"/>
    <w:rsid w:val="00AF14AD"/>
    <w:rsid w:val="00AF2118"/>
    <w:rsid w:val="00AF26F9"/>
    <w:rsid w:val="00AF281D"/>
    <w:rsid w:val="00AF2FD1"/>
    <w:rsid w:val="00AF310C"/>
    <w:rsid w:val="00AF3217"/>
    <w:rsid w:val="00AF3320"/>
    <w:rsid w:val="00AF4424"/>
    <w:rsid w:val="00AF44DA"/>
    <w:rsid w:val="00AF471E"/>
    <w:rsid w:val="00AF4C4E"/>
    <w:rsid w:val="00AF4D78"/>
    <w:rsid w:val="00AF4FA6"/>
    <w:rsid w:val="00AF52B6"/>
    <w:rsid w:val="00AF5321"/>
    <w:rsid w:val="00AF5AB3"/>
    <w:rsid w:val="00AF5B70"/>
    <w:rsid w:val="00AF6446"/>
    <w:rsid w:val="00AF6463"/>
    <w:rsid w:val="00AF69EF"/>
    <w:rsid w:val="00AF6D8E"/>
    <w:rsid w:val="00AF6E4C"/>
    <w:rsid w:val="00AF7167"/>
    <w:rsid w:val="00AF7C0A"/>
    <w:rsid w:val="00AF7F76"/>
    <w:rsid w:val="00B00F5E"/>
    <w:rsid w:val="00B014F5"/>
    <w:rsid w:val="00B01574"/>
    <w:rsid w:val="00B018AC"/>
    <w:rsid w:val="00B0203F"/>
    <w:rsid w:val="00B020CB"/>
    <w:rsid w:val="00B02575"/>
    <w:rsid w:val="00B02A5D"/>
    <w:rsid w:val="00B03493"/>
    <w:rsid w:val="00B034BD"/>
    <w:rsid w:val="00B0360A"/>
    <w:rsid w:val="00B03971"/>
    <w:rsid w:val="00B03F67"/>
    <w:rsid w:val="00B04ACA"/>
    <w:rsid w:val="00B04AEE"/>
    <w:rsid w:val="00B04C54"/>
    <w:rsid w:val="00B055C1"/>
    <w:rsid w:val="00B057A1"/>
    <w:rsid w:val="00B0602C"/>
    <w:rsid w:val="00B068B5"/>
    <w:rsid w:val="00B06AAF"/>
    <w:rsid w:val="00B074CD"/>
    <w:rsid w:val="00B076B8"/>
    <w:rsid w:val="00B077F2"/>
    <w:rsid w:val="00B07987"/>
    <w:rsid w:val="00B07C47"/>
    <w:rsid w:val="00B10121"/>
    <w:rsid w:val="00B104F1"/>
    <w:rsid w:val="00B10AD7"/>
    <w:rsid w:val="00B10B96"/>
    <w:rsid w:val="00B1129E"/>
    <w:rsid w:val="00B114D0"/>
    <w:rsid w:val="00B11987"/>
    <w:rsid w:val="00B12A32"/>
    <w:rsid w:val="00B12B13"/>
    <w:rsid w:val="00B12B35"/>
    <w:rsid w:val="00B12CA3"/>
    <w:rsid w:val="00B12F55"/>
    <w:rsid w:val="00B1355D"/>
    <w:rsid w:val="00B135C3"/>
    <w:rsid w:val="00B1385C"/>
    <w:rsid w:val="00B13CF6"/>
    <w:rsid w:val="00B13D22"/>
    <w:rsid w:val="00B13E6D"/>
    <w:rsid w:val="00B13EA1"/>
    <w:rsid w:val="00B1417E"/>
    <w:rsid w:val="00B1554B"/>
    <w:rsid w:val="00B1584C"/>
    <w:rsid w:val="00B15B86"/>
    <w:rsid w:val="00B1644E"/>
    <w:rsid w:val="00B1651F"/>
    <w:rsid w:val="00B16757"/>
    <w:rsid w:val="00B167D8"/>
    <w:rsid w:val="00B16886"/>
    <w:rsid w:val="00B173CB"/>
    <w:rsid w:val="00B173F2"/>
    <w:rsid w:val="00B17B06"/>
    <w:rsid w:val="00B17E16"/>
    <w:rsid w:val="00B200F6"/>
    <w:rsid w:val="00B208C6"/>
    <w:rsid w:val="00B20EE8"/>
    <w:rsid w:val="00B21443"/>
    <w:rsid w:val="00B21455"/>
    <w:rsid w:val="00B21AC8"/>
    <w:rsid w:val="00B21FCB"/>
    <w:rsid w:val="00B22300"/>
    <w:rsid w:val="00B22809"/>
    <w:rsid w:val="00B22A59"/>
    <w:rsid w:val="00B22ABB"/>
    <w:rsid w:val="00B22B19"/>
    <w:rsid w:val="00B23142"/>
    <w:rsid w:val="00B2339A"/>
    <w:rsid w:val="00B233AC"/>
    <w:rsid w:val="00B23796"/>
    <w:rsid w:val="00B23812"/>
    <w:rsid w:val="00B23A47"/>
    <w:rsid w:val="00B248B4"/>
    <w:rsid w:val="00B24948"/>
    <w:rsid w:val="00B24FB9"/>
    <w:rsid w:val="00B25086"/>
    <w:rsid w:val="00B2523B"/>
    <w:rsid w:val="00B256A4"/>
    <w:rsid w:val="00B25A58"/>
    <w:rsid w:val="00B25E97"/>
    <w:rsid w:val="00B25FD7"/>
    <w:rsid w:val="00B26E5A"/>
    <w:rsid w:val="00B2711F"/>
    <w:rsid w:val="00B274AC"/>
    <w:rsid w:val="00B27839"/>
    <w:rsid w:val="00B2797C"/>
    <w:rsid w:val="00B27D0A"/>
    <w:rsid w:val="00B30161"/>
    <w:rsid w:val="00B3075C"/>
    <w:rsid w:val="00B30954"/>
    <w:rsid w:val="00B30D5D"/>
    <w:rsid w:val="00B30FAF"/>
    <w:rsid w:val="00B31266"/>
    <w:rsid w:val="00B312DB"/>
    <w:rsid w:val="00B3176B"/>
    <w:rsid w:val="00B31950"/>
    <w:rsid w:val="00B31F71"/>
    <w:rsid w:val="00B324F9"/>
    <w:rsid w:val="00B32863"/>
    <w:rsid w:val="00B32F56"/>
    <w:rsid w:val="00B336A6"/>
    <w:rsid w:val="00B338AD"/>
    <w:rsid w:val="00B33DB6"/>
    <w:rsid w:val="00B3417A"/>
    <w:rsid w:val="00B3441D"/>
    <w:rsid w:val="00B344FB"/>
    <w:rsid w:val="00B349F2"/>
    <w:rsid w:val="00B34AEE"/>
    <w:rsid w:val="00B35257"/>
    <w:rsid w:val="00B35690"/>
    <w:rsid w:val="00B35A36"/>
    <w:rsid w:val="00B35BE9"/>
    <w:rsid w:val="00B35D32"/>
    <w:rsid w:val="00B35DEB"/>
    <w:rsid w:val="00B36073"/>
    <w:rsid w:val="00B364E4"/>
    <w:rsid w:val="00B36826"/>
    <w:rsid w:val="00B36983"/>
    <w:rsid w:val="00B36B8B"/>
    <w:rsid w:val="00B36E9B"/>
    <w:rsid w:val="00B3710A"/>
    <w:rsid w:val="00B37692"/>
    <w:rsid w:val="00B3773B"/>
    <w:rsid w:val="00B37F1F"/>
    <w:rsid w:val="00B40524"/>
    <w:rsid w:val="00B40607"/>
    <w:rsid w:val="00B4084A"/>
    <w:rsid w:val="00B413F1"/>
    <w:rsid w:val="00B41F94"/>
    <w:rsid w:val="00B4275A"/>
    <w:rsid w:val="00B430E1"/>
    <w:rsid w:val="00B43427"/>
    <w:rsid w:val="00B43665"/>
    <w:rsid w:val="00B43AB0"/>
    <w:rsid w:val="00B44443"/>
    <w:rsid w:val="00B44C53"/>
    <w:rsid w:val="00B44C8A"/>
    <w:rsid w:val="00B44F7B"/>
    <w:rsid w:val="00B45158"/>
    <w:rsid w:val="00B45495"/>
    <w:rsid w:val="00B45769"/>
    <w:rsid w:val="00B45AC8"/>
    <w:rsid w:val="00B46211"/>
    <w:rsid w:val="00B4626A"/>
    <w:rsid w:val="00B46B77"/>
    <w:rsid w:val="00B46E2C"/>
    <w:rsid w:val="00B507DB"/>
    <w:rsid w:val="00B50E87"/>
    <w:rsid w:val="00B51486"/>
    <w:rsid w:val="00B514BE"/>
    <w:rsid w:val="00B51706"/>
    <w:rsid w:val="00B51B6B"/>
    <w:rsid w:val="00B51EAA"/>
    <w:rsid w:val="00B52974"/>
    <w:rsid w:val="00B5303F"/>
    <w:rsid w:val="00B53068"/>
    <w:rsid w:val="00B53177"/>
    <w:rsid w:val="00B531A5"/>
    <w:rsid w:val="00B53724"/>
    <w:rsid w:val="00B5373F"/>
    <w:rsid w:val="00B544D9"/>
    <w:rsid w:val="00B54829"/>
    <w:rsid w:val="00B54BCA"/>
    <w:rsid w:val="00B54BF5"/>
    <w:rsid w:val="00B552F7"/>
    <w:rsid w:val="00B55E3A"/>
    <w:rsid w:val="00B55E9A"/>
    <w:rsid w:val="00B55FAB"/>
    <w:rsid w:val="00B565CF"/>
    <w:rsid w:val="00B57169"/>
    <w:rsid w:val="00B572ED"/>
    <w:rsid w:val="00B57513"/>
    <w:rsid w:val="00B57F63"/>
    <w:rsid w:val="00B60298"/>
    <w:rsid w:val="00B604D2"/>
    <w:rsid w:val="00B60804"/>
    <w:rsid w:val="00B60B62"/>
    <w:rsid w:val="00B60DDC"/>
    <w:rsid w:val="00B61900"/>
    <w:rsid w:val="00B61A63"/>
    <w:rsid w:val="00B61FFD"/>
    <w:rsid w:val="00B62162"/>
    <w:rsid w:val="00B62177"/>
    <w:rsid w:val="00B626AA"/>
    <w:rsid w:val="00B62756"/>
    <w:rsid w:val="00B62763"/>
    <w:rsid w:val="00B62A9D"/>
    <w:rsid w:val="00B62CE9"/>
    <w:rsid w:val="00B63610"/>
    <w:rsid w:val="00B63C4F"/>
    <w:rsid w:val="00B64956"/>
    <w:rsid w:val="00B65152"/>
    <w:rsid w:val="00B652AC"/>
    <w:rsid w:val="00B6538B"/>
    <w:rsid w:val="00B653CB"/>
    <w:rsid w:val="00B6568D"/>
    <w:rsid w:val="00B65BA5"/>
    <w:rsid w:val="00B65D6C"/>
    <w:rsid w:val="00B66164"/>
    <w:rsid w:val="00B66244"/>
    <w:rsid w:val="00B669C9"/>
    <w:rsid w:val="00B66C8E"/>
    <w:rsid w:val="00B672CE"/>
    <w:rsid w:val="00B675C6"/>
    <w:rsid w:val="00B675D0"/>
    <w:rsid w:val="00B67CD8"/>
    <w:rsid w:val="00B7082E"/>
    <w:rsid w:val="00B71C86"/>
    <w:rsid w:val="00B7267A"/>
    <w:rsid w:val="00B72BEC"/>
    <w:rsid w:val="00B72C26"/>
    <w:rsid w:val="00B72CEF"/>
    <w:rsid w:val="00B73921"/>
    <w:rsid w:val="00B73C01"/>
    <w:rsid w:val="00B73CED"/>
    <w:rsid w:val="00B73F97"/>
    <w:rsid w:val="00B73FC3"/>
    <w:rsid w:val="00B740F3"/>
    <w:rsid w:val="00B744CF"/>
    <w:rsid w:val="00B74909"/>
    <w:rsid w:val="00B74A66"/>
    <w:rsid w:val="00B74FEF"/>
    <w:rsid w:val="00B7521C"/>
    <w:rsid w:val="00B753AE"/>
    <w:rsid w:val="00B757FF"/>
    <w:rsid w:val="00B75A0C"/>
    <w:rsid w:val="00B7628A"/>
    <w:rsid w:val="00B7687F"/>
    <w:rsid w:val="00B768F4"/>
    <w:rsid w:val="00B76D86"/>
    <w:rsid w:val="00B774F1"/>
    <w:rsid w:val="00B77572"/>
    <w:rsid w:val="00B80409"/>
    <w:rsid w:val="00B80443"/>
    <w:rsid w:val="00B80A88"/>
    <w:rsid w:val="00B80C58"/>
    <w:rsid w:val="00B80F94"/>
    <w:rsid w:val="00B81274"/>
    <w:rsid w:val="00B8136F"/>
    <w:rsid w:val="00B821F7"/>
    <w:rsid w:val="00B82239"/>
    <w:rsid w:val="00B822B6"/>
    <w:rsid w:val="00B82849"/>
    <w:rsid w:val="00B82885"/>
    <w:rsid w:val="00B82DA4"/>
    <w:rsid w:val="00B82DF5"/>
    <w:rsid w:val="00B8327B"/>
    <w:rsid w:val="00B83627"/>
    <w:rsid w:val="00B839F4"/>
    <w:rsid w:val="00B83C34"/>
    <w:rsid w:val="00B8404E"/>
    <w:rsid w:val="00B8416F"/>
    <w:rsid w:val="00B8474E"/>
    <w:rsid w:val="00B84E85"/>
    <w:rsid w:val="00B84FC6"/>
    <w:rsid w:val="00B856F9"/>
    <w:rsid w:val="00B85998"/>
    <w:rsid w:val="00B85C29"/>
    <w:rsid w:val="00B85D38"/>
    <w:rsid w:val="00B85FE4"/>
    <w:rsid w:val="00B86012"/>
    <w:rsid w:val="00B8604F"/>
    <w:rsid w:val="00B86126"/>
    <w:rsid w:val="00B865BB"/>
    <w:rsid w:val="00B865DF"/>
    <w:rsid w:val="00B878CE"/>
    <w:rsid w:val="00B87D82"/>
    <w:rsid w:val="00B87DF2"/>
    <w:rsid w:val="00B9093E"/>
    <w:rsid w:val="00B90EB9"/>
    <w:rsid w:val="00B910CB"/>
    <w:rsid w:val="00B9115F"/>
    <w:rsid w:val="00B911F4"/>
    <w:rsid w:val="00B914B0"/>
    <w:rsid w:val="00B914DA"/>
    <w:rsid w:val="00B91545"/>
    <w:rsid w:val="00B91C5E"/>
    <w:rsid w:val="00B92262"/>
    <w:rsid w:val="00B92688"/>
    <w:rsid w:val="00B92DD4"/>
    <w:rsid w:val="00B92EE1"/>
    <w:rsid w:val="00B9329F"/>
    <w:rsid w:val="00B93651"/>
    <w:rsid w:val="00B93819"/>
    <w:rsid w:val="00B93852"/>
    <w:rsid w:val="00B93F3D"/>
    <w:rsid w:val="00B94111"/>
    <w:rsid w:val="00B94127"/>
    <w:rsid w:val="00B9413D"/>
    <w:rsid w:val="00B94EF5"/>
    <w:rsid w:val="00B954E9"/>
    <w:rsid w:val="00B956A3"/>
    <w:rsid w:val="00B958D8"/>
    <w:rsid w:val="00B95E74"/>
    <w:rsid w:val="00B95E95"/>
    <w:rsid w:val="00B964DB"/>
    <w:rsid w:val="00B967AC"/>
    <w:rsid w:val="00B96951"/>
    <w:rsid w:val="00B97323"/>
    <w:rsid w:val="00B97489"/>
    <w:rsid w:val="00B97E5B"/>
    <w:rsid w:val="00BA02CA"/>
    <w:rsid w:val="00BA0495"/>
    <w:rsid w:val="00BA0776"/>
    <w:rsid w:val="00BA0CE0"/>
    <w:rsid w:val="00BA0D22"/>
    <w:rsid w:val="00BA1394"/>
    <w:rsid w:val="00BA1794"/>
    <w:rsid w:val="00BA1CE9"/>
    <w:rsid w:val="00BA1DC2"/>
    <w:rsid w:val="00BA202F"/>
    <w:rsid w:val="00BA26A0"/>
    <w:rsid w:val="00BA2C53"/>
    <w:rsid w:val="00BA300C"/>
    <w:rsid w:val="00BA3385"/>
    <w:rsid w:val="00BA3B9B"/>
    <w:rsid w:val="00BA43D5"/>
    <w:rsid w:val="00BA43E9"/>
    <w:rsid w:val="00BA4489"/>
    <w:rsid w:val="00BA44B5"/>
    <w:rsid w:val="00BA45FF"/>
    <w:rsid w:val="00BA4CE2"/>
    <w:rsid w:val="00BA4D54"/>
    <w:rsid w:val="00BA4F6E"/>
    <w:rsid w:val="00BA5145"/>
    <w:rsid w:val="00BA522E"/>
    <w:rsid w:val="00BA5494"/>
    <w:rsid w:val="00BA584D"/>
    <w:rsid w:val="00BA59AF"/>
    <w:rsid w:val="00BA6228"/>
    <w:rsid w:val="00BA65F2"/>
    <w:rsid w:val="00BA6641"/>
    <w:rsid w:val="00BA6A44"/>
    <w:rsid w:val="00BA6A96"/>
    <w:rsid w:val="00BA6ED9"/>
    <w:rsid w:val="00BA70A1"/>
    <w:rsid w:val="00BA719C"/>
    <w:rsid w:val="00BA74D9"/>
    <w:rsid w:val="00BA76D1"/>
    <w:rsid w:val="00BA7774"/>
    <w:rsid w:val="00BB0262"/>
    <w:rsid w:val="00BB06C6"/>
    <w:rsid w:val="00BB0BD1"/>
    <w:rsid w:val="00BB10A6"/>
    <w:rsid w:val="00BB179B"/>
    <w:rsid w:val="00BB1D18"/>
    <w:rsid w:val="00BB1D8C"/>
    <w:rsid w:val="00BB2461"/>
    <w:rsid w:val="00BB2595"/>
    <w:rsid w:val="00BB25AE"/>
    <w:rsid w:val="00BB2644"/>
    <w:rsid w:val="00BB297C"/>
    <w:rsid w:val="00BB303A"/>
    <w:rsid w:val="00BB30F5"/>
    <w:rsid w:val="00BB314A"/>
    <w:rsid w:val="00BB3B3B"/>
    <w:rsid w:val="00BB3D74"/>
    <w:rsid w:val="00BB443B"/>
    <w:rsid w:val="00BB45B5"/>
    <w:rsid w:val="00BB465F"/>
    <w:rsid w:val="00BB52A2"/>
    <w:rsid w:val="00BB52BD"/>
    <w:rsid w:val="00BB590C"/>
    <w:rsid w:val="00BB5E0B"/>
    <w:rsid w:val="00BB63CE"/>
    <w:rsid w:val="00BB6B60"/>
    <w:rsid w:val="00BB6D1B"/>
    <w:rsid w:val="00BB6EE9"/>
    <w:rsid w:val="00BB6EF1"/>
    <w:rsid w:val="00BB7556"/>
    <w:rsid w:val="00BB7578"/>
    <w:rsid w:val="00BB7AA2"/>
    <w:rsid w:val="00BB7AFE"/>
    <w:rsid w:val="00BB7F69"/>
    <w:rsid w:val="00BC029D"/>
    <w:rsid w:val="00BC03D1"/>
    <w:rsid w:val="00BC1035"/>
    <w:rsid w:val="00BC13D3"/>
    <w:rsid w:val="00BC178F"/>
    <w:rsid w:val="00BC1A61"/>
    <w:rsid w:val="00BC1B61"/>
    <w:rsid w:val="00BC1B69"/>
    <w:rsid w:val="00BC1B6B"/>
    <w:rsid w:val="00BC1D6A"/>
    <w:rsid w:val="00BC1EFD"/>
    <w:rsid w:val="00BC2289"/>
    <w:rsid w:val="00BC22A7"/>
    <w:rsid w:val="00BC266C"/>
    <w:rsid w:val="00BC2960"/>
    <w:rsid w:val="00BC2A81"/>
    <w:rsid w:val="00BC2AF7"/>
    <w:rsid w:val="00BC2CFF"/>
    <w:rsid w:val="00BC3395"/>
    <w:rsid w:val="00BC385A"/>
    <w:rsid w:val="00BC3DDA"/>
    <w:rsid w:val="00BC3F14"/>
    <w:rsid w:val="00BC414B"/>
    <w:rsid w:val="00BC4C91"/>
    <w:rsid w:val="00BC5158"/>
    <w:rsid w:val="00BC5B05"/>
    <w:rsid w:val="00BC5B37"/>
    <w:rsid w:val="00BC69C9"/>
    <w:rsid w:val="00BC6BF3"/>
    <w:rsid w:val="00BC7DD6"/>
    <w:rsid w:val="00BD075D"/>
    <w:rsid w:val="00BD1A94"/>
    <w:rsid w:val="00BD1C19"/>
    <w:rsid w:val="00BD1D49"/>
    <w:rsid w:val="00BD24C9"/>
    <w:rsid w:val="00BD2B08"/>
    <w:rsid w:val="00BD2BE9"/>
    <w:rsid w:val="00BD2EBB"/>
    <w:rsid w:val="00BD2F89"/>
    <w:rsid w:val="00BD330B"/>
    <w:rsid w:val="00BD3AF1"/>
    <w:rsid w:val="00BD3D64"/>
    <w:rsid w:val="00BD45A0"/>
    <w:rsid w:val="00BD472C"/>
    <w:rsid w:val="00BD4903"/>
    <w:rsid w:val="00BD5494"/>
    <w:rsid w:val="00BD54F2"/>
    <w:rsid w:val="00BD570C"/>
    <w:rsid w:val="00BD5C10"/>
    <w:rsid w:val="00BD5C9B"/>
    <w:rsid w:val="00BD60FF"/>
    <w:rsid w:val="00BD61C0"/>
    <w:rsid w:val="00BD64F8"/>
    <w:rsid w:val="00BD6A06"/>
    <w:rsid w:val="00BD7523"/>
    <w:rsid w:val="00BD78A2"/>
    <w:rsid w:val="00BD79B9"/>
    <w:rsid w:val="00BD7AC5"/>
    <w:rsid w:val="00BD7D49"/>
    <w:rsid w:val="00BE02BC"/>
    <w:rsid w:val="00BE0952"/>
    <w:rsid w:val="00BE0C06"/>
    <w:rsid w:val="00BE0D24"/>
    <w:rsid w:val="00BE1687"/>
    <w:rsid w:val="00BE174E"/>
    <w:rsid w:val="00BE1AA8"/>
    <w:rsid w:val="00BE1C51"/>
    <w:rsid w:val="00BE1EB0"/>
    <w:rsid w:val="00BE1FCE"/>
    <w:rsid w:val="00BE2C59"/>
    <w:rsid w:val="00BE2FE5"/>
    <w:rsid w:val="00BE3016"/>
    <w:rsid w:val="00BE32DB"/>
    <w:rsid w:val="00BE4596"/>
    <w:rsid w:val="00BE46B4"/>
    <w:rsid w:val="00BE5618"/>
    <w:rsid w:val="00BE5CE1"/>
    <w:rsid w:val="00BE5E15"/>
    <w:rsid w:val="00BE5E60"/>
    <w:rsid w:val="00BE607B"/>
    <w:rsid w:val="00BE61DB"/>
    <w:rsid w:val="00BE6648"/>
    <w:rsid w:val="00BE69BB"/>
    <w:rsid w:val="00BE718C"/>
    <w:rsid w:val="00BE7541"/>
    <w:rsid w:val="00BE7E9A"/>
    <w:rsid w:val="00BE7F80"/>
    <w:rsid w:val="00BF016F"/>
    <w:rsid w:val="00BF01EE"/>
    <w:rsid w:val="00BF0500"/>
    <w:rsid w:val="00BF091F"/>
    <w:rsid w:val="00BF096E"/>
    <w:rsid w:val="00BF1352"/>
    <w:rsid w:val="00BF1BFD"/>
    <w:rsid w:val="00BF2187"/>
    <w:rsid w:val="00BF22E7"/>
    <w:rsid w:val="00BF2939"/>
    <w:rsid w:val="00BF3677"/>
    <w:rsid w:val="00BF3732"/>
    <w:rsid w:val="00BF3B43"/>
    <w:rsid w:val="00BF3CED"/>
    <w:rsid w:val="00BF3D13"/>
    <w:rsid w:val="00BF412C"/>
    <w:rsid w:val="00BF4161"/>
    <w:rsid w:val="00BF4A86"/>
    <w:rsid w:val="00BF4B22"/>
    <w:rsid w:val="00BF5278"/>
    <w:rsid w:val="00BF52BB"/>
    <w:rsid w:val="00BF5DC8"/>
    <w:rsid w:val="00BF5F69"/>
    <w:rsid w:val="00BF60BD"/>
    <w:rsid w:val="00BF630A"/>
    <w:rsid w:val="00BF6528"/>
    <w:rsid w:val="00BF6A5F"/>
    <w:rsid w:val="00BF6B73"/>
    <w:rsid w:val="00BF6F08"/>
    <w:rsid w:val="00BF6F27"/>
    <w:rsid w:val="00BF6FD0"/>
    <w:rsid w:val="00BF711F"/>
    <w:rsid w:val="00BF72C0"/>
    <w:rsid w:val="00BF7B4E"/>
    <w:rsid w:val="00BF7D27"/>
    <w:rsid w:val="00BF7D34"/>
    <w:rsid w:val="00BF7DA8"/>
    <w:rsid w:val="00BF7FE2"/>
    <w:rsid w:val="00C00058"/>
    <w:rsid w:val="00C0006B"/>
    <w:rsid w:val="00C00163"/>
    <w:rsid w:val="00C01288"/>
    <w:rsid w:val="00C01AC8"/>
    <w:rsid w:val="00C01E70"/>
    <w:rsid w:val="00C0216B"/>
    <w:rsid w:val="00C025CD"/>
    <w:rsid w:val="00C025E1"/>
    <w:rsid w:val="00C0273C"/>
    <w:rsid w:val="00C02976"/>
    <w:rsid w:val="00C02EEF"/>
    <w:rsid w:val="00C0323B"/>
    <w:rsid w:val="00C03D41"/>
    <w:rsid w:val="00C047E8"/>
    <w:rsid w:val="00C04E7F"/>
    <w:rsid w:val="00C056D1"/>
    <w:rsid w:val="00C0570E"/>
    <w:rsid w:val="00C05730"/>
    <w:rsid w:val="00C05814"/>
    <w:rsid w:val="00C05A12"/>
    <w:rsid w:val="00C05E7E"/>
    <w:rsid w:val="00C06276"/>
    <w:rsid w:val="00C0627F"/>
    <w:rsid w:val="00C0631B"/>
    <w:rsid w:val="00C06618"/>
    <w:rsid w:val="00C07A2C"/>
    <w:rsid w:val="00C10559"/>
    <w:rsid w:val="00C10992"/>
    <w:rsid w:val="00C110F3"/>
    <w:rsid w:val="00C1133E"/>
    <w:rsid w:val="00C114A7"/>
    <w:rsid w:val="00C114F8"/>
    <w:rsid w:val="00C12241"/>
    <w:rsid w:val="00C12301"/>
    <w:rsid w:val="00C131FF"/>
    <w:rsid w:val="00C13274"/>
    <w:rsid w:val="00C139E3"/>
    <w:rsid w:val="00C147D3"/>
    <w:rsid w:val="00C14DF4"/>
    <w:rsid w:val="00C14EB6"/>
    <w:rsid w:val="00C15065"/>
    <w:rsid w:val="00C15464"/>
    <w:rsid w:val="00C15A95"/>
    <w:rsid w:val="00C15D1B"/>
    <w:rsid w:val="00C15EF2"/>
    <w:rsid w:val="00C16113"/>
    <w:rsid w:val="00C161DB"/>
    <w:rsid w:val="00C1621E"/>
    <w:rsid w:val="00C167E3"/>
    <w:rsid w:val="00C16ACC"/>
    <w:rsid w:val="00C16CD7"/>
    <w:rsid w:val="00C176CB"/>
    <w:rsid w:val="00C177DC"/>
    <w:rsid w:val="00C179C9"/>
    <w:rsid w:val="00C17ABD"/>
    <w:rsid w:val="00C20345"/>
    <w:rsid w:val="00C2062C"/>
    <w:rsid w:val="00C207F4"/>
    <w:rsid w:val="00C209D6"/>
    <w:rsid w:val="00C20F37"/>
    <w:rsid w:val="00C2135E"/>
    <w:rsid w:val="00C214CA"/>
    <w:rsid w:val="00C21B2B"/>
    <w:rsid w:val="00C21DE5"/>
    <w:rsid w:val="00C22353"/>
    <w:rsid w:val="00C22635"/>
    <w:rsid w:val="00C229D9"/>
    <w:rsid w:val="00C22CC3"/>
    <w:rsid w:val="00C234A2"/>
    <w:rsid w:val="00C2370C"/>
    <w:rsid w:val="00C23D64"/>
    <w:rsid w:val="00C24121"/>
    <w:rsid w:val="00C247DD"/>
    <w:rsid w:val="00C24B3A"/>
    <w:rsid w:val="00C24FE4"/>
    <w:rsid w:val="00C25370"/>
    <w:rsid w:val="00C25FFD"/>
    <w:rsid w:val="00C2635B"/>
    <w:rsid w:val="00C2679A"/>
    <w:rsid w:val="00C26D9B"/>
    <w:rsid w:val="00C27051"/>
    <w:rsid w:val="00C272BF"/>
    <w:rsid w:val="00C274F2"/>
    <w:rsid w:val="00C277B1"/>
    <w:rsid w:val="00C279BB"/>
    <w:rsid w:val="00C27FC6"/>
    <w:rsid w:val="00C27FE7"/>
    <w:rsid w:val="00C30DD2"/>
    <w:rsid w:val="00C314D5"/>
    <w:rsid w:val="00C31AF8"/>
    <w:rsid w:val="00C31F92"/>
    <w:rsid w:val="00C326EE"/>
    <w:rsid w:val="00C328F2"/>
    <w:rsid w:val="00C32A28"/>
    <w:rsid w:val="00C32B01"/>
    <w:rsid w:val="00C32D91"/>
    <w:rsid w:val="00C32D95"/>
    <w:rsid w:val="00C32F29"/>
    <w:rsid w:val="00C339F7"/>
    <w:rsid w:val="00C34519"/>
    <w:rsid w:val="00C346F5"/>
    <w:rsid w:val="00C3471D"/>
    <w:rsid w:val="00C34DDE"/>
    <w:rsid w:val="00C34EEA"/>
    <w:rsid w:val="00C34F63"/>
    <w:rsid w:val="00C35913"/>
    <w:rsid w:val="00C35B78"/>
    <w:rsid w:val="00C35FDA"/>
    <w:rsid w:val="00C36846"/>
    <w:rsid w:val="00C368EB"/>
    <w:rsid w:val="00C37161"/>
    <w:rsid w:val="00C37978"/>
    <w:rsid w:val="00C37F09"/>
    <w:rsid w:val="00C4026F"/>
    <w:rsid w:val="00C40276"/>
    <w:rsid w:val="00C4071F"/>
    <w:rsid w:val="00C40B2D"/>
    <w:rsid w:val="00C414DB"/>
    <w:rsid w:val="00C41A8D"/>
    <w:rsid w:val="00C42427"/>
    <w:rsid w:val="00C42D74"/>
    <w:rsid w:val="00C43A5D"/>
    <w:rsid w:val="00C448C7"/>
    <w:rsid w:val="00C44AFA"/>
    <w:rsid w:val="00C44C75"/>
    <w:rsid w:val="00C45199"/>
    <w:rsid w:val="00C456EF"/>
    <w:rsid w:val="00C4570C"/>
    <w:rsid w:val="00C4582A"/>
    <w:rsid w:val="00C458D1"/>
    <w:rsid w:val="00C45975"/>
    <w:rsid w:val="00C45A97"/>
    <w:rsid w:val="00C45BDF"/>
    <w:rsid w:val="00C46616"/>
    <w:rsid w:val="00C46676"/>
    <w:rsid w:val="00C475BB"/>
    <w:rsid w:val="00C47EA9"/>
    <w:rsid w:val="00C47FC2"/>
    <w:rsid w:val="00C503B0"/>
    <w:rsid w:val="00C50F63"/>
    <w:rsid w:val="00C51749"/>
    <w:rsid w:val="00C51B47"/>
    <w:rsid w:val="00C51B80"/>
    <w:rsid w:val="00C53236"/>
    <w:rsid w:val="00C534A2"/>
    <w:rsid w:val="00C53734"/>
    <w:rsid w:val="00C5391F"/>
    <w:rsid w:val="00C53BD2"/>
    <w:rsid w:val="00C53D9E"/>
    <w:rsid w:val="00C53DFC"/>
    <w:rsid w:val="00C5411A"/>
    <w:rsid w:val="00C54710"/>
    <w:rsid w:val="00C5551F"/>
    <w:rsid w:val="00C55772"/>
    <w:rsid w:val="00C56323"/>
    <w:rsid w:val="00C56E55"/>
    <w:rsid w:val="00C56FAF"/>
    <w:rsid w:val="00C571F0"/>
    <w:rsid w:val="00C5789F"/>
    <w:rsid w:val="00C57F7F"/>
    <w:rsid w:val="00C60054"/>
    <w:rsid w:val="00C60148"/>
    <w:rsid w:val="00C60A09"/>
    <w:rsid w:val="00C60D33"/>
    <w:rsid w:val="00C618AD"/>
    <w:rsid w:val="00C623F8"/>
    <w:rsid w:val="00C62818"/>
    <w:rsid w:val="00C628A7"/>
    <w:rsid w:val="00C62B20"/>
    <w:rsid w:val="00C62C0C"/>
    <w:rsid w:val="00C62D42"/>
    <w:rsid w:val="00C62F32"/>
    <w:rsid w:val="00C6395F"/>
    <w:rsid w:val="00C6421A"/>
    <w:rsid w:val="00C64762"/>
    <w:rsid w:val="00C6491D"/>
    <w:rsid w:val="00C64E47"/>
    <w:rsid w:val="00C652FD"/>
    <w:rsid w:val="00C65CFB"/>
    <w:rsid w:val="00C65D65"/>
    <w:rsid w:val="00C65EB7"/>
    <w:rsid w:val="00C6664C"/>
    <w:rsid w:val="00C66781"/>
    <w:rsid w:val="00C670B6"/>
    <w:rsid w:val="00C677AE"/>
    <w:rsid w:val="00C67B71"/>
    <w:rsid w:val="00C67B88"/>
    <w:rsid w:val="00C67F28"/>
    <w:rsid w:val="00C70325"/>
    <w:rsid w:val="00C70720"/>
    <w:rsid w:val="00C70C4D"/>
    <w:rsid w:val="00C70DA6"/>
    <w:rsid w:val="00C711C6"/>
    <w:rsid w:val="00C71267"/>
    <w:rsid w:val="00C716D1"/>
    <w:rsid w:val="00C719F7"/>
    <w:rsid w:val="00C71C63"/>
    <w:rsid w:val="00C71E47"/>
    <w:rsid w:val="00C71F0A"/>
    <w:rsid w:val="00C7227B"/>
    <w:rsid w:val="00C72609"/>
    <w:rsid w:val="00C72A29"/>
    <w:rsid w:val="00C72E7B"/>
    <w:rsid w:val="00C730E8"/>
    <w:rsid w:val="00C730FE"/>
    <w:rsid w:val="00C735A4"/>
    <w:rsid w:val="00C74132"/>
    <w:rsid w:val="00C74341"/>
    <w:rsid w:val="00C74548"/>
    <w:rsid w:val="00C74699"/>
    <w:rsid w:val="00C74901"/>
    <w:rsid w:val="00C751F2"/>
    <w:rsid w:val="00C754BF"/>
    <w:rsid w:val="00C7555F"/>
    <w:rsid w:val="00C75608"/>
    <w:rsid w:val="00C75BB2"/>
    <w:rsid w:val="00C75E01"/>
    <w:rsid w:val="00C760D6"/>
    <w:rsid w:val="00C7641D"/>
    <w:rsid w:val="00C764A8"/>
    <w:rsid w:val="00C768FD"/>
    <w:rsid w:val="00C77272"/>
    <w:rsid w:val="00C7736C"/>
    <w:rsid w:val="00C77602"/>
    <w:rsid w:val="00C77819"/>
    <w:rsid w:val="00C77D0B"/>
    <w:rsid w:val="00C77D45"/>
    <w:rsid w:val="00C800BE"/>
    <w:rsid w:val="00C80B8C"/>
    <w:rsid w:val="00C810DC"/>
    <w:rsid w:val="00C81496"/>
    <w:rsid w:val="00C81991"/>
    <w:rsid w:val="00C819C3"/>
    <w:rsid w:val="00C825B7"/>
    <w:rsid w:val="00C826DC"/>
    <w:rsid w:val="00C82933"/>
    <w:rsid w:val="00C82F6B"/>
    <w:rsid w:val="00C833E7"/>
    <w:rsid w:val="00C83A22"/>
    <w:rsid w:val="00C83B2E"/>
    <w:rsid w:val="00C83D0E"/>
    <w:rsid w:val="00C840EC"/>
    <w:rsid w:val="00C841D1"/>
    <w:rsid w:val="00C844A6"/>
    <w:rsid w:val="00C84A6F"/>
    <w:rsid w:val="00C85217"/>
    <w:rsid w:val="00C85471"/>
    <w:rsid w:val="00C854D0"/>
    <w:rsid w:val="00C8563E"/>
    <w:rsid w:val="00C85918"/>
    <w:rsid w:val="00C85FAB"/>
    <w:rsid w:val="00C86385"/>
    <w:rsid w:val="00C863D8"/>
    <w:rsid w:val="00C86491"/>
    <w:rsid w:val="00C864C2"/>
    <w:rsid w:val="00C86AFD"/>
    <w:rsid w:val="00C86C1C"/>
    <w:rsid w:val="00C872DC"/>
    <w:rsid w:val="00C8757C"/>
    <w:rsid w:val="00C87FE9"/>
    <w:rsid w:val="00C90127"/>
    <w:rsid w:val="00C902A0"/>
    <w:rsid w:val="00C902CF"/>
    <w:rsid w:val="00C903D1"/>
    <w:rsid w:val="00C909EE"/>
    <w:rsid w:val="00C9124D"/>
    <w:rsid w:val="00C91552"/>
    <w:rsid w:val="00C917E4"/>
    <w:rsid w:val="00C918C8"/>
    <w:rsid w:val="00C918E6"/>
    <w:rsid w:val="00C91AD9"/>
    <w:rsid w:val="00C91B8C"/>
    <w:rsid w:val="00C91DC6"/>
    <w:rsid w:val="00C920CE"/>
    <w:rsid w:val="00C9235C"/>
    <w:rsid w:val="00C9280B"/>
    <w:rsid w:val="00C92844"/>
    <w:rsid w:val="00C92C8A"/>
    <w:rsid w:val="00C92D85"/>
    <w:rsid w:val="00C9341C"/>
    <w:rsid w:val="00C9372E"/>
    <w:rsid w:val="00C93832"/>
    <w:rsid w:val="00C93A65"/>
    <w:rsid w:val="00C9405F"/>
    <w:rsid w:val="00C940A6"/>
    <w:rsid w:val="00C940C8"/>
    <w:rsid w:val="00C94159"/>
    <w:rsid w:val="00C9499C"/>
    <w:rsid w:val="00C96536"/>
    <w:rsid w:val="00C9659C"/>
    <w:rsid w:val="00C9678F"/>
    <w:rsid w:val="00C969D4"/>
    <w:rsid w:val="00C96C3E"/>
    <w:rsid w:val="00C96D85"/>
    <w:rsid w:val="00C96E5E"/>
    <w:rsid w:val="00C96FB8"/>
    <w:rsid w:val="00C97686"/>
    <w:rsid w:val="00CA0274"/>
    <w:rsid w:val="00CA0408"/>
    <w:rsid w:val="00CA096A"/>
    <w:rsid w:val="00CA0C6F"/>
    <w:rsid w:val="00CA12F5"/>
    <w:rsid w:val="00CA1930"/>
    <w:rsid w:val="00CA1DC0"/>
    <w:rsid w:val="00CA1E6E"/>
    <w:rsid w:val="00CA41E4"/>
    <w:rsid w:val="00CA455E"/>
    <w:rsid w:val="00CA457A"/>
    <w:rsid w:val="00CA4876"/>
    <w:rsid w:val="00CA48FD"/>
    <w:rsid w:val="00CA4990"/>
    <w:rsid w:val="00CA4B03"/>
    <w:rsid w:val="00CA5453"/>
    <w:rsid w:val="00CA57C9"/>
    <w:rsid w:val="00CA6016"/>
    <w:rsid w:val="00CA602C"/>
    <w:rsid w:val="00CA6C6B"/>
    <w:rsid w:val="00CA7FC5"/>
    <w:rsid w:val="00CB02A6"/>
    <w:rsid w:val="00CB0A25"/>
    <w:rsid w:val="00CB1475"/>
    <w:rsid w:val="00CB17EA"/>
    <w:rsid w:val="00CB1A22"/>
    <w:rsid w:val="00CB2AD5"/>
    <w:rsid w:val="00CB2B7D"/>
    <w:rsid w:val="00CB2C3A"/>
    <w:rsid w:val="00CB2D1C"/>
    <w:rsid w:val="00CB2ECC"/>
    <w:rsid w:val="00CB2F74"/>
    <w:rsid w:val="00CB3043"/>
    <w:rsid w:val="00CB316C"/>
    <w:rsid w:val="00CB3E13"/>
    <w:rsid w:val="00CB4961"/>
    <w:rsid w:val="00CB517A"/>
    <w:rsid w:val="00CB53C0"/>
    <w:rsid w:val="00CB559A"/>
    <w:rsid w:val="00CB59B2"/>
    <w:rsid w:val="00CB698A"/>
    <w:rsid w:val="00CB74D0"/>
    <w:rsid w:val="00CB756D"/>
    <w:rsid w:val="00CB7995"/>
    <w:rsid w:val="00CB7ECB"/>
    <w:rsid w:val="00CC0AE6"/>
    <w:rsid w:val="00CC0C4B"/>
    <w:rsid w:val="00CC0F1C"/>
    <w:rsid w:val="00CC13E5"/>
    <w:rsid w:val="00CC1A43"/>
    <w:rsid w:val="00CC1DB4"/>
    <w:rsid w:val="00CC1F69"/>
    <w:rsid w:val="00CC2532"/>
    <w:rsid w:val="00CC2C13"/>
    <w:rsid w:val="00CC2D82"/>
    <w:rsid w:val="00CC2DE7"/>
    <w:rsid w:val="00CC3767"/>
    <w:rsid w:val="00CC38E4"/>
    <w:rsid w:val="00CC3F4D"/>
    <w:rsid w:val="00CC3F88"/>
    <w:rsid w:val="00CC3FBA"/>
    <w:rsid w:val="00CC4186"/>
    <w:rsid w:val="00CC4258"/>
    <w:rsid w:val="00CC429A"/>
    <w:rsid w:val="00CC4737"/>
    <w:rsid w:val="00CC4915"/>
    <w:rsid w:val="00CC4A33"/>
    <w:rsid w:val="00CC4C56"/>
    <w:rsid w:val="00CC50B6"/>
    <w:rsid w:val="00CC5248"/>
    <w:rsid w:val="00CC5BC4"/>
    <w:rsid w:val="00CC5CC4"/>
    <w:rsid w:val="00CC61A6"/>
    <w:rsid w:val="00CC6468"/>
    <w:rsid w:val="00CC665D"/>
    <w:rsid w:val="00CC6AE2"/>
    <w:rsid w:val="00CC6ED7"/>
    <w:rsid w:val="00CC7A62"/>
    <w:rsid w:val="00CC7A7C"/>
    <w:rsid w:val="00CC7AE7"/>
    <w:rsid w:val="00CD03D4"/>
    <w:rsid w:val="00CD06DA"/>
    <w:rsid w:val="00CD0F8D"/>
    <w:rsid w:val="00CD189F"/>
    <w:rsid w:val="00CD1AF9"/>
    <w:rsid w:val="00CD207C"/>
    <w:rsid w:val="00CD217F"/>
    <w:rsid w:val="00CD255F"/>
    <w:rsid w:val="00CD3696"/>
    <w:rsid w:val="00CD394D"/>
    <w:rsid w:val="00CD4691"/>
    <w:rsid w:val="00CD4906"/>
    <w:rsid w:val="00CD4A00"/>
    <w:rsid w:val="00CD4AF0"/>
    <w:rsid w:val="00CD5B23"/>
    <w:rsid w:val="00CD6234"/>
    <w:rsid w:val="00CD64D0"/>
    <w:rsid w:val="00CD663E"/>
    <w:rsid w:val="00CD6680"/>
    <w:rsid w:val="00CD6841"/>
    <w:rsid w:val="00CD7229"/>
    <w:rsid w:val="00CD723D"/>
    <w:rsid w:val="00CD72ED"/>
    <w:rsid w:val="00CD7AE8"/>
    <w:rsid w:val="00CE0251"/>
    <w:rsid w:val="00CE0363"/>
    <w:rsid w:val="00CE0CB5"/>
    <w:rsid w:val="00CE14A5"/>
    <w:rsid w:val="00CE16C1"/>
    <w:rsid w:val="00CE1DA3"/>
    <w:rsid w:val="00CE20B4"/>
    <w:rsid w:val="00CE25B8"/>
    <w:rsid w:val="00CE2AD9"/>
    <w:rsid w:val="00CE2DE3"/>
    <w:rsid w:val="00CE398C"/>
    <w:rsid w:val="00CE4255"/>
    <w:rsid w:val="00CE462C"/>
    <w:rsid w:val="00CE4A85"/>
    <w:rsid w:val="00CE4C7F"/>
    <w:rsid w:val="00CE4CA6"/>
    <w:rsid w:val="00CE509F"/>
    <w:rsid w:val="00CE532A"/>
    <w:rsid w:val="00CE5348"/>
    <w:rsid w:val="00CE54EF"/>
    <w:rsid w:val="00CE58B8"/>
    <w:rsid w:val="00CE5D93"/>
    <w:rsid w:val="00CE6705"/>
    <w:rsid w:val="00CE6CB6"/>
    <w:rsid w:val="00CE6D72"/>
    <w:rsid w:val="00CE7007"/>
    <w:rsid w:val="00CE7032"/>
    <w:rsid w:val="00CE70B2"/>
    <w:rsid w:val="00CE70D7"/>
    <w:rsid w:val="00CE7715"/>
    <w:rsid w:val="00CE7D2A"/>
    <w:rsid w:val="00CF0B76"/>
    <w:rsid w:val="00CF0F86"/>
    <w:rsid w:val="00CF1686"/>
    <w:rsid w:val="00CF18F6"/>
    <w:rsid w:val="00CF1C54"/>
    <w:rsid w:val="00CF23B1"/>
    <w:rsid w:val="00CF2960"/>
    <w:rsid w:val="00CF3238"/>
    <w:rsid w:val="00CF33E4"/>
    <w:rsid w:val="00CF379B"/>
    <w:rsid w:val="00CF3AF9"/>
    <w:rsid w:val="00CF3CF8"/>
    <w:rsid w:val="00CF46F8"/>
    <w:rsid w:val="00CF4A3B"/>
    <w:rsid w:val="00CF4A57"/>
    <w:rsid w:val="00CF4B53"/>
    <w:rsid w:val="00CF4DD0"/>
    <w:rsid w:val="00CF542C"/>
    <w:rsid w:val="00CF57C1"/>
    <w:rsid w:val="00CF63A1"/>
    <w:rsid w:val="00CF67BA"/>
    <w:rsid w:val="00CF70F3"/>
    <w:rsid w:val="00CF72A7"/>
    <w:rsid w:val="00CF72F0"/>
    <w:rsid w:val="00D0008F"/>
    <w:rsid w:val="00D006CA"/>
    <w:rsid w:val="00D00C19"/>
    <w:rsid w:val="00D00F21"/>
    <w:rsid w:val="00D010F8"/>
    <w:rsid w:val="00D013CB"/>
    <w:rsid w:val="00D0179A"/>
    <w:rsid w:val="00D022AE"/>
    <w:rsid w:val="00D022E8"/>
    <w:rsid w:val="00D025A3"/>
    <w:rsid w:val="00D02631"/>
    <w:rsid w:val="00D02ECB"/>
    <w:rsid w:val="00D0301A"/>
    <w:rsid w:val="00D032E9"/>
    <w:rsid w:val="00D03C47"/>
    <w:rsid w:val="00D03ED1"/>
    <w:rsid w:val="00D044E8"/>
    <w:rsid w:val="00D045B1"/>
    <w:rsid w:val="00D04A2D"/>
    <w:rsid w:val="00D04B6E"/>
    <w:rsid w:val="00D050F0"/>
    <w:rsid w:val="00D05462"/>
    <w:rsid w:val="00D056C5"/>
    <w:rsid w:val="00D05780"/>
    <w:rsid w:val="00D05E05"/>
    <w:rsid w:val="00D060F9"/>
    <w:rsid w:val="00D06784"/>
    <w:rsid w:val="00D067CE"/>
    <w:rsid w:val="00D06C8A"/>
    <w:rsid w:val="00D06F4F"/>
    <w:rsid w:val="00D0702B"/>
    <w:rsid w:val="00D0774F"/>
    <w:rsid w:val="00D07CA8"/>
    <w:rsid w:val="00D07F9B"/>
    <w:rsid w:val="00D1015F"/>
    <w:rsid w:val="00D1085E"/>
    <w:rsid w:val="00D109C0"/>
    <w:rsid w:val="00D11A15"/>
    <w:rsid w:val="00D11E1F"/>
    <w:rsid w:val="00D11EAB"/>
    <w:rsid w:val="00D1220D"/>
    <w:rsid w:val="00D12811"/>
    <w:rsid w:val="00D128CE"/>
    <w:rsid w:val="00D1320E"/>
    <w:rsid w:val="00D13571"/>
    <w:rsid w:val="00D14672"/>
    <w:rsid w:val="00D14729"/>
    <w:rsid w:val="00D14E19"/>
    <w:rsid w:val="00D15768"/>
    <w:rsid w:val="00D15804"/>
    <w:rsid w:val="00D159A5"/>
    <w:rsid w:val="00D159C2"/>
    <w:rsid w:val="00D15AE7"/>
    <w:rsid w:val="00D16444"/>
    <w:rsid w:val="00D16921"/>
    <w:rsid w:val="00D16A61"/>
    <w:rsid w:val="00D16B3D"/>
    <w:rsid w:val="00D16DDE"/>
    <w:rsid w:val="00D1742C"/>
    <w:rsid w:val="00D17A9A"/>
    <w:rsid w:val="00D17CC4"/>
    <w:rsid w:val="00D17E29"/>
    <w:rsid w:val="00D20661"/>
    <w:rsid w:val="00D206ED"/>
    <w:rsid w:val="00D208E5"/>
    <w:rsid w:val="00D20A7E"/>
    <w:rsid w:val="00D21579"/>
    <w:rsid w:val="00D21B8A"/>
    <w:rsid w:val="00D21F49"/>
    <w:rsid w:val="00D224E0"/>
    <w:rsid w:val="00D22F99"/>
    <w:rsid w:val="00D2332A"/>
    <w:rsid w:val="00D23343"/>
    <w:rsid w:val="00D23439"/>
    <w:rsid w:val="00D23569"/>
    <w:rsid w:val="00D23964"/>
    <w:rsid w:val="00D23C25"/>
    <w:rsid w:val="00D242FF"/>
    <w:rsid w:val="00D24F24"/>
    <w:rsid w:val="00D25456"/>
    <w:rsid w:val="00D2574D"/>
    <w:rsid w:val="00D25D93"/>
    <w:rsid w:val="00D25F2A"/>
    <w:rsid w:val="00D26789"/>
    <w:rsid w:val="00D26AE1"/>
    <w:rsid w:val="00D26D41"/>
    <w:rsid w:val="00D2780D"/>
    <w:rsid w:val="00D2784D"/>
    <w:rsid w:val="00D279CA"/>
    <w:rsid w:val="00D27EDC"/>
    <w:rsid w:val="00D27FE3"/>
    <w:rsid w:val="00D3001C"/>
    <w:rsid w:val="00D301AA"/>
    <w:rsid w:val="00D30297"/>
    <w:rsid w:val="00D30ECB"/>
    <w:rsid w:val="00D31680"/>
    <w:rsid w:val="00D3194A"/>
    <w:rsid w:val="00D31A7B"/>
    <w:rsid w:val="00D32EFC"/>
    <w:rsid w:val="00D33046"/>
    <w:rsid w:val="00D3373A"/>
    <w:rsid w:val="00D33A39"/>
    <w:rsid w:val="00D34287"/>
    <w:rsid w:val="00D34533"/>
    <w:rsid w:val="00D3475C"/>
    <w:rsid w:val="00D35107"/>
    <w:rsid w:val="00D35865"/>
    <w:rsid w:val="00D35CC2"/>
    <w:rsid w:val="00D35F8D"/>
    <w:rsid w:val="00D3632C"/>
    <w:rsid w:val="00D36695"/>
    <w:rsid w:val="00D36A62"/>
    <w:rsid w:val="00D36FA6"/>
    <w:rsid w:val="00D374CC"/>
    <w:rsid w:val="00D37730"/>
    <w:rsid w:val="00D40485"/>
    <w:rsid w:val="00D4093B"/>
    <w:rsid w:val="00D40A08"/>
    <w:rsid w:val="00D40C93"/>
    <w:rsid w:val="00D410F5"/>
    <w:rsid w:val="00D4111B"/>
    <w:rsid w:val="00D413E8"/>
    <w:rsid w:val="00D41F7F"/>
    <w:rsid w:val="00D42305"/>
    <w:rsid w:val="00D42553"/>
    <w:rsid w:val="00D42A36"/>
    <w:rsid w:val="00D42D18"/>
    <w:rsid w:val="00D42D45"/>
    <w:rsid w:val="00D43021"/>
    <w:rsid w:val="00D43139"/>
    <w:rsid w:val="00D4337C"/>
    <w:rsid w:val="00D43463"/>
    <w:rsid w:val="00D43551"/>
    <w:rsid w:val="00D43829"/>
    <w:rsid w:val="00D43BE2"/>
    <w:rsid w:val="00D4476F"/>
    <w:rsid w:val="00D449E1"/>
    <w:rsid w:val="00D44B0E"/>
    <w:rsid w:val="00D45307"/>
    <w:rsid w:val="00D45D90"/>
    <w:rsid w:val="00D45E56"/>
    <w:rsid w:val="00D47281"/>
    <w:rsid w:val="00D50123"/>
    <w:rsid w:val="00D5012B"/>
    <w:rsid w:val="00D50469"/>
    <w:rsid w:val="00D50A11"/>
    <w:rsid w:val="00D50AFD"/>
    <w:rsid w:val="00D50FF1"/>
    <w:rsid w:val="00D52439"/>
    <w:rsid w:val="00D52868"/>
    <w:rsid w:val="00D52B07"/>
    <w:rsid w:val="00D52E90"/>
    <w:rsid w:val="00D53054"/>
    <w:rsid w:val="00D53AA5"/>
    <w:rsid w:val="00D53D2C"/>
    <w:rsid w:val="00D545B2"/>
    <w:rsid w:val="00D5485B"/>
    <w:rsid w:val="00D54BF0"/>
    <w:rsid w:val="00D54DFB"/>
    <w:rsid w:val="00D54F8D"/>
    <w:rsid w:val="00D550F9"/>
    <w:rsid w:val="00D5615C"/>
    <w:rsid w:val="00D56BDE"/>
    <w:rsid w:val="00D56D9B"/>
    <w:rsid w:val="00D57349"/>
    <w:rsid w:val="00D574B1"/>
    <w:rsid w:val="00D579CA"/>
    <w:rsid w:val="00D579EC"/>
    <w:rsid w:val="00D6028F"/>
    <w:rsid w:val="00D60799"/>
    <w:rsid w:val="00D6089D"/>
    <w:rsid w:val="00D60A07"/>
    <w:rsid w:val="00D60A44"/>
    <w:rsid w:val="00D61551"/>
    <w:rsid w:val="00D615FD"/>
    <w:rsid w:val="00D61892"/>
    <w:rsid w:val="00D62234"/>
    <w:rsid w:val="00D622FC"/>
    <w:rsid w:val="00D626C8"/>
    <w:rsid w:val="00D62ED8"/>
    <w:rsid w:val="00D633A3"/>
    <w:rsid w:val="00D6362A"/>
    <w:rsid w:val="00D6392B"/>
    <w:rsid w:val="00D6449C"/>
    <w:rsid w:val="00D64550"/>
    <w:rsid w:val="00D647B8"/>
    <w:rsid w:val="00D64853"/>
    <w:rsid w:val="00D64BFC"/>
    <w:rsid w:val="00D64DE7"/>
    <w:rsid w:val="00D6529D"/>
    <w:rsid w:val="00D654CF"/>
    <w:rsid w:val="00D65526"/>
    <w:rsid w:val="00D65867"/>
    <w:rsid w:val="00D66276"/>
    <w:rsid w:val="00D663AE"/>
    <w:rsid w:val="00D6644C"/>
    <w:rsid w:val="00D665C6"/>
    <w:rsid w:val="00D665D9"/>
    <w:rsid w:val="00D668DC"/>
    <w:rsid w:val="00D668E7"/>
    <w:rsid w:val="00D673E8"/>
    <w:rsid w:val="00D70209"/>
    <w:rsid w:val="00D70AD3"/>
    <w:rsid w:val="00D70BF1"/>
    <w:rsid w:val="00D70D73"/>
    <w:rsid w:val="00D71174"/>
    <w:rsid w:val="00D712BC"/>
    <w:rsid w:val="00D71750"/>
    <w:rsid w:val="00D719BC"/>
    <w:rsid w:val="00D71B2D"/>
    <w:rsid w:val="00D720EA"/>
    <w:rsid w:val="00D72699"/>
    <w:rsid w:val="00D72BC7"/>
    <w:rsid w:val="00D736A3"/>
    <w:rsid w:val="00D73A9A"/>
    <w:rsid w:val="00D7406F"/>
    <w:rsid w:val="00D7481B"/>
    <w:rsid w:val="00D74AE3"/>
    <w:rsid w:val="00D754DD"/>
    <w:rsid w:val="00D756D2"/>
    <w:rsid w:val="00D75BF7"/>
    <w:rsid w:val="00D7629E"/>
    <w:rsid w:val="00D768B5"/>
    <w:rsid w:val="00D76BDB"/>
    <w:rsid w:val="00D76CC9"/>
    <w:rsid w:val="00D76E6E"/>
    <w:rsid w:val="00D77340"/>
    <w:rsid w:val="00D7760A"/>
    <w:rsid w:val="00D77621"/>
    <w:rsid w:val="00D7774E"/>
    <w:rsid w:val="00D77A34"/>
    <w:rsid w:val="00D77B7C"/>
    <w:rsid w:val="00D80174"/>
    <w:rsid w:val="00D804A9"/>
    <w:rsid w:val="00D807D2"/>
    <w:rsid w:val="00D80FD2"/>
    <w:rsid w:val="00D80FD6"/>
    <w:rsid w:val="00D8112D"/>
    <w:rsid w:val="00D811CF"/>
    <w:rsid w:val="00D814B4"/>
    <w:rsid w:val="00D814F0"/>
    <w:rsid w:val="00D817E6"/>
    <w:rsid w:val="00D81BF2"/>
    <w:rsid w:val="00D82020"/>
    <w:rsid w:val="00D824EA"/>
    <w:rsid w:val="00D828D2"/>
    <w:rsid w:val="00D83103"/>
    <w:rsid w:val="00D83C14"/>
    <w:rsid w:val="00D83FF1"/>
    <w:rsid w:val="00D84512"/>
    <w:rsid w:val="00D84B42"/>
    <w:rsid w:val="00D84CE4"/>
    <w:rsid w:val="00D84E3B"/>
    <w:rsid w:val="00D84F40"/>
    <w:rsid w:val="00D84F85"/>
    <w:rsid w:val="00D84FC1"/>
    <w:rsid w:val="00D85463"/>
    <w:rsid w:val="00D85651"/>
    <w:rsid w:val="00D85C64"/>
    <w:rsid w:val="00D861E0"/>
    <w:rsid w:val="00D86209"/>
    <w:rsid w:val="00D863C9"/>
    <w:rsid w:val="00D866FB"/>
    <w:rsid w:val="00D86971"/>
    <w:rsid w:val="00D86D93"/>
    <w:rsid w:val="00D87600"/>
    <w:rsid w:val="00D87F21"/>
    <w:rsid w:val="00D90445"/>
    <w:rsid w:val="00D9060E"/>
    <w:rsid w:val="00D90655"/>
    <w:rsid w:val="00D909FB"/>
    <w:rsid w:val="00D90AA1"/>
    <w:rsid w:val="00D90C88"/>
    <w:rsid w:val="00D90D3E"/>
    <w:rsid w:val="00D915D8"/>
    <w:rsid w:val="00D9197E"/>
    <w:rsid w:val="00D91EB3"/>
    <w:rsid w:val="00D92086"/>
    <w:rsid w:val="00D933C4"/>
    <w:rsid w:val="00D93D6B"/>
    <w:rsid w:val="00D9439F"/>
    <w:rsid w:val="00D94670"/>
    <w:rsid w:val="00D94A3B"/>
    <w:rsid w:val="00D94A66"/>
    <w:rsid w:val="00D94BE5"/>
    <w:rsid w:val="00D94E40"/>
    <w:rsid w:val="00D957DA"/>
    <w:rsid w:val="00D95C25"/>
    <w:rsid w:val="00D95E50"/>
    <w:rsid w:val="00D95F29"/>
    <w:rsid w:val="00D962BD"/>
    <w:rsid w:val="00D962F0"/>
    <w:rsid w:val="00D96401"/>
    <w:rsid w:val="00D96CC5"/>
    <w:rsid w:val="00D971C1"/>
    <w:rsid w:val="00D9744A"/>
    <w:rsid w:val="00D975FE"/>
    <w:rsid w:val="00D976D1"/>
    <w:rsid w:val="00D97D6E"/>
    <w:rsid w:val="00DA0253"/>
    <w:rsid w:val="00DA09FB"/>
    <w:rsid w:val="00DA0E9B"/>
    <w:rsid w:val="00DA103F"/>
    <w:rsid w:val="00DA1104"/>
    <w:rsid w:val="00DA19B9"/>
    <w:rsid w:val="00DA1B73"/>
    <w:rsid w:val="00DA1E01"/>
    <w:rsid w:val="00DA1F32"/>
    <w:rsid w:val="00DA2108"/>
    <w:rsid w:val="00DA2579"/>
    <w:rsid w:val="00DA27DB"/>
    <w:rsid w:val="00DA294C"/>
    <w:rsid w:val="00DA297B"/>
    <w:rsid w:val="00DA29FC"/>
    <w:rsid w:val="00DA374E"/>
    <w:rsid w:val="00DA42B7"/>
    <w:rsid w:val="00DA444E"/>
    <w:rsid w:val="00DA4C35"/>
    <w:rsid w:val="00DA5321"/>
    <w:rsid w:val="00DA535C"/>
    <w:rsid w:val="00DA5668"/>
    <w:rsid w:val="00DA56B3"/>
    <w:rsid w:val="00DA5B2F"/>
    <w:rsid w:val="00DA5B3E"/>
    <w:rsid w:val="00DA6164"/>
    <w:rsid w:val="00DA61A3"/>
    <w:rsid w:val="00DA63DE"/>
    <w:rsid w:val="00DA67E2"/>
    <w:rsid w:val="00DA6810"/>
    <w:rsid w:val="00DA68D5"/>
    <w:rsid w:val="00DA6C41"/>
    <w:rsid w:val="00DA6E7D"/>
    <w:rsid w:val="00DA6ED5"/>
    <w:rsid w:val="00DA6EF4"/>
    <w:rsid w:val="00DA71C9"/>
    <w:rsid w:val="00DA750C"/>
    <w:rsid w:val="00DA7C06"/>
    <w:rsid w:val="00DB0269"/>
    <w:rsid w:val="00DB05AE"/>
    <w:rsid w:val="00DB074C"/>
    <w:rsid w:val="00DB0789"/>
    <w:rsid w:val="00DB0AAC"/>
    <w:rsid w:val="00DB0B25"/>
    <w:rsid w:val="00DB0B93"/>
    <w:rsid w:val="00DB12DA"/>
    <w:rsid w:val="00DB1551"/>
    <w:rsid w:val="00DB1D50"/>
    <w:rsid w:val="00DB1DD7"/>
    <w:rsid w:val="00DB29A8"/>
    <w:rsid w:val="00DB2B58"/>
    <w:rsid w:val="00DB2E3E"/>
    <w:rsid w:val="00DB2EBE"/>
    <w:rsid w:val="00DB3063"/>
    <w:rsid w:val="00DB359B"/>
    <w:rsid w:val="00DB398B"/>
    <w:rsid w:val="00DB39CB"/>
    <w:rsid w:val="00DB3C25"/>
    <w:rsid w:val="00DB408B"/>
    <w:rsid w:val="00DB434E"/>
    <w:rsid w:val="00DB4C62"/>
    <w:rsid w:val="00DB4E1E"/>
    <w:rsid w:val="00DB5156"/>
    <w:rsid w:val="00DB5242"/>
    <w:rsid w:val="00DB5482"/>
    <w:rsid w:val="00DB582B"/>
    <w:rsid w:val="00DB5ED0"/>
    <w:rsid w:val="00DB6393"/>
    <w:rsid w:val="00DB6515"/>
    <w:rsid w:val="00DB6ABD"/>
    <w:rsid w:val="00DB6BD2"/>
    <w:rsid w:val="00DB6DEC"/>
    <w:rsid w:val="00DB6E51"/>
    <w:rsid w:val="00DB6FB1"/>
    <w:rsid w:val="00DB797F"/>
    <w:rsid w:val="00DB7A1C"/>
    <w:rsid w:val="00DB7D43"/>
    <w:rsid w:val="00DC035A"/>
    <w:rsid w:val="00DC0717"/>
    <w:rsid w:val="00DC0AAD"/>
    <w:rsid w:val="00DC0EE4"/>
    <w:rsid w:val="00DC1257"/>
    <w:rsid w:val="00DC2110"/>
    <w:rsid w:val="00DC235A"/>
    <w:rsid w:val="00DC2DD9"/>
    <w:rsid w:val="00DC2FCF"/>
    <w:rsid w:val="00DC3341"/>
    <w:rsid w:val="00DC3808"/>
    <w:rsid w:val="00DC3A0D"/>
    <w:rsid w:val="00DC3FCE"/>
    <w:rsid w:val="00DC42A3"/>
    <w:rsid w:val="00DC46CE"/>
    <w:rsid w:val="00DC48C7"/>
    <w:rsid w:val="00DC49C1"/>
    <w:rsid w:val="00DC4CC8"/>
    <w:rsid w:val="00DC544F"/>
    <w:rsid w:val="00DC562D"/>
    <w:rsid w:val="00DC577A"/>
    <w:rsid w:val="00DC5A17"/>
    <w:rsid w:val="00DC5D86"/>
    <w:rsid w:val="00DC5DD4"/>
    <w:rsid w:val="00DC6306"/>
    <w:rsid w:val="00DC68A2"/>
    <w:rsid w:val="00DC690A"/>
    <w:rsid w:val="00DC7081"/>
    <w:rsid w:val="00DC7447"/>
    <w:rsid w:val="00DC771A"/>
    <w:rsid w:val="00DC7B59"/>
    <w:rsid w:val="00DC7C1E"/>
    <w:rsid w:val="00DC7DD0"/>
    <w:rsid w:val="00DC7E59"/>
    <w:rsid w:val="00DD0185"/>
    <w:rsid w:val="00DD03DC"/>
    <w:rsid w:val="00DD03DD"/>
    <w:rsid w:val="00DD061E"/>
    <w:rsid w:val="00DD06AA"/>
    <w:rsid w:val="00DD0ADE"/>
    <w:rsid w:val="00DD1455"/>
    <w:rsid w:val="00DD14EB"/>
    <w:rsid w:val="00DD1734"/>
    <w:rsid w:val="00DD17AF"/>
    <w:rsid w:val="00DD1988"/>
    <w:rsid w:val="00DD1D20"/>
    <w:rsid w:val="00DD1DD0"/>
    <w:rsid w:val="00DD1DE5"/>
    <w:rsid w:val="00DD239D"/>
    <w:rsid w:val="00DD2E7B"/>
    <w:rsid w:val="00DD2ED0"/>
    <w:rsid w:val="00DD330F"/>
    <w:rsid w:val="00DD34EC"/>
    <w:rsid w:val="00DD3CB8"/>
    <w:rsid w:val="00DD3E2E"/>
    <w:rsid w:val="00DD414F"/>
    <w:rsid w:val="00DD432B"/>
    <w:rsid w:val="00DD472D"/>
    <w:rsid w:val="00DD51A5"/>
    <w:rsid w:val="00DD5496"/>
    <w:rsid w:val="00DD54DE"/>
    <w:rsid w:val="00DD5ABD"/>
    <w:rsid w:val="00DD6B60"/>
    <w:rsid w:val="00DD6C8F"/>
    <w:rsid w:val="00DD6D11"/>
    <w:rsid w:val="00DD72BF"/>
    <w:rsid w:val="00DD72C7"/>
    <w:rsid w:val="00DD7A1D"/>
    <w:rsid w:val="00DD7BA9"/>
    <w:rsid w:val="00DD7CBA"/>
    <w:rsid w:val="00DE0005"/>
    <w:rsid w:val="00DE01F1"/>
    <w:rsid w:val="00DE02E8"/>
    <w:rsid w:val="00DE05CE"/>
    <w:rsid w:val="00DE12B3"/>
    <w:rsid w:val="00DE1401"/>
    <w:rsid w:val="00DE23E6"/>
    <w:rsid w:val="00DE294C"/>
    <w:rsid w:val="00DE299B"/>
    <w:rsid w:val="00DE2AB3"/>
    <w:rsid w:val="00DE2CE5"/>
    <w:rsid w:val="00DE2D2F"/>
    <w:rsid w:val="00DE3003"/>
    <w:rsid w:val="00DE3748"/>
    <w:rsid w:val="00DE38CF"/>
    <w:rsid w:val="00DE3D7B"/>
    <w:rsid w:val="00DE3D80"/>
    <w:rsid w:val="00DE40F1"/>
    <w:rsid w:val="00DE4346"/>
    <w:rsid w:val="00DE465C"/>
    <w:rsid w:val="00DE5A23"/>
    <w:rsid w:val="00DE5D67"/>
    <w:rsid w:val="00DE5E4D"/>
    <w:rsid w:val="00DE62D5"/>
    <w:rsid w:val="00DE6961"/>
    <w:rsid w:val="00DE6C6C"/>
    <w:rsid w:val="00DE6D80"/>
    <w:rsid w:val="00DE708A"/>
    <w:rsid w:val="00DE72D9"/>
    <w:rsid w:val="00DE733F"/>
    <w:rsid w:val="00DE77CE"/>
    <w:rsid w:val="00DF003E"/>
    <w:rsid w:val="00DF0ABF"/>
    <w:rsid w:val="00DF0EC6"/>
    <w:rsid w:val="00DF1090"/>
    <w:rsid w:val="00DF12CD"/>
    <w:rsid w:val="00DF153B"/>
    <w:rsid w:val="00DF1A0C"/>
    <w:rsid w:val="00DF1DA1"/>
    <w:rsid w:val="00DF2283"/>
    <w:rsid w:val="00DF250B"/>
    <w:rsid w:val="00DF2852"/>
    <w:rsid w:val="00DF30EE"/>
    <w:rsid w:val="00DF30F0"/>
    <w:rsid w:val="00DF3705"/>
    <w:rsid w:val="00DF3707"/>
    <w:rsid w:val="00DF42CC"/>
    <w:rsid w:val="00DF4D89"/>
    <w:rsid w:val="00DF4F9B"/>
    <w:rsid w:val="00DF506E"/>
    <w:rsid w:val="00DF5143"/>
    <w:rsid w:val="00DF5405"/>
    <w:rsid w:val="00DF6072"/>
    <w:rsid w:val="00DF60E6"/>
    <w:rsid w:val="00DF62F8"/>
    <w:rsid w:val="00DF66F8"/>
    <w:rsid w:val="00DF6D15"/>
    <w:rsid w:val="00DF6D2F"/>
    <w:rsid w:val="00DF7212"/>
    <w:rsid w:val="00DF7277"/>
    <w:rsid w:val="00DF730E"/>
    <w:rsid w:val="00DF7BB7"/>
    <w:rsid w:val="00E002B6"/>
    <w:rsid w:val="00E004E9"/>
    <w:rsid w:val="00E009E4"/>
    <w:rsid w:val="00E014DA"/>
    <w:rsid w:val="00E01B5C"/>
    <w:rsid w:val="00E01C30"/>
    <w:rsid w:val="00E01E42"/>
    <w:rsid w:val="00E024D8"/>
    <w:rsid w:val="00E02698"/>
    <w:rsid w:val="00E02DE6"/>
    <w:rsid w:val="00E02E40"/>
    <w:rsid w:val="00E02E5D"/>
    <w:rsid w:val="00E035E7"/>
    <w:rsid w:val="00E03BFC"/>
    <w:rsid w:val="00E03E38"/>
    <w:rsid w:val="00E03F89"/>
    <w:rsid w:val="00E04118"/>
    <w:rsid w:val="00E045C2"/>
    <w:rsid w:val="00E046A0"/>
    <w:rsid w:val="00E04717"/>
    <w:rsid w:val="00E0494E"/>
    <w:rsid w:val="00E04961"/>
    <w:rsid w:val="00E04C67"/>
    <w:rsid w:val="00E0599A"/>
    <w:rsid w:val="00E05A77"/>
    <w:rsid w:val="00E0612D"/>
    <w:rsid w:val="00E06970"/>
    <w:rsid w:val="00E06DBA"/>
    <w:rsid w:val="00E07887"/>
    <w:rsid w:val="00E07B2A"/>
    <w:rsid w:val="00E10EF7"/>
    <w:rsid w:val="00E11137"/>
    <w:rsid w:val="00E11212"/>
    <w:rsid w:val="00E1123B"/>
    <w:rsid w:val="00E118D9"/>
    <w:rsid w:val="00E13576"/>
    <w:rsid w:val="00E137B1"/>
    <w:rsid w:val="00E13B77"/>
    <w:rsid w:val="00E14191"/>
    <w:rsid w:val="00E150A3"/>
    <w:rsid w:val="00E150CC"/>
    <w:rsid w:val="00E1535F"/>
    <w:rsid w:val="00E15657"/>
    <w:rsid w:val="00E15BE9"/>
    <w:rsid w:val="00E16A6C"/>
    <w:rsid w:val="00E171F8"/>
    <w:rsid w:val="00E1748F"/>
    <w:rsid w:val="00E17A2E"/>
    <w:rsid w:val="00E17A67"/>
    <w:rsid w:val="00E20346"/>
    <w:rsid w:val="00E206E3"/>
    <w:rsid w:val="00E209F7"/>
    <w:rsid w:val="00E20F3D"/>
    <w:rsid w:val="00E21B7B"/>
    <w:rsid w:val="00E21DD6"/>
    <w:rsid w:val="00E2208A"/>
    <w:rsid w:val="00E222F9"/>
    <w:rsid w:val="00E22C44"/>
    <w:rsid w:val="00E22E1B"/>
    <w:rsid w:val="00E230C0"/>
    <w:rsid w:val="00E239E8"/>
    <w:rsid w:val="00E23B17"/>
    <w:rsid w:val="00E2463E"/>
    <w:rsid w:val="00E24957"/>
    <w:rsid w:val="00E24D57"/>
    <w:rsid w:val="00E24E45"/>
    <w:rsid w:val="00E24EAD"/>
    <w:rsid w:val="00E26077"/>
    <w:rsid w:val="00E264B2"/>
    <w:rsid w:val="00E264D0"/>
    <w:rsid w:val="00E26726"/>
    <w:rsid w:val="00E267A7"/>
    <w:rsid w:val="00E26E52"/>
    <w:rsid w:val="00E2739F"/>
    <w:rsid w:val="00E27D5E"/>
    <w:rsid w:val="00E27DCD"/>
    <w:rsid w:val="00E301CE"/>
    <w:rsid w:val="00E30795"/>
    <w:rsid w:val="00E313A4"/>
    <w:rsid w:val="00E31472"/>
    <w:rsid w:val="00E3164C"/>
    <w:rsid w:val="00E325CF"/>
    <w:rsid w:val="00E32B74"/>
    <w:rsid w:val="00E32C8D"/>
    <w:rsid w:val="00E32D3C"/>
    <w:rsid w:val="00E33754"/>
    <w:rsid w:val="00E33A1C"/>
    <w:rsid w:val="00E33BD2"/>
    <w:rsid w:val="00E33F1C"/>
    <w:rsid w:val="00E33F31"/>
    <w:rsid w:val="00E34370"/>
    <w:rsid w:val="00E3472D"/>
    <w:rsid w:val="00E34C8E"/>
    <w:rsid w:val="00E34D66"/>
    <w:rsid w:val="00E35589"/>
    <w:rsid w:val="00E35A32"/>
    <w:rsid w:val="00E35ACE"/>
    <w:rsid w:val="00E35FE4"/>
    <w:rsid w:val="00E365A3"/>
    <w:rsid w:val="00E365EA"/>
    <w:rsid w:val="00E37A69"/>
    <w:rsid w:val="00E37CE8"/>
    <w:rsid w:val="00E37D64"/>
    <w:rsid w:val="00E37FF5"/>
    <w:rsid w:val="00E40048"/>
    <w:rsid w:val="00E400EA"/>
    <w:rsid w:val="00E408D4"/>
    <w:rsid w:val="00E40B67"/>
    <w:rsid w:val="00E40BA5"/>
    <w:rsid w:val="00E40C79"/>
    <w:rsid w:val="00E414CE"/>
    <w:rsid w:val="00E417A2"/>
    <w:rsid w:val="00E41B72"/>
    <w:rsid w:val="00E42169"/>
    <w:rsid w:val="00E4251F"/>
    <w:rsid w:val="00E42774"/>
    <w:rsid w:val="00E42A5B"/>
    <w:rsid w:val="00E42B42"/>
    <w:rsid w:val="00E42B44"/>
    <w:rsid w:val="00E4309F"/>
    <w:rsid w:val="00E4353D"/>
    <w:rsid w:val="00E43AC5"/>
    <w:rsid w:val="00E43C0A"/>
    <w:rsid w:val="00E441B8"/>
    <w:rsid w:val="00E44407"/>
    <w:rsid w:val="00E44FF1"/>
    <w:rsid w:val="00E453F6"/>
    <w:rsid w:val="00E45B90"/>
    <w:rsid w:val="00E45C18"/>
    <w:rsid w:val="00E45F73"/>
    <w:rsid w:val="00E46561"/>
    <w:rsid w:val="00E466AF"/>
    <w:rsid w:val="00E467B1"/>
    <w:rsid w:val="00E4756C"/>
    <w:rsid w:val="00E4757F"/>
    <w:rsid w:val="00E50531"/>
    <w:rsid w:val="00E50DDE"/>
    <w:rsid w:val="00E514DF"/>
    <w:rsid w:val="00E515C2"/>
    <w:rsid w:val="00E51998"/>
    <w:rsid w:val="00E51B13"/>
    <w:rsid w:val="00E523F0"/>
    <w:rsid w:val="00E5269D"/>
    <w:rsid w:val="00E52AB6"/>
    <w:rsid w:val="00E53685"/>
    <w:rsid w:val="00E53770"/>
    <w:rsid w:val="00E53D66"/>
    <w:rsid w:val="00E53EBB"/>
    <w:rsid w:val="00E5402A"/>
    <w:rsid w:val="00E54280"/>
    <w:rsid w:val="00E566D0"/>
    <w:rsid w:val="00E572CE"/>
    <w:rsid w:val="00E576C0"/>
    <w:rsid w:val="00E576CF"/>
    <w:rsid w:val="00E57C00"/>
    <w:rsid w:val="00E57C52"/>
    <w:rsid w:val="00E60060"/>
    <w:rsid w:val="00E600B9"/>
    <w:rsid w:val="00E609D0"/>
    <w:rsid w:val="00E60C6C"/>
    <w:rsid w:val="00E60D6E"/>
    <w:rsid w:val="00E612A9"/>
    <w:rsid w:val="00E619CA"/>
    <w:rsid w:val="00E61A86"/>
    <w:rsid w:val="00E61DC6"/>
    <w:rsid w:val="00E62A78"/>
    <w:rsid w:val="00E62BD2"/>
    <w:rsid w:val="00E62D45"/>
    <w:rsid w:val="00E6300E"/>
    <w:rsid w:val="00E6326C"/>
    <w:rsid w:val="00E63976"/>
    <w:rsid w:val="00E63B2B"/>
    <w:rsid w:val="00E63F1F"/>
    <w:rsid w:val="00E64131"/>
    <w:rsid w:val="00E6451C"/>
    <w:rsid w:val="00E64B4E"/>
    <w:rsid w:val="00E6540A"/>
    <w:rsid w:val="00E65477"/>
    <w:rsid w:val="00E6550C"/>
    <w:rsid w:val="00E65F23"/>
    <w:rsid w:val="00E660BD"/>
    <w:rsid w:val="00E6633A"/>
    <w:rsid w:val="00E66402"/>
    <w:rsid w:val="00E66605"/>
    <w:rsid w:val="00E66699"/>
    <w:rsid w:val="00E66787"/>
    <w:rsid w:val="00E667F8"/>
    <w:rsid w:val="00E66910"/>
    <w:rsid w:val="00E67087"/>
    <w:rsid w:val="00E6708B"/>
    <w:rsid w:val="00E67EB8"/>
    <w:rsid w:val="00E67F57"/>
    <w:rsid w:val="00E7055B"/>
    <w:rsid w:val="00E712DA"/>
    <w:rsid w:val="00E7138D"/>
    <w:rsid w:val="00E71687"/>
    <w:rsid w:val="00E71B2F"/>
    <w:rsid w:val="00E71B63"/>
    <w:rsid w:val="00E72584"/>
    <w:rsid w:val="00E72C2A"/>
    <w:rsid w:val="00E72FD5"/>
    <w:rsid w:val="00E7301B"/>
    <w:rsid w:val="00E731B4"/>
    <w:rsid w:val="00E742BD"/>
    <w:rsid w:val="00E74675"/>
    <w:rsid w:val="00E7478A"/>
    <w:rsid w:val="00E74C5F"/>
    <w:rsid w:val="00E766B5"/>
    <w:rsid w:val="00E767A2"/>
    <w:rsid w:val="00E769B2"/>
    <w:rsid w:val="00E77114"/>
    <w:rsid w:val="00E77386"/>
    <w:rsid w:val="00E775E7"/>
    <w:rsid w:val="00E77A3F"/>
    <w:rsid w:val="00E77B6A"/>
    <w:rsid w:val="00E77DEE"/>
    <w:rsid w:val="00E80684"/>
    <w:rsid w:val="00E8082F"/>
    <w:rsid w:val="00E809C0"/>
    <w:rsid w:val="00E809E9"/>
    <w:rsid w:val="00E80A44"/>
    <w:rsid w:val="00E81056"/>
    <w:rsid w:val="00E81388"/>
    <w:rsid w:val="00E81406"/>
    <w:rsid w:val="00E81822"/>
    <w:rsid w:val="00E81974"/>
    <w:rsid w:val="00E81A31"/>
    <w:rsid w:val="00E81C9D"/>
    <w:rsid w:val="00E81FCD"/>
    <w:rsid w:val="00E82468"/>
    <w:rsid w:val="00E824A1"/>
    <w:rsid w:val="00E82656"/>
    <w:rsid w:val="00E8287F"/>
    <w:rsid w:val="00E82DBC"/>
    <w:rsid w:val="00E82FB2"/>
    <w:rsid w:val="00E82FE5"/>
    <w:rsid w:val="00E836FD"/>
    <w:rsid w:val="00E83CCA"/>
    <w:rsid w:val="00E846BB"/>
    <w:rsid w:val="00E8470C"/>
    <w:rsid w:val="00E84823"/>
    <w:rsid w:val="00E849B6"/>
    <w:rsid w:val="00E857BA"/>
    <w:rsid w:val="00E85C30"/>
    <w:rsid w:val="00E866F0"/>
    <w:rsid w:val="00E87060"/>
    <w:rsid w:val="00E871A0"/>
    <w:rsid w:val="00E878DB"/>
    <w:rsid w:val="00E9013A"/>
    <w:rsid w:val="00E90795"/>
    <w:rsid w:val="00E9090E"/>
    <w:rsid w:val="00E90A2C"/>
    <w:rsid w:val="00E90E03"/>
    <w:rsid w:val="00E91161"/>
    <w:rsid w:val="00E9124D"/>
    <w:rsid w:val="00E91818"/>
    <w:rsid w:val="00E91BB5"/>
    <w:rsid w:val="00E91F2C"/>
    <w:rsid w:val="00E9223D"/>
    <w:rsid w:val="00E92633"/>
    <w:rsid w:val="00E9264A"/>
    <w:rsid w:val="00E92703"/>
    <w:rsid w:val="00E92934"/>
    <w:rsid w:val="00E929A1"/>
    <w:rsid w:val="00E92DF4"/>
    <w:rsid w:val="00E92F16"/>
    <w:rsid w:val="00E930B8"/>
    <w:rsid w:val="00E931EB"/>
    <w:rsid w:val="00E93862"/>
    <w:rsid w:val="00E93AEE"/>
    <w:rsid w:val="00E93C99"/>
    <w:rsid w:val="00E93EA8"/>
    <w:rsid w:val="00E94644"/>
    <w:rsid w:val="00E94754"/>
    <w:rsid w:val="00E94A7C"/>
    <w:rsid w:val="00E94EB7"/>
    <w:rsid w:val="00E94F7D"/>
    <w:rsid w:val="00E95AB3"/>
    <w:rsid w:val="00E95D62"/>
    <w:rsid w:val="00E95E44"/>
    <w:rsid w:val="00E962DE"/>
    <w:rsid w:val="00E9639F"/>
    <w:rsid w:val="00E9692D"/>
    <w:rsid w:val="00E96A59"/>
    <w:rsid w:val="00E97EFB"/>
    <w:rsid w:val="00E97FCA"/>
    <w:rsid w:val="00EA06D2"/>
    <w:rsid w:val="00EA082D"/>
    <w:rsid w:val="00EA0A33"/>
    <w:rsid w:val="00EA0F7C"/>
    <w:rsid w:val="00EA1077"/>
    <w:rsid w:val="00EA13DD"/>
    <w:rsid w:val="00EA1A62"/>
    <w:rsid w:val="00EA2289"/>
    <w:rsid w:val="00EA26F4"/>
    <w:rsid w:val="00EA28EE"/>
    <w:rsid w:val="00EA2E0B"/>
    <w:rsid w:val="00EA307E"/>
    <w:rsid w:val="00EA3439"/>
    <w:rsid w:val="00EA3444"/>
    <w:rsid w:val="00EA37D3"/>
    <w:rsid w:val="00EA3A44"/>
    <w:rsid w:val="00EA3D7F"/>
    <w:rsid w:val="00EA46A2"/>
    <w:rsid w:val="00EA480C"/>
    <w:rsid w:val="00EA4A03"/>
    <w:rsid w:val="00EA51E0"/>
    <w:rsid w:val="00EA55CB"/>
    <w:rsid w:val="00EA5955"/>
    <w:rsid w:val="00EA5A35"/>
    <w:rsid w:val="00EA5A74"/>
    <w:rsid w:val="00EA5E9C"/>
    <w:rsid w:val="00EA68B9"/>
    <w:rsid w:val="00EA6A95"/>
    <w:rsid w:val="00EA7584"/>
    <w:rsid w:val="00EA7AC8"/>
    <w:rsid w:val="00EB09D5"/>
    <w:rsid w:val="00EB09FE"/>
    <w:rsid w:val="00EB0EAC"/>
    <w:rsid w:val="00EB1011"/>
    <w:rsid w:val="00EB10A8"/>
    <w:rsid w:val="00EB11BB"/>
    <w:rsid w:val="00EB14CB"/>
    <w:rsid w:val="00EB1DD2"/>
    <w:rsid w:val="00EB22E6"/>
    <w:rsid w:val="00EB23A0"/>
    <w:rsid w:val="00EB2598"/>
    <w:rsid w:val="00EB298B"/>
    <w:rsid w:val="00EB2C47"/>
    <w:rsid w:val="00EB2E0B"/>
    <w:rsid w:val="00EB372D"/>
    <w:rsid w:val="00EB376D"/>
    <w:rsid w:val="00EB383E"/>
    <w:rsid w:val="00EB3D09"/>
    <w:rsid w:val="00EB4034"/>
    <w:rsid w:val="00EB4448"/>
    <w:rsid w:val="00EB4630"/>
    <w:rsid w:val="00EB4B3E"/>
    <w:rsid w:val="00EB4BBD"/>
    <w:rsid w:val="00EB5D99"/>
    <w:rsid w:val="00EB61B0"/>
    <w:rsid w:val="00EB6AEC"/>
    <w:rsid w:val="00EB7D6A"/>
    <w:rsid w:val="00EB7D82"/>
    <w:rsid w:val="00EB7F5D"/>
    <w:rsid w:val="00EC0DD8"/>
    <w:rsid w:val="00EC149F"/>
    <w:rsid w:val="00EC16A5"/>
    <w:rsid w:val="00EC1E40"/>
    <w:rsid w:val="00EC20A4"/>
    <w:rsid w:val="00EC25DA"/>
    <w:rsid w:val="00EC2AF8"/>
    <w:rsid w:val="00EC2F63"/>
    <w:rsid w:val="00EC31B4"/>
    <w:rsid w:val="00EC35DC"/>
    <w:rsid w:val="00EC37C6"/>
    <w:rsid w:val="00EC3CA7"/>
    <w:rsid w:val="00EC3DAD"/>
    <w:rsid w:val="00EC45F2"/>
    <w:rsid w:val="00EC4603"/>
    <w:rsid w:val="00EC49C9"/>
    <w:rsid w:val="00EC4A6A"/>
    <w:rsid w:val="00EC4A9C"/>
    <w:rsid w:val="00EC4AE8"/>
    <w:rsid w:val="00EC4BA9"/>
    <w:rsid w:val="00EC51EB"/>
    <w:rsid w:val="00EC60A6"/>
    <w:rsid w:val="00EC61C7"/>
    <w:rsid w:val="00EC640F"/>
    <w:rsid w:val="00EC6785"/>
    <w:rsid w:val="00EC6C36"/>
    <w:rsid w:val="00EC6EAC"/>
    <w:rsid w:val="00EC6F4B"/>
    <w:rsid w:val="00EC714D"/>
    <w:rsid w:val="00EC7306"/>
    <w:rsid w:val="00EC74B0"/>
    <w:rsid w:val="00EC7D9B"/>
    <w:rsid w:val="00ED08F7"/>
    <w:rsid w:val="00ED0CFF"/>
    <w:rsid w:val="00ED2155"/>
    <w:rsid w:val="00ED22BD"/>
    <w:rsid w:val="00ED22FD"/>
    <w:rsid w:val="00ED2987"/>
    <w:rsid w:val="00ED2AEC"/>
    <w:rsid w:val="00ED2B41"/>
    <w:rsid w:val="00ED31FB"/>
    <w:rsid w:val="00ED3241"/>
    <w:rsid w:val="00ED3D72"/>
    <w:rsid w:val="00ED3E21"/>
    <w:rsid w:val="00ED4A3D"/>
    <w:rsid w:val="00ED4BF3"/>
    <w:rsid w:val="00ED5075"/>
    <w:rsid w:val="00ED56B9"/>
    <w:rsid w:val="00ED5868"/>
    <w:rsid w:val="00ED58CB"/>
    <w:rsid w:val="00ED725A"/>
    <w:rsid w:val="00ED758E"/>
    <w:rsid w:val="00ED7817"/>
    <w:rsid w:val="00ED7D95"/>
    <w:rsid w:val="00ED7E37"/>
    <w:rsid w:val="00EE0337"/>
    <w:rsid w:val="00EE07F7"/>
    <w:rsid w:val="00EE0837"/>
    <w:rsid w:val="00EE0985"/>
    <w:rsid w:val="00EE0E2B"/>
    <w:rsid w:val="00EE10B0"/>
    <w:rsid w:val="00EE1523"/>
    <w:rsid w:val="00EE1B47"/>
    <w:rsid w:val="00EE21CC"/>
    <w:rsid w:val="00EE26C4"/>
    <w:rsid w:val="00EE297A"/>
    <w:rsid w:val="00EE2CF2"/>
    <w:rsid w:val="00EE3C4C"/>
    <w:rsid w:val="00EE3DD3"/>
    <w:rsid w:val="00EE3F45"/>
    <w:rsid w:val="00EE415D"/>
    <w:rsid w:val="00EE479D"/>
    <w:rsid w:val="00EE502C"/>
    <w:rsid w:val="00EE50AF"/>
    <w:rsid w:val="00EE50C4"/>
    <w:rsid w:val="00EE590F"/>
    <w:rsid w:val="00EE59DB"/>
    <w:rsid w:val="00EE5F2B"/>
    <w:rsid w:val="00EE66F9"/>
    <w:rsid w:val="00EE6B64"/>
    <w:rsid w:val="00EE6B65"/>
    <w:rsid w:val="00EE6EBC"/>
    <w:rsid w:val="00EE7099"/>
    <w:rsid w:val="00EE7762"/>
    <w:rsid w:val="00EE7DF3"/>
    <w:rsid w:val="00EF00F5"/>
    <w:rsid w:val="00EF0A03"/>
    <w:rsid w:val="00EF0D80"/>
    <w:rsid w:val="00EF16E8"/>
    <w:rsid w:val="00EF1AF3"/>
    <w:rsid w:val="00EF2D97"/>
    <w:rsid w:val="00EF3027"/>
    <w:rsid w:val="00EF31C5"/>
    <w:rsid w:val="00EF360A"/>
    <w:rsid w:val="00EF36BD"/>
    <w:rsid w:val="00EF457B"/>
    <w:rsid w:val="00EF4BC3"/>
    <w:rsid w:val="00EF4E11"/>
    <w:rsid w:val="00EF4E59"/>
    <w:rsid w:val="00EF4EAF"/>
    <w:rsid w:val="00EF527A"/>
    <w:rsid w:val="00EF558C"/>
    <w:rsid w:val="00EF599A"/>
    <w:rsid w:val="00EF5D7F"/>
    <w:rsid w:val="00EF6452"/>
    <w:rsid w:val="00EF66F6"/>
    <w:rsid w:val="00EF6916"/>
    <w:rsid w:val="00EF6A1C"/>
    <w:rsid w:val="00EF6AC0"/>
    <w:rsid w:val="00EF6F92"/>
    <w:rsid w:val="00EF7348"/>
    <w:rsid w:val="00EF740D"/>
    <w:rsid w:val="00EF75A1"/>
    <w:rsid w:val="00EF7E9F"/>
    <w:rsid w:val="00F00621"/>
    <w:rsid w:val="00F0066D"/>
    <w:rsid w:val="00F00A74"/>
    <w:rsid w:val="00F00DA2"/>
    <w:rsid w:val="00F0161E"/>
    <w:rsid w:val="00F018C2"/>
    <w:rsid w:val="00F019AE"/>
    <w:rsid w:val="00F01C6B"/>
    <w:rsid w:val="00F02460"/>
    <w:rsid w:val="00F03537"/>
    <w:rsid w:val="00F03753"/>
    <w:rsid w:val="00F04FD5"/>
    <w:rsid w:val="00F05185"/>
    <w:rsid w:val="00F0542F"/>
    <w:rsid w:val="00F05881"/>
    <w:rsid w:val="00F05A4A"/>
    <w:rsid w:val="00F05E77"/>
    <w:rsid w:val="00F06485"/>
    <w:rsid w:val="00F069CB"/>
    <w:rsid w:val="00F06D25"/>
    <w:rsid w:val="00F06F66"/>
    <w:rsid w:val="00F07552"/>
    <w:rsid w:val="00F075C8"/>
    <w:rsid w:val="00F0794B"/>
    <w:rsid w:val="00F10244"/>
    <w:rsid w:val="00F10607"/>
    <w:rsid w:val="00F1061E"/>
    <w:rsid w:val="00F106E3"/>
    <w:rsid w:val="00F10902"/>
    <w:rsid w:val="00F10F7D"/>
    <w:rsid w:val="00F11269"/>
    <w:rsid w:val="00F11D32"/>
    <w:rsid w:val="00F11F26"/>
    <w:rsid w:val="00F12182"/>
    <w:rsid w:val="00F12DA0"/>
    <w:rsid w:val="00F12DD6"/>
    <w:rsid w:val="00F13584"/>
    <w:rsid w:val="00F1438F"/>
    <w:rsid w:val="00F14774"/>
    <w:rsid w:val="00F14DDC"/>
    <w:rsid w:val="00F1543E"/>
    <w:rsid w:val="00F158E2"/>
    <w:rsid w:val="00F159EA"/>
    <w:rsid w:val="00F160A6"/>
    <w:rsid w:val="00F16AF0"/>
    <w:rsid w:val="00F16CE0"/>
    <w:rsid w:val="00F16EAE"/>
    <w:rsid w:val="00F16F89"/>
    <w:rsid w:val="00F16FBA"/>
    <w:rsid w:val="00F17400"/>
    <w:rsid w:val="00F174FA"/>
    <w:rsid w:val="00F17650"/>
    <w:rsid w:val="00F17D0D"/>
    <w:rsid w:val="00F17D26"/>
    <w:rsid w:val="00F17F61"/>
    <w:rsid w:val="00F210CC"/>
    <w:rsid w:val="00F21694"/>
    <w:rsid w:val="00F21ED6"/>
    <w:rsid w:val="00F222F1"/>
    <w:rsid w:val="00F22420"/>
    <w:rsid w:val="00F22D20"/>
    <w:rsid w:val="00F230DC"/>
    <w:rsid w:val="00F23617"/>
    <w:rsid w:val="00F236A1"/>
    <w:rsid w:val="00F23A32"/>
    <w:rsid w:val="00F245A8"/>
    <w:rsid w:val="00F2485D"/>
    <w:rsid w:val="00F24CAA"/>
    <w:rsid w:val="00F24D88"/>
    <w:rsid w:val="00F25377"/>
    <w:rsid w:val="00F25380"/>
    <w:rsid w:val="00F2566B"/>
    <w:rsid w:val="00F25869"/>
    <w:rsid w:val="00F25956"/>
    <w:rsid w:val="00F25FE3"/>
    <w:rsid w:val="00F2782B"/>
    <w:rsid w:val="00F278B2"/>
    <w:rsid w:val="00F27D9A"/>
    <w:rsid w:val="00F27DCC"/>
    <w:rsid w:val="00F27E2C"/>
    <w:rsid w:val="00F27F84"/>
    <w:rsid w:val="00F30B7A"/>
    <w:rsid w:val="00F31850"/>
    <w:rsid w:val="00F3197B"/>
    <w:rsid w:val="00F31C5A"/>
    <w:rsid w:val="00F31EAF"/>
    <w:rsid w:val="00F31F2B"/>
    <w:rsid w:val="00F32D2F"/>
    <w:rsid w:val="00F32E17"/>
    <w:rsid w:val="00F332A3"/>
    <w:rsid w:val="00F33E8C"/>
    <w:rsid w:val="00F3452C"/>
    <w:rsid w:val="00F34981"/>
    <w:rsid w:val="00F34C23"/>
    <w:rsid w:val="00F34D52"/>
    <w:rsid w:val="00F34DA9"/>
    <w:rsid w:val="00F34F03"/>
    <w:rsid w:val="00F3549C"/>
    <w:rsid w:val="00F35713"/>
    <w:rsid w:val="00F35B79"/>
    <w:rsid w:val="00F363C7"/>
    <w:rsid w:val="00F36667"/>
    <w:rsid w:val="00F3676B"/>
    <w:rsid w:val="00F36C3F"/>
    <w:rsid w:val="00F36D77"/>
    <w:rsid w:val="00F37090"/>
    <w:rsid w:val="00F376B8"/>
    <w:rsid w:val="00F379EE"/>
    <w:rsid w:val="00F37BA3"/>
    <w:rsid w:val="00F400B6"/>
    <w:rsid w:val="00F40351"/>
    <w:rsid w:val="00F40742"/>
    <w:rsid w:val="00F40B77"/>
    <w:rsid w:val="00F40E9F"/>
    <w:rsid w:val="00F40F9D"/>
    <w:rsid w:val="00F41480"/>
    <w:rsid w:val="00F416F5"/>
    <w:rsid w:val="00F41C8F"/>
    <w:rsid w:val="00F41DAD"/>
    <w:rsid w:val="00F41DB4"/>
    <w:rsid w:val="00F4224D"/>
    <w:rsid w:val="00F42351"/>
    <w:rsid w:val="00F42444"/>
    <w:rsid w:val="00F42BFD"/>
    <w:rsid w:val="00F42DC5"/>
    <w:rsid w:val="00F43020"/>
    <w:rsid w:val="00F432A8"/>
    <w:rsid w:val="00F43351"/>
    <w:rsid w:val="00F436C7"/>
    <w:rsid w:val="00F43762"/>
    <w:rsid w:val="00F43CAC"/>
    <w:rsid w:val="00F43CCC"/>
    <w:rsid w:val="00F4416A"/>
    <w:rsid w:val="00F4438E"/>
    <w:rsid w:val="00F44490"/>
    <w:rsid w:val="00F44663"/>
    <w:rsid w:val="00F4547B"/>
    <w:rsid w:val="00F45598"/>
    <w:rsid w:val="00F460A1"/>
    <w:rsid w:val="00F460FC"/>
    <w:rsid w:val="00F461C8"/>
    <w:rsid w:val="00F4643C"/>
    <w:rsid w:val="00F46913"/>
    <w:rsid w:val="00F46C52"/>
    <w:rsid w:val="00F478EC"/>
    <w:rsid w:val="00F479F2"/>
    <w:rsid w:val="00F47B06"/>
    <w:rsid w:val="00F47E32"/>
    <w:rsid w:val="00F505A6"/>
    <w:rsid w:val="00F50765"/>
    <w:rsid w:val="00F50891"/>
    <w:rsid w:val="00F50EFE"/>
    <w:rsid w:val="00F511FB"/>
    <w:rsid w:val="00F51545"/>
    <w:rsid w:val="00F51BAF"/>
    <w:rsid w:val="00F51C9C"/>
    <w:rsid w:val="00F51EF6"/>
    <w:rsid w:val="00F524CB"/>
    <w:rsid w:val="00F52902"/>
    <w:rsid w:val="00F52E5F"/>
    <w:rsid w:val="00F52EEF"/>
    <w:rsid w:val="00F53184"/>
    <w:rsid w:val="00F53599"/>
    <w:rsid w:val="00F536C9"/>
    <w:rsid w:val="00F53A37"/>
    <w:rsid w:val="00F545DA"/>
    <w:rsid w:val="00F555F7"/>
    <w:rsid w:val="00F5601A"/>
    <w:rsid w:val="00F565CE"/>
    <w:rsid w:val="00F56DCA"/>
    <w:rsid w:val="00F576FD"/>
    <w:rsid w:val="00F57974"/>
    <w:rsid w:val="00F57F8D"/>
    <w:rsid w:val="00F600EA"/>
    <w:rsid w:val="00F60130"/>
    <w:rsid w:val="00F60A65"/>
    <w:rsid w:val="00F61480"/>
    <w:rsid w:val="00F61983"/>
    <w:rsid w:val="00F620AA"/>
    <w:rsid w:val="00F621A1"/>
    <w:rsid w:val="00F623DE"/>
    <w:rsid w:val="00F624FD"/>
    <w:rsid w:val="00F62AB2"/>
    <w:rsid w:val="00F62AF2"/>
    <w:rsid w:val="00F62BF0"/>
    <w:rsid w:val="00F62C2E"/>
    <w:rsid w:val="00F62F0D"/>
    <w:rsid w:val="00F62FA0"/>
    <w:rsid w:val="00F63272"/>
    <w:rsid w:val="00F63B1D"/>
    <w:rsid w:val="00F6418F"/>
    <w:rsid w:val="00F6424E"/>
    <w:rsid w:val="00F64AEB"/>
    <w:rsid w:val="00F6507C"/>
    <w:rsid w:val="00F6512E"/>
    <w:rsid w:val="00F65AF8"/>
    <w:rsid w:val="00F65B3D"/>
    <w:rsid w:val="00F65E73"/>
    <w:rsid w:val="00F65F80"/>
    <w:rsid w:val="00F66140"/>
    <w:rsid w:val="00F67041"/>
    <w:rsid w:val="00F673F8"/>
    <w:rsid w:val="00F67448"/>
    <w:rsid w:val="00F67878"/>
    <w:rsid w:val="00F67AA3"/>
    <w:rsid w:val="00F70029"/>
    <w:rsid w:val="00F70411"/>
    <w:rsid w:val="00F706D3"/>
    <w:rsid w:val="00F70C5C"/>
    <w:rsid w:val="00F7109E"/>
    <w:rsid w:val="00F71A11"/>
    <w:rsid w:val="00F71A51"/>
    <w:rsid w:val="00F71BA5"/>
    <w:rsid w:val="00F71ED1"/>
    <w:rsid w:val="00F7225E"/>
    <w:rsid w:val="00F725CD"/>
    <w:rsid w:val="00F72963"/>
    <w:rsid w:val="00F72B08"/>
    <w:rsid w:val="00F73D05"/>
    <w:rsid w:val="00F73EE3"/>
    <w:rsid w:val="00F74DB1"/>
    <w:rsid w:val="00F74F59"/>
    <w:rsid w:val="00F75115"/>
    <w:rsid w:val="00F75309"/>
    <w:rsid w:val="00F754AC"/>
    <w:rsid w:val="00F755D2"/>
    <w:rsid w:val="00F756A0"/>
    <w:rsid w:val="00F75822"/>
    <w:rsid w:val="00F75CAE"/>
    <w:rsid w:val="00F75D79"/>
    <w:rsid w:val="00F75E05"/>
    <w:rsid w:val="00F76E86"/>
    <w:rsid w:val="00F773B8"/>
    <w:rsid w:val="00F77869"/>
    <w:rsid w:val="00F77B7B"/>
    <w:rsid w:val="00F77DE0"/>
    <w:rsid w:val="00F77DF5"/>
    <w:rsid w:val="00F77FFE"/>
    <w:rsid w:val="00F80204"/>
    <w:rsid w:val="00F807BE"/>
    <w:rsid w:val="00F81029"/>
    <w:rsid w:val="00F8119D"/>
    <w:rsid w:val="00F813AE"/>
    <w:rsid w:val="00F81BDD"/>
    <w:rsid w:val="00F81E08"/>
    <w:rsid w:val="00F8250E"/>
    <w:rsid w:val="00F82808"/>
    <w:rsid w:val="00F828E0"/>
    <w:rsid w:val="00F82E6C"/>
    <w:rsid w:val="00F82E80"/>
    <w:rsid w:val="00F82FEC"/>
    <w:rsid w:val="00F8302F"/>
    <w:rsid w:val="00F83474"/>
    <w:rsid w:val="00F83B6F"/>
    <w:rsid w:val="00F84E94"/>
    <w:rsid w:val="00F84FA6"/>
    <w:rsid w:val="00F85265"/>
    <w:rsid w:val="00F8531D"/>
    <w:rsid w:val="00F85634"/>
    <w:rsid w:val="00F858C7"/>
    <w:rsid w:val="00F859E4"/>
    <w:rsid w:val="00F859FC"/>
    <w:rsid w:val="00F85A2D"/>
    <w:rsid w:val="00F85CC3"/>
    <w:rsid w:val="00F862F0"/>
    <w:rsid w:val="00F86627"/>
    <w:rsid w:val="00F868F3"/>
    <w:rsid w:val="00F86967"/>
    <w:rsid w:val="00F86B19"/>
    <w:rsid w:val="00F86C4B"/>
    <w:rsid w:val="00F8700C"/>
    <w:rsid w:val="00F87404"/>
    <w:rsid w:val="00F87499"/>
    <w:rsid w:val="00F875DD"/>
    <w:rsid w:val="00F8794F"/>
    <w:rsid w:val="00F87993"/>
    <w:rsid w:val="00F87D44"/>
    <w:rsid w:val="00F87F41"/>
    <w:rsid w:val="00F901CD"/>
    <w:rsid w:val="00F904FA"/>
    <w:rsid w:val="00F90898"/>
    <w:rsid w:val="00F9093D"/>
    <w:rsid w:val="00F909F4"/>
    <w:rsid w:val="00F90DFD"/>
    <w:rsid w:val="00F91264"/>
    <w:rsid w:val="00F9133B"/>
    <w:rsid w:val="00F9135B"/>
    <w:rsid w:val="00F91360"/>
    <w:rsid w:val="00F919AA"/>
    <w:rsid w:val="00F91C7A"/>
    <w:rsid w:val="00F91ED1"/>
    <w:rsid w:val="00F91EF6"/>
    <w:rsid w:val="00F91FFD"/>
    <w:rsid w:val="00F92162"/>
    <w:rsid w:val="00F92279"/>
    <w:rsid w:val="00F92504"/>
    <w:rsid w:val="00F92F59"/>
    <w:rsid w:val="00F93745"/>
    <w:rsid w:val="00F93971"/>
    <w:rsid w:val="00F93E78"/>
    <w:rsid w:val="00F93F3C"/>
    <w:rsid w:val="00F940D0"/>
    <w:rsid w:val="00F9468B"/>
    <w:rsid w:val="00F94AB7"/>
    <w:rsid w:val="00F94B4C"/>
    <w:rsid w:val="00F9500D"/>
    <w:rsid w:val="00F95251"/>
    <w:rsid w:val="00F957C3"/>
    <w:rsid w:val="00F95D7E"/>
    <w:rsid w:val="00F95F03"/>
    <w:rsid w:val="00F95F0D"/>
    <w:rsid w:val="00F96175"/>
    <w:rsid w:val="00F961D8"/>
    <w:rsid w:val="00F96337"/>
    <w:rsid w:val="00F9676F"/>
    <w:rsid w:val="00F97015"/>
    <w:rsid w:val="00F9724D"/>
    <w:rsid w:val="00F974B7"/>
    <w:rsid w:val="00F975C9"/>
    <w:rsid w:val="00F97BCE"/>
    <w:rsid w:val="00F97C0A"/>
    <w:rsid w:val="00F97E55"/>
    <w:rsid w:val="00FA02C2"/>
    <w:rsid w:val="00FA08F6"/>
    <w:rsid w:val="00FA097C"/>
    <w:rsid w:val="00FA10FF"/>
    <w:rsid w:val="00FA177C"/>
    <w:rsid w:val="00FA1985"/>
    <w:rsid w:val="00FA1A7C"/>
    <w:rsid w:val="00FA2484"/>
    <w:rsid w:val="00FA25E9"/>
    <w:rsid w:val="00FA2991"/>
    <w:rsid w:val="00FA2B82"/>
    <w:rsid w:val="00FA2ED0"/>
    <w:rsid w:val="00FA33C4"/>
    <w:rsid w:val="00FA3785"/>
    <w:rsid w:val="00FA4493"/>
    <w:rsid w:val="00FA48DE"/>
    <w:rsid w:val="00FA4ACD"/>
    <w:rsid w:val="00FA5103"/>
    <w:rsid w:val="00FA56B9"/>
    <w:rsid w:val="00FA6A11"/>
    <w:rsid w:val="00FA6A86"/>
    <w:rsid w:val="00FA6B6A"/>
    <w:rsid w:val="00FA7F06"/>
    <w:rsid w:val="00FB00A2"/>
    <w:rsid w:val="00FB02D2"/>
    <w:rsid w:val="00FB07CB"/>
    <w:rsid w:val="00FB10EA"/>
    <w:rsid w:val="00FB11F1"/>
    <w:rsid w:val="00FB1242"/>
    <w:rsid w:val="00FB1717"/>
    <w:rsid w:val="00FB18F1"/>
    <w:rsid w:val="00FB2108"/>
    <w:rsid w:val="00FB2737"/>
    <w:rsid w:val="00FB3103"/>
    <w:rsid w:val="00FB33C5"/>
    <w:rsid w:val="00FB3745"/>
    <w:rsid w:val="00FB3910"/>
    <w:rsid w:val="00FB49BC"/>
    <w:rsid w:val="00FB529A"/>
    <w:rsid w:val="00FB62FF"/>
    <w:rsid w:val="00FB630A"/>
    <w:rsid w:val="00FB64E2"/>
    <w:rsid w:val="00FB6B9B"/>
    <w:rsid w:val="00FB7006"/>
    <w:rsid w:val="00FB742B"/>
    <w:rsid w:val="00FB7607"/>
    <w:rsid w:val="00FB77B2"/>
    <w:rsid w:val="00FB7BB2"/>
    <w:rsid w:val="00FB7D4C"/>
    <w:rsid w:val="00FB7D70"/>
    <w:rsid w:val="00FC0069"/>
    <w:rsid w:val="00FC0167"/>
    <w:rsid w:val="00FC0302"/>
    <w:rsid w:val="00FC0443"/>
    <w:rsid w:val="00FC0527"/>
    <w:rsid w:val="00FC05FA"/>
    <w:rsid w:val="00FC05FE"/>
    <w:rsid w:val="00FC060B"/>
    <w:rsid w:val="00FC0678"/>
    <w:rsid w:val="00FC0984"/>
    <w:rsid w:val="00FC099A"/>
    <w:rsid w:val="00FC0B27"/>
    <w:rsid w:val="00FC125B"/>
    <w:rsid w:val="00FC1EF8"/>
    <w:rsid w:val="00FC246C"/>
    <w:rsid w:val="00FC2642"/>
    <w:rsid w:val="00FC28FD"/>
    <w:rsid w:val="00FC2D47"/>
    <w:rsid w:val="00FC2ED3"/>
    <w:rsid w:val="00FC2F46"/>
    <w:rsid w:val="00FC30E5"/>
    <w:rsid w:val="00FC34D3"/>
    <w:rsid w:val="00FC3547"/>
    <w:rsid w:val="00FC37E3"/>
    <w:rsid w:val="00FC3CB4"/>
    <w:rsid w:val="00FC4042"/>
    <w:rsid w:val="00FC41B9"/>
    <w:rsid w:val="00FC44BC"/>
    <w:rsid w:val="00FC45D2"/>
    <w:rsid w:val="00FC46CB"/>
    <w:rsid w:val="00FC483B"/>
    <w:rsid w:val="00FC49B2"/>
    <w:rsid w:val="00FC4A33"/>
    <w:rsid w:val="00FC4E89"/>
    <w:rsid w:val="00FC5170"/>
    <w:rsid w:val="00FC5741"/>
    <w:rsid w:val="00FC5909"/>
    <w:rsid w:val="00FC5941"/>
    <w:rsid w:val="00FC5AD0"/>
    <w:rsid w:val="00FC5C5F"/>
    <w:rsid w:val="00FC5C90"/>
    <w:rsid w:val="00FC6418"/>
    <w:rsid w:val="00FC69A6"/>
    <w:rsid w:val="00FC7192"/>
    <w:rsid w:val="00FC765F"/>
    <w:rsid w:val="00FC7A46"/>
    <w:rsid w:val="00FC7E10"/>
    <w:rsid w:val="00FC7EE4"/>
    <w:rsid w:val="00FD0A9F"/>
    <w:rsid w:val="00FD0C7F"/>
    <w:rsid w:val="00FD14B3"/>
    <w:rsid w:val="00FD1A11"/>
    <w:rsid w:val="00FD1FFC"/>
    <w:rsid w:val="00FD2057"/>
    <w:rsid w:val="00FD2449"/>
    <w:rsid w:val="00FD28BB"/>
    <w:rsid w:val="00FD28DE"/>
    <w:rsid w:val="00FD28FC"/>
    <w:rsid w:val="00FD2A5D"/>
    <w:rsid w:val="00FD308F"/>
    <w:rsid w:val="00FD30B4"/>
    <w:rsid w:val="00FD31AA"/>
    <w:rsid w:val="00FD3208"/>
    <w:rsid w:val="00FD359D"/>
    <w:rsid w:val="00FD375A"/>
    <w:rsid w:val="00FD3A85"/>
    <w:rsid w:val="00FD3C5E"/>
    <w:rsid w:val="00FD3CDD"/>
    <w:rsid w:val="00FD3EEF"/>
    <w:rsid w:val="00FD429C"/>
    <w:rsid w:val="00FD4802"/>
    <w:rsid w:val="00FD4AF4"/>
    <w:rsid w:val="00FD5072"/>
    <w:rsid w:val="00FD5977"/>
    <w:rsid w:val="00FD5A08"/>
    <w:rsid w:val="00FD600A"/>
    <w:rsid w:val="00FD606F"/>
    <w:rsid w:val="00FD6C64"/>
    <w:rsid w:val="00FD6EEA"/>
    <w:rsid w:val="00FD77A5"/>
    <w:rsid w:val="00FD7AE6"/>
    <w:rsid w:val="00FD7BF1"/>
    <w:rsid w:val="00FD7D04"/>
    <w:rsid w:val="00FD7DEA"/>
    <w:rsid w:val="00FE03AC"/>
    <w:rsid w:val="00FE06F3"/>
    <w:rsid w:val="00FE070E"/>
    <w:rsid w:val="00FE0932"/>
    <w:rsid w:val="00FE0D01"/>
    <w:rsid w:val="00FE13D2"/>
    <w:rsid w:val="00FE13F1"/>
    <w:rsid w:val="00FE1827"/>
    <w:rsid w:val="00FE1878"/>
    <w:rsid w:val="00FE1CE0"/>
    <w:rsid w:val="00FE1F0A"/>
    <w:rsid w:val="00FE2108"/>
    <w:rsid w:val="00FE2308"/>
    <w:rsid w:val="00FE230C"/>
    <w:rsid w:val="00FE2778"/>
    <w:rsid w:val="00FE2BCD"/>
    <w:rsid w:val="00FE2CA0"/>
    <w:rsid w:val="00FE35C7"/>
    <w:rsid w:val="00FE37A2"/>
    <w:rsid w:val="00FE3A69"/>
    <w:rsid w:val="00FE3B3B"/>
    <w:rsid w:val="00FE3EA1"/>
    <w:rsid w:val="00FE3FAD"/>
    <w:rsid w:val="00FE4524"/>
    <w:rsid w:val="00FE476C"/>
    <w:rsid w:val="00FE47E1"/>
    <w:rsid w:val="00FE4B72"/>
    <w:rsid w:val="00FE4F2D"/>
    <w:rsid w:val="00FE5175"/>
    <w:rsid w:val="00FE5269"/>
    <w:rsid w:val="00FE545F"/>
    <w:rsid w:val="00FE54FF"/>
    <w:rsid w:val="00FE5853"/>
    <w:rsid w:val="00FE5AA4"/>
    <w:rsid w:val="00FE62ED"/>
    <w:rsid w:val="00FE6393"/>
    <w:rsid w:val="00FE68DF"/>
    <w:rsid w:val="00FE6D8F"/>
    <w:rsid w:val="00FE6E43"/>
    <w:rsid w:val="00FE731D"/>
    <w:rsid w:val="00FE73BA"/>
    <w:rsid w:val="00FE7619"/>
    <w:rsid w:val="00FE7684"/>
    <w:rsid w:val="00FE7AD2"/>
    <w:rsid w:val="00FE7F84"/>
    <w:rsid w:val="00FF0039"/>
    <w:rsid w:val="00FF06E4"/>
    <w:rsid w:val="00FF0AC4"/>
    <w:rsid w:val="00FF0EE6"/>
    <w:rsid w:val="00FF1AD8"/>
    <w:rsid w:val="00FF1D3E"/>
    <w:rsid w:val="00FF200C"/>
    <w:rsid w:val="00FF237F"/>
    <w:rsid w:val="00FF23D8"/>
    <w:rsid w:val="00FF26AE"/>
    <w:rsid w:val="00FF2B91"/>
    <w:rsid w:val="00FF2BBA"/>
    <w:rsid w:val="00FF2DE9"/>
    <w:rsid w:val="00FF2F7A"/>
    <w:rsid w:val="00FF31F8"/>
    <w:rsid w:val="00FF389A"/>
    <w:rsid w:val="00FF3CF4"/>
    <w:rsid w:val="00FF48DE"/>
    <w:rsid w:val="00FF589F"/>
    <w:rsid w:val="00FF5DB7"/>
    <w:rsid w:val="00FF5FC1"/>
    <w:rsid w:val="00FF6628"/>
    <w:rsid w:val="00FF67F7"/>
    <w:rsid w:val="00FF6B72"/>
    <w:rsid w:val="00FF6E13"/>
    <w:rsid w:val="00FF6E3E"/>
    <w:rsid w:val="00FF7207"/>
    <w:rsid w:val="00FF7A39"/>
    <w:rsid w:val="00FF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9BE6C"/>
  <w15:chartTrackingRefBased/>
  <w15:docId w15:val="{DE5B8A75-5F6B-46DB-A8DA-612791F4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B93"/>
    <w:pPr>
      <w:widowControl w:val="0"/>
      <w:jc w:val="both"/>
    </w:pPr>
    <w:rPr>
      <w:rFonts w:ascii="Times New Roman" w:eastAsia="宋体" w:hAnsi="Times New Roman"/>
    </w:rPr>
  </w:style>
  <w:style w:type="paragraph" w:styleId="1">
    <w:name w:val="heading 1"/>
    <w:basedOn w:val="a"/>
    <w:next w:val="a"/>
    <w:link w:val="10"/>
    <w:uiPriority w:val="9"/>
    <w:qFormat/>
    <w:rsid w:val="006B365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70D7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04E3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88201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37D1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D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0D73"/>
    <w:rPr>
      <w:sz w:val="18"/>
      <w:szCs w:val="18"/>
    </w:rPr>
  </w:style>
  <w:style w:type="paragraph" w:styleId="a5">
    <w:name w:val="footer"/>
    <w:basedOn w:val="a"/>
    <w:link w:val="a6"/>
    <w:uiPriority w:val="99"/>
    <w:unhideWhenUsed/>
    <w:rsid w:val="00D70D73"/>
    <w:pPr>
      <w:tabs>
        <w:tab w:val="center" w:pos="4153"/>
        <w:tab w:val="right" w:pos="8306"/>
      </w:tabs>
      <w:snapToGrid w:val="0"/>
      <w:jc w:val="left"/>
    </w:pPr>
    <w:rPr>
      <w:sz w:val="18"/>
      <w:szCs w:val="18"/>
    </w:rPr>
  </w:style>
  <w:style w:type="character" w:customStyle="1" w:styleId="a6">
    <w:name w:val="页脚 字符"/>
    <w:basedOn w:val="a0"/>
    <w:link w:val="a5"/>
    <w:uiPriority w:val="99"/>
    <w:rsid w:val="00D70D73"/>
    <w:rPr>
      <w:sz w:val="18"/>
      <w:szCs w:val="18"/>
    </w:rPr>
  </w:style>
  <w:style w:type="character" w:customStyle="1" w:styleId="20">
    <w:name w:val="标题 2 字符"/>
    <w:basedOn w:val="a0"/>
    <w:link w:val="2"/>
    <w:uiPriority w:val="9"/>
    <w:rsid w:val="00D70D73"/>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04E38"/>
    <w:rPr>
      <w:b/>
      <w:bCs/>
      <w:sz w:val="32"/>
      <w:szCs w:val="32"/>
    </w:rPr>
  </w:style>
  <w:style w:type="table" w:styleId="a7">
    <w:name w:val="Table Grid"/>
    <w:basedOn w:val="a1"/>
    <w:uiPriority w:val="39"/>
    <w:rsid w:val="0038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qFormat/>
    <w:rsid w:val="00861125"/>
    <w:pPr>
      <w:snapToGrid w:val="0"/>
      <w:jc w:val="left"/>
    </w:pPr>
    <w:rPr>
      <w:sz w:val="18"/>
      <w:szCs w:val="18"/>
    </w:rPr>
  </w:style>
  <w:style w:type="character" w:customStyle="1" w:styleId="a9">
    <w:name w:val="脚注文本 字符"/>
    <w:basedOn w:val="a0"/>
    <w:link w:val="a8"/>
    <w:uiPriority w:val="99"/>
    <w:qFormat/>
    <w:rsid w:val="00861125"/>
    <w:rPr>
      <w:sz w:val="18"/>
      <w:szCs w:val="18"/>
    </w:rPr>
  </w:style>
  <w:style w:type="character" w:styleId="aa">
    <w:name w:val="footnote reference"/>
    <w:basedOn w:val="a0"/>
    <w:uiPriority w:val="99"/>
    <w:unhideWhenUsed/>
    <w:qFormat/>
    <w:rsid w:val="00861125"/>
    <w:rPr>
      <w:vertAlign w:val="superscript"/>
    </w:rPr>
  </w:style>
  <w:style w:type="paragraph" w:styleId="ab">
    <w:name w:val="List Paragraph"/>
    <w:basedOn w:val="a"/>
    <w:uiPriority w:val="34"/>
    <w:qFormat/>
    <w:rsid w:val="001F5BA1"/>
    <w:pPr>
      <w:ind w:firstLineChars="200" w:firstLine="420"/>
    </w:pPr>
  </w:style>
  <w:style w:type="character" w:customStyle="1" w:styleId="40">
    <w:name w:val="标题 4 字符"/>
    <w:basedOn w:val="a0"/>
    <w:link w:val="4"/>
    <w:uiPriority w:val="9"/>
    <w:rsid w:val="00882012"/>
    <w:rPr>
      <w:rFonts w:asciiTheme="majorHAnsi" w:eastAsiaTheme="majorEastAsia" w:hAnsiTheme="majorHAnsi" w:cstheme="majorBidi"/>
      <w:b/>
      <w:bCs/>
      <w:sz w:val="28"/>
      <w:szCs w:val="28"/>
    </w:rPr>
  </w:style>
  <w:style w:type="character" w:styleId="ac">
    <w:name w:val="Placeholder Text"/>
    <w:basedOn w:val="a0"/>
    <w:uiPriority w:val="99"/>
    <w:semiHidden/>
    <w:rsid w:val="00DB5242"/>
    <w:rPr>
      <w:color w:val="808080"/>
    </w:rPr>
  </w:style>
  <w:style w:type="character" w:styleId="ad">
    <w:name w:val="Hyperlink"/>
    <w:basedOn w:val="a0"/>
    <w:uiPriority w:val="99"/>
    <w:unhideWhenUsed/>
    <w:rsid w:val="00A5746B"/>
    <w:rPr>
      <w:color w:val="0000FF"/>
      <w:u w:val="single"/>
    </w:rPr>
  </w:style>
  <w:style w:type="paragraph" w:styleId="ae">
    <w:name w:val="Balloon Text"/>
    <w:basedOn w:val="a"/>
    <w:link w:val="af"/>
    <w:uiPriority w:val="99"/>
    <w:semiHidden/>
    <w:unhideWhenUsed/>
    <w:rsid w:val="008F0B4D"/>
    <w:rPr>
      <w:sz w:val="18"/>
      <w:szCs w:val="18"/>
    </w:rPr>
  </w:style>
  <w:style w:type="character" w:customStyle="1" w:styleId="af">
    <w:name w:val="批注框文本 字符"/>
    <w:basedOn w:val="a0"/>
    <w:link w:val="ae"/>
    <w:uiPriority w:val="99"/>
    <w:semiHidden/>
    <w:rsid w:val="008F0B4D"/>
    <w:rPr>
      <w:sz w:val="18"/>
      <w:szCs w:val="18"/>
    </w:rPr>
  </w:style>
  <w:style w:type="character" w:styleId="af0">
    <w:name w:val="annotation reference"/>
    <w:basedOn w:val="a0"/>
    <w:uiPriority w:val="99"/>
    <w:semiHidden/>
    <w:unhideWhenUsed/>
    <w:rsid w:val="007625BC"/>
    <w:rPr>
      <w:sz w:val="21"/>
      <w:szCs w:val="21"/>
    </w:rPr>
  </w:style>
  <w:style w:type="paragraph" w:styleId="af1">
    <w:name w:val="annotation text"/>
    <w:basedOn w:val="a"/>
    <w:link w:val="af2"/>
    <w:uiPriority w:val="99"/>
    <w:semiHidden/>
    <w:unhideWhenUsed/>
    <w:rsid w:val="007625BC"/>
    <w:pPr>
      <w:jc w:val="left"/>
    </w:pPr>
  </w:style>
  <w:style w:type="character" w:customStyle="1" w:styleId="af2">
    <w:name w:val="批注文字 字符"/>
    <w:basedOn w:val="a0"/>
    <w:link w:val="af1"/>
    <w:uiPriority w:val="99"/>
    <w:semiHidden/>
    <w:rsid w:val="007625BC"/>
  </w:style>
  <w:style w:type="paragraph" w:styleId="af3">
    <w:name w:val="annotation subject"/>
    <w:basedOn w:val="af1"/>
    <w:next w:val="af1"/>
    <w:link w:val="af4"/>
    <w:uiPriority w:val="99"/>
    <w:semiHidden/>
    <w:unhideWhenUsed/>
    <w:rsid w:val="007625BC"/>
    <w:rPr>
      <w:b/>
      <w:bCs/>
    </w:rPr>
  </w:style>
  <w:style w:type="character" w:customStyle="1" w:styleId="af4">
    <w:name w:val="批注主题 字符"/>
    <w:basedOn w:val="af2"/>
    <w:link w:val="af3"/>
    <w:uiPriority w:val="99"/>
    <w:semiHidden/>
    <w:rsid w:val="007625BC"/>
    <w:rPr>
      <w:b/>
      <w:bCs/>
    </w:rPr>
  </w:style>
  <w:style w:type="character" w:customStyle="1" w:styleId="11">
    <w:name w:val="未处理的提及1"/>
    <w:basedOn w:val="a0"/>
    <w:uiPriority w:val="99"/>
    <w:semiHidden/>
    <w:unhideWhenUsed/>
    <w:rsid w:val="008F0DA3"/>
    <w:rPr>
      <w:color w:val="605E5C"/>
      <w:shd w:val="clear" w:color="auto" w:fill="E1DFDD"/>
    </w:rPr>
  </w:style>
  <w:style w:type="character" w:customStyle="1" w:styleId="10">
    <w:name w:val="标题 1 字符"/>
    <w:basedOn w:val="a0"/>
    <w:link w:val="1"/>
    <w:uiPriority w:val="9"/>
    <w:rsid w:val="006B3658"/>
    <w:rPr>
      <w:b/>
      <w:bCs/>
      <w:kern w:val="44"/>
      <w:sz w:val="44"/>
      <w:szCs w:val="44"/>
    </w:rPr>
  </w:style>
  <w:style w:type="paragraph" w:styleId="af5">
    <w:name w:val="Title"/>
    <w:basedOn w:val="a"/>
    <w:next w:val="a"/>
    <w:link w:val="af6"/>
    <w:uiPriority w:val="10"/>
    <w:qFormat/>
    <w:rsid w:val="00063634"/>
    <w:pPr>
      <w:spacing w:before="240" w:after="60" w:line="360" w:lineRule="auto"/>
      <w:jc w:val="center"/>
      <w:outlineLvl w:val="0"/>
    </w:pPr>
    <w:rPr>
      <w:rFonts w:asciiTheme="majorHAnsi" w:hAnsiTheme="majorHAnsi" w:cstheme="majorBidi"/>
      <w:b/>
      <w:bCs/>
      <w:sz w:val="44"/>
      <w:szCs w:val="32"/>
    </w:rPr>
  </w:style>
  <w:style w:type="character" w:customStyle="1" w:styleId="af6">
    <w:name w:val="标题 字符"/>
    <w:basedOn w:val="a0"/>
    <w:link w:val="af5"/>
    <w:uiPriority w:val="10"/>
    <w:rsid w:val="00063634"/>
    <w:rPr>
      <w:rFonts w:asciiTheme="majorHAnsi" w:eastAsia="宋体" w:hAnsiTheme="majorHAnsi" w:cstheme="majorBidi"/>
      <w:b/>
      <w:bCs/>
      <w:sz w:val="44"/>
      <w:szCs w:val="32"/>
    </w:rPr>
  </w:style>
  <w:style w:type="paragraph" w:styleId="af7">
    <w:name w:val="endnote text"/>
    <w:basedOn w:val="a"/>
    <w:link w:val="af8"/>
    <w:uiPriority w:val="99"/>
    <w:semiHidden/>
    <w:unhideWhenUsed/>
    <w:rsid w:val="00063634"/>
    <w:pPr>
      <w:snapToGrid w:val="0"/>
      <w:jc w:val="left"/>
    </w:pPr>
  </w:style>
  <w:style w:type="character" w:customStyle="1" w:styleId="af8">
    <w:name w:val="尾注文本 字符"/>
    <w:basedOn w:val="a0"/>
    <w:link w:val="af7"/>
    <w:uiPriority w:val="99"/>
    <w:semiHidden/>
    <w:rsid w:val="00063634"/>
  </w:style>
  <w:style w:type="character" w:styleId="af9">
    <w:name w:val="endnote reference"/>
    <w:basedOn w:val="a0"/>
    <w:uiPriority w:val="99"/>
    <w:semiHidden/>
    <w:unhideWhenUsed/>
    <w:rsid w:val="00063634"/>
    <w:rPr>
      <w:vertAlign w:val="superscript"/>
    </w:rPr>
  </w:style>
  <w:style w:type="paragraph" w:styleId="afa">
    <w:name w:val="Revision"/>
    <w:hidden/>
    <w:uiPriority w:val="99"/>
    <w:semiHidden/>
    <w:rsid w:val="00692D3E"/>
    <w:rPr>
      <w:rFonts w:ascii="Times New Roman" w:eastAsia="宋体" w:hAnsi="Times New Roman"/>
    </w:rPr>
  </w:style>
  <w:style w:type="table" w:styleId="21">
    <w:name w:val="Grid Table 2"/>
    <w:basedOn w:val="a1"/>
    <w:uiPriority w:val="47"/>
    <w:rsid w:val="00AD5C3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
    <w:name w:val="TOC Heading"/>
    <w:basedOn w:val="1"/>
    <w:next w:val="a"/>
    <w:uiPriority w:val="39"/>
    <w:unhideWhenUsed/>
    <w:qFormat/>
    <w:rsid w:val="00A868A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A868A5"/>
  </w:style>
  <w:style w:type="paragraph" w:styleId="TOC2">
    <w:name w:val="toc 2"/>
    <w:basedOn w:val="a"/>
    <w:next w:val="a"/>
    <w:autoRedefine/>
    <w:uiPriority w:val="39"/>
    <w:unhideWhenUsed/>
    <w:rsid w:val="00A868A5"/>
    <w:pPr>
      <w:ind w:leftChars="200" w:left="420"/>
    </w:pPr>
  </w:style>
  <w:style w:type="paragraph" w:styleId="TOC3">
    <w:name w:val="toc 3"/>
    <w:basedOn w:val="a"/>
    <w:next w:val="a"/>
    <w:autoRedefine/>
    <w:uiPriority w:val="39"/>
    <w:unhideWhenUsed/>
    <w:rsid w:val="00A868A5"/>
    <w:pPr>
      <w:ind w:leftChars="400" w:left="840"/>
    </w:pPr>
  </w:style>
  <w:style w:type="character" w:customStyle="1" w:styleId="50">
    <w:name w:val="标题 5 字符"/>
    <w:basedOn w:val="a0"/>
    <w:link w:val="5"/>
    <w:uiPriority w:val="9"/>
    <w:semiHidden/>
    <w:rsid w:val="00037D1A"/>
    <w:rPr>
      <w:rFonts w:ascii="Times New Roman" w:eastAsia="宋体"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570">
      <w:bodyDiv w:val="1"/>
      <w:marLeft w:val="0"/>
      <w:marRight w:val="0"/>
      <w:marTop w:val="0"/>
      <w:marBottom w:val="0"/>
      <w:divBdr>
        <w:top w:val="none" w:sz="0" w:space="0" w:color="auto"/>
        <w:left w:val="none" w:sz="0" w:space="0" w:color="auto"/>
        <w:bottom w:val="none" w:sz="0" w:space="0" w:color="auto"/>
        <w:right w:val="none" w:sz="0" w:space="0" w:color="auto"/>
      </w:divBdr>
    </w:div>
    <w:div w:id="101461663">
      <w:bodyDiv w:val="1"/>
      <w:marLeft w:val="0"/>
      <w:marRight w:val="0"/>
      <w:marTop w:val="0"/>
      <w:marBottom w:val="0"/>
      <w:divBdr>
        <w:top w:val="none" w:sz="0" w:space="0" w:color="auto"/>
        <w:left w:val="none" w:sz="0" w:space="0" w:color="auto"/>
        <w:bottom w:val="none" w:sz="0" w:space="0" w:color="auto"/>
        <w:right w:val="none" w:sz="0" w:space="0" w:color="auto"/>
      </w:divBdr>
      <w:divsChild>
        <w:div w:id="1273514981">
          <w:marLeft w:val="360"/>
          <w:marRight w:val="0"/>
          <w:marTop w:val="200"/>
          <w:marBottom w:val="0"/>
          <w:divBdr>
            <w:top w:val="none" w:sz="0" w:space="0" w:color="auto"/>
            <w:left w:val="none" w:sz="0" w:space="0" w:color="auto"/>
            <w:bottom w:val="none" w:sz="0" w:space="0" w:color="auto"/>
            <w:right w:val="none" w:sz="0" w:space="0" w:color="auto"/>
          </w:divBdr>
        </w:div>
        <w:div w:id="1267008510">
          <w:marLeft w:val="1080"/>
          <w:marRight w:val="0"/>
          <w:marTop w:val="100"/>
          <w:marBottom w:val="0"/>
          <w:divBdr>
            <w:top w:val="none" w:sz="0" w:space="0" w:color="auto"/>
            <w:left w:val="none" w:sz="0" w:space="0" w:color="auto"/>
            <w:bottom w:val="none" w:sz="0" w:space="0" w:color="auto"/>
            <w:right w:val="none" w:sz="0" w:space="0" w:color="auto"/>
          </w:divBdr>
        </w:div>
        <w:div w:id="23794226">
          <w:marLeft w:val="1080"/>
          <w:marRight w:val="0"/>
          <w:marTop w:val="100"/>
          <w:marBottom w:val="0"/>
          <w:divBdr>
            <w:top w:val="none" w:sz="0" w:space="0" w:color="auto"/>
            <w:left w:val="none" w:sz="0" w:space="0" w:color="auto"/>
            <w:bottom w:val="none" w:sz="0" w:space="0" w:color="auto"/>
            <w:right w:val="none" w:sz="0" w:space="0" w:color="auto"/>
          </w:divBdr>
        </w:div>
        <w:div w:id="1162043452">
          <w:marLeft w:val="1080"/>
          <w:marRight w:val="0"/>
          <w:marTop w:val="100"/>
          <w:marBottom w:val="0"/>
          <w:divBdr>
            <w:top w:val="none" w:sz="0" w:space="0" w:color="auto"/>
            <w:left w:val="none" w:sz="0" w:space="0" w:color="auto"/>
            <w:bottom w:val="none" w:sz="0" w:space="0" w:color="auto"/>
            <w:right w:val="none" w:sz="0" w:space="0" w:color="auto"/>
          </w:divBdr>
        </w:div>
      </w:divsChild>
    </w:div>
    <w:div w:id="118452044">
      <w:bodyDiv w:val="1"/>
      <w:marLeft w:val="0"/>
      <w:marRight w:val="0"/>
      <w:marTop w:val="0"/>
      <w:marBottom w:val="0"/>
      <w:divBdr>
        <w:top w:val="none" w:sz="0" w:space="0" w:color="auto"/>
        <w:left w:val="none" w:sz="0" w:space="0" w:color="auto"/>
        <w:bottom w:val="none" w:sz="0" w:space="0" w:color="auto"/>
        <w:right w:val="none" w:sz="0" w:space="0" w:color="auto"/>
      </w:divBdr>
    </w:div>
    <w:div w:id="135418360">
      <w:bodyDiv w:val="1"/>
      <w:marLeft w:val="0"/>
      <w:marRight w:val="0"/>
      <w:marTop w:val="0"/>
      <w:marBottom w:val="0"/>
      <w:divBdr>
        <w:top w:val="none" w:sz="0" w:space="0" w:color="auto"/>
        <w:left w:val="none" w:sz="0" w:space="0" w:color="auto"/>
        <w:bottom w:val="none" w:sz="0" w:space="0" w:color="auto"/>
        <w:right w:val="none" w:sz="0" w:space="0" w:color="auto"/>
      </w:divBdr>
    </w:div>
    <w:div w:id="156776690">
      <w:bodyDiv w:val="1"/>
      <w:marLeft w:val="0"/>
      <w:marRight w:val="0"/>
      <w:marTop w:val="0"/>
      <w:marBottom w:val="0"/>
      <w:divBdr>
        <w:top w:val="none" w:sz="0" w:space="0" w:color="auto"/>
        <w:left w:val="none" w:sz="0" w:space="0" w:color="auto"/>
        <w:bottom w:val="none" w:sz="0" w:space="0" w:color="auto"/>
        <w:right w:val="none" w:sz="0" w:space="0" w:color="auto"/>
      </w:divBdr>
    </w:div>
    <w:div w:id="425813227">
      <w:bodyDiv w:val="1"/>
      <w:marLeft w:val="0"/>
      <w:marRight w:val="0"/>
      <w:marTop w:val="0"/>
      <w:marBottom w:val="0"/>
      <w:divBdr>
        <w:top w:val="none" w:sz="0" w:space="0" w:color="auto"/>
        <w:left w:val="none" w:sz="0" w:space="0" w:color="auto"/>
        <w:bottom w:val="none" w:sz="0" w:space="0" w:color="auto"/>
        <w:right w:val="none" w:sz="0" w:space="0" w:color="auto"/>
      </w:divBdr>
    </w:div>
    <w:div w:id="480731390">
      <w:bodyDiv w:val="1"/>
      <w:marLeft w:val="0"/>
      <w:marRight w:val="0"/>
      <w:marTop w:val="0"/>
      <w:marBottom w:val="0"/>
      <w:divBdr>
        <w:top w:val="none" w:sz="0" w:space="0" w:color="auto"/>
        <w:left w:val="none" w:sz="0" w:space="0" w:color="auto"/>
        <w:bottom w:val="none" w:sz="0" w:space="0" w:color="auto"/>
        <w:right w:val="none" w:sz="0" w:space="0" w:color="auto"/>
      </w:divBdr>
    </w:div>
    <w:div w:id="509562184">
      <w:bodyDiv w:val="1"/>
      <w:marLeft w:val="0"/>
      <w:marRight w:val="0"/>
      <w:marTop w:val="0"/>
      <w:marBottom w:val="0"/>
      <w:divBdr>
        <w:top w:val="none" w:sz="0" w:space="0" w:color="auto"/>
        <w:left w:val="none" w:sz="0" w:space="0" w:color="auto"/>
        <w:bottom w:val="none" w:sz="0" w:space="0" w:color="auto"/>
        <w:right w:val="none" w:sz="0" w:space="0" w:color="auto"/>
      </w:divBdr>
    </w:div>
    <w:div w:id="590625112">
      <w:bodyDiv w:val="1"/>
      <w:marLeft w:val="0"/>
      <w:marRight w:val="0"/>
      <w:marTop w:val="0"/>
      <w:marBottom w:val="0"/>
      <w:divBdr>
        <w:top w:val="none" w:sz="0" w:space="0" w:color="auto"/>
        <w:left w:val="none" w:sz="0" w:space="0" w:color="auto"/>
        <w:bottom w:val="none" w:sz="0" w:space="0" w:color="auto"/>
        <w:right w:val="none" w:sz="0" w:space="0" w:color="auto"/>
      </w:divBdr>
      <w:divsChild>
        <w:div w:id="1356731425">
          <w:marLeft w:val="360"/>
          <w:marRight w:val="0"/>
          <w:marTop w:val="200"/>
          <w:marBottom w:val="0"/>
          <w:divBdr>
            <w:top w:val="none" w:sz="0" w:space="0" w:color="auto"/>
            <w:left w:val="none" w:sz="0" w:space="0" w:color="auto"/>
            <w:bottom w:val="none" w:sz="0" w:space="0" w:color="auto"/>
            <w:right w:val="none" w:sz="0" w:space="0" w:color="auto"/>
          </w:divBdr>
        </w:div>
        <w:div w:id="1276714767">
          <w:marLeft w:val="1080"/>
          <w:marRight w:val="0"/>
          <w:marTop w:val="100"/>
          <w:marBottom w:val="0"/>
          <w:divBdr>
            <w:top w:val="none" w:sz="0" w:space="0" w:color="auto"/>
            <w:left w:val="none" w:sz="0" w:space="0" w:color="auto"/>
            <w:bottom w:val="none" w:sz="0" w:space="0" w:color="auto"/>
            <w:right w:val="none" w:sz="0" w:space="0" w:color="auto"/>
          </w:divBdr>
        </w:div>
        <w:div w:id="1586692508">
          <w:marLeft w:val="1080"/>
          <w:marRight w:val="0"/>
          <w:marTop w:val="100"/>
          <w:marBottom w:val="0"/>
          <w:divBdr>
            <w:top w:val="none" w:sz="0" w:space="0" w:color="auto"/>
            <w:left w:val="none" w:sz="0" w:space="0" w:color="auto"/>
            <w:bottom w:val="none" w:sz="0" w:space="0" w:color="auto"/>
            <w:right w:val="none" w:sz="0" w:space="0" w:color="auto"/>
          </w:divBdr>
        </w:div>
        <w:div w:id="1726761787">
          <w:marLeft w:val="1080"/>
          <w:marRight w:val="0"/>
          <w:marTop w:val="100"/>
          <w:marBottom w:val="0"/>
          <w:divBdr>
            <w:top w:val="none" w:sz="0" w:space="0" w:color="auto"/>
            <w:left w:val="none" w:sz="0" w:space="0" w:color="auto"/>
            <w:bottom w:val="none" w:sz="0" w:space="0" w:color="auto"/>
            <w:right w:val="none" w:sz="0" w:space="0" w:color="auto"/>
          </w:divBdr>
        </w:div>
      </w:divsChild>
    </w:div>
    <w:div w:id="651563289">
      <w:bodyDiv w:val="1"/>
      <w:marLeft w:val="0"/>
      <w:marRight w:val="0"/>
      <w:marTop w:val="0"/>
      <w:marBottom w:val="0"/>
      <w:divBdr>
        <w:top w:val="none" w:sz="0" w:space="0" w:color="auto"/>
        <w:left w:val="none" w:sz="0" w:space="0" w:color="auto"/>
        <w:bottom w:val="none" w:sz="0" w:space="0" w:color="auto"/>
        <w:right w:val="none" w:sz="0" w:space="0" w:color="auto"/>
      </w:divBdr>
    </w:div>
    <w:div w:id="668338610">
      <w:bodyDiv w:val="1"/>
      <w:marLeft w:val="0"/>
      <w:marRight w:val="0"/>
      <w:marTop w:val="0"/>
      <w:marBottom w:val="0"/>
      <w:divBdr>
        <w:top w:val="none" w:sz="0" w:space="0" w:color="auto"/>
        <w:left w:val="none" w:sz="0" w:space="0" w:color="auto"/>
        <w:bottom w:val="none" w:sz="0" w:space="0" w:color="auto"/>
        <w:right w:val="none" w:sz="0" w:space="0" w:color="auto"/>
      </w:divBdr>
    </w:div>
    <w:div w:id="673343618">
      <w:bodyDiv w:val="1"/>
      <w:marLeft w:val="0"/>
      <w:marRight w:val="0"/>
      <w:marTop w:val="0"/>
      <w:marBottom w:val="0"/>
      <w:divBdr>
        <w:top w:val="none" w:sz="0" w:space="0" w:color="auto"/>
        <w:left w:val="none" w:sz="0" w:space="0" w:color="auto"/>
        <w:bottom w:val="none" w:sz="0" w:space="0" w:color="auto"/>
        <w:right w:val="none" w:sz="0" w:space="0" w:color="auto"/>
      </w:divBdr>
    </w:div>
    <w:div w:id="709958915">
      <w:bodyDiv w:val="1"/>
      <w:marLeft w:val="0"/>
      <w:marRight w:val="0"/>
      <w:marTop w:val="0"/>
      <w:marBottom w:val="0"/>
      <w:divBdr>
        <w:top w:val="none" w:sz="0" w:space="0" w:color="auto"/>
        <w:left w:val="none" w:sz="0" w:space="0" w:color="auto"/>
        <w:bottom w:val="none" w:sz="0" w:space="0" w:color="auto"/>
        <w:right w:val="none" w:sz="0" w:space="0" w:color="auto"/>
      </w:divBdr>
    </w:div>
    <w:div w:id="756705951">
      <w:bodyDiv w:val="1"/>
      <w:marLeft w:val="0"/>
      <w:marRight w:val="0"/>
      <w:marTop w:val="0"/>
      <w:marBottom w:val="0"/>
      <w:divBdr>
        <w:top w:val="none" w:sz="0" w:space="0" w:color="auto"/>
        <w:left w:val="none" w:sz="0" w:space="0" w:color="auto"/>
        <w:bottom w:val="none" w:sz="0" w:space="0" w:color="auto"/>
        <w:right w:val="none" w:sz="0" w:space="0" w:color="auto"/>
      </w:divBdr>
    </w:div>
    <w:div w:id="825706237">
      <w:bodyDiv w:val="1"/>
      <w:marLeft w:val="0"/>
      <w:marRight w:val="0"/>
      <w:marTop w:val="0"/>
      <w:marBottom w:val="0"/>
      <w:divBdr>
        <w:top w:val="none" w:sz="0" w:space="0" w:color="auto"/>
        <w:left w:val="none" w:sz="0" w:space="0" w:color="auto"/>
        <w:bottom w:val="none" w:sz="0" w:space="0" w:color="auto"/>
        <w:right w:val="none" w:sz="0" w:space="0" w:color="auto"/>
      </w:divBdr>
    </w:div>
    <w:div w:id="970208783">
      <w:bodyDiv w:val="1"/>
      <w:marLeft w:val="0"/>
      <w:marRight w:val="0"/>
      <w:marTop w:val="0"/>
      <w:marBottom w:val="0"/>
      <w:divBdr>
        <w:top w:val="none" w:sz="0" w:space="0" w:color="auto"/>
        <w:left w:val="none" w:sz="0" w:space="0" w:color="auto"/>
        <w:bottom w:val="none" w:sz="0" w:space="0" w:color="auto"/>
        <w:right w:val="none" w:sz="0" w:space="0" w:color="auto"/>
      </w:divBdr>
    </w:div>
    <w:div w:id="1037051870">
      <w:bodyDiv w:val="1"/>
      <w:marLeft w:val="0"/>
      <w:marRight w:val="0"/>
      <w:marTop w:val="0"/>
      <w:marBottom w:val="0"/>
      <w:divBdr>
        <w:top w:val="none" w:sz="0" w:space="0" w:color="auto"/>
        <w:left w:val="none" w:sz="0" w:space="0" w:color="auto"/>
        <w:bottom w:val="none" w:sz="0" w:space="0" w:color="auto"/>
        <w:right w:val="none" w:sz="0" w:space="0" w:color="auto"/>
      </w:divBdr>
    </w:div>
    <w:div w:id="1078601941">
      <w:bodyDiv w:val="1"/>
      <w:marLeft w:val="0"/>
      <w:marRight w:val="0"/>
      <w:marTop w:val="0"/>
      <w:marBottom w:val="0"/>
      <w:divBdr>
        <w:top w:val="none" w:sz="0" w:space="0" w:color="auto"/>
        <w:left w:val="none" w:sz="0" w:space="0" w:color="auto"/>
        <w:bottom w:val="none" w:sz="0" w:space="0" w:color="auto"/>
        <w:right w:val="none" w:sz="0" w:space="0" w:color="auto"/>
      </w:divBdr>
    </w:div>
    <w:div w:id="1119448377">
      <w:bodyDiv w:val="1"/>
      <w:marLeft w:val="0"/>
      <w:marRight w:val="0"/>
      <w:marTop w:val="0"/>
      <w:marBottom w:val="0"/>
      <w:divBdr>
        <w:top w:val="none" w:sz="0" w:space="0" w:color="auto"/>
        <w:left w:val="none" w:sz="0" w:space="0" w:color="auto"/>
        <w:bottom w:val="none" w:sz="0" w:space="0" w:color="auto"/>
        <w:right w:val="none" w:sz="0" w:space="0" w:color="auto"/>
      </w:divBdr>
    </w:div>
    <w:div w:id="1125848333">
      <w:bodyDiv w:val="1"/>
      <w:marLeft w:val="0"/>
      <w:marRight w:val="0"/>
      <w:marTop w:val="0"/>
      <w:marBottom w:val="0"/>
      <w:divBdr>
        <w:top w:val="none" w:sz="0" w:space="0" w:color="auto"/>
        <w:left w:val="none" w:sz="0" w:space="0" w:color="auto"/>
        <w:bottom w:val="none" w:sz="0" w:space="0" w:color="auto"/>
        <w:right w:val="none" w:sz="0" w:space="0" w:color="auto"/>
      </w:divBdr>
    </w:div>
    <w:div w:id="1520001543">
      <w:bodyDiv w:val="1"/>
      <w:marLeft w:val="0"/>
      <w:marRight w:val="0"/>
      <w:marTop w:val="0"/>
      <w:marBottom w:val="0"/>
      <w:divBdr>
        <w:top w:val="none" w:sz="0" w:space="0" w:color="auto"/>
        <w:left w:val="none" w:sz="0" w:space="0" w:color="auto"/>
        <w:bottom w:val="none" w:sz="0" w:space="0" w:color="auto"/>
        <w:right w:val="none" w:sz="0" w:space="0" w:color="auto"/>
      </w:divBdr>
    </w:div>
    <w:div w:id="1551920810">
      <w:bodyDiv w:val="1"/>
      <w:marLeft w:val="0"/>
      <w:marRight w:val="0"/>
      <w:marTop w:val="0"/>
      <w:marBottom w:val="0"/>
      <w:divBdr>
        <w:top w:val="none" w:sz="0" w:space="0" w:color="auto"/>
        <w:left w:val="none" w:sz="0" w:space="0" w:color="auto"/>
        <w:bottom w:val="none" w:sz="0" w:space="0" w:color="auto"/>
        <w:right w:val="none" w:sz="0" w:space="0" w:color="auto"/>
      </w:divBdr>
    </w:div>
    <w:div w:id="1582984500">
      <w:bodyDiv w:val="1"/>
      <w:marLeft w:val="0"/>
      <w:marRight w:val="0"/>
      <w:marTop w:val="0"/>
      <w:marBottom w:val="0"/>
      <w:divBdr>
        <w:top w:val="none" w:sz="0" w:space="0" w:color="auto"/>
        <w:left w:val="none" w:sz="0" w:space="0" w:color="auto"/>
        <w:bottom w:val="none" w:sz="0" w:space="0" w:color="auto"/>
        <w:right w:val="none" w:sz="0" w:space="0" w:color="auto"/>
      </w:divBdr>
    </w:div>
    <w:div w:id="1589802216">
      <w:bodyDiv w:val="1"/>
      <w:marLeft w:val="0"/>
      <w:marRight w:val="0"/>
      <w:marTop w:val="0"/>
      <w:marBottom w:val="0"/>
      <w:divBdr>
        <w:top w:val="none" w:sz="0" w:space="0" w:color="auto"/>
        <w:left w:val="none" w:sz="0" w:space="0" w:color="auto"/>
        <w:bottom w:val="none" w:sz="0" w:space="0" w:color="auto"/>
        <w:right w:val="none" w:sz="0" w:space="0" w:color="auto"/>
      </w:divBdr>
    </w:div>
    <w:div w:id="1681009828">
      <w:bodyDiv w:val="1"/>
      <w:marLeft w:val="0"/>
      <w:marRight w:val="0"/>
      <w:marTop w:val="0"/>
      <w:marBottom w:val="0"/>
      <w:divBdr>
        <w:top w:val="none" w:sz="0" w:space="0" w:color="auto"/>
        <w:left w:val="none" w:sz="0" w:space="0" w:color="auto"/>
        <w:bottom w:val="none" w:sz="0" w:space="0" w:color="auto"/>
        <w:right w:val="none" w:sz="0" w:space="0" w:color="auto"/>
      </w:divBdr>
    </w:div>
    <w:div w:id="1778524868">
      <w:bodyDiv w:val="1"/>
      <w:marLeft w:val="0"/>
      <w:marRight w:val="0"/>
      <w:marTop w:val="0"/>
      <w:marBottom w:val="0"/>
      <w:divBdr>
        <w:top w:val="none" w:sz="0" w:space="0" w:color="auto"/>
        <w:left w:val="none" w:sz="0" w:space="0" w:color="auto"/>
        <w:bottom w:val="none" w:sz="0" w:space="0" w:color="auto"/>
        <w:right w:val="none" w:sz="0" w:space="0" w:color="auto"/>
      </w:divBdr>
    </w:div>
    <w:div w:id="1782870518">
      <w:bodyDiv w:val="1"/>
      <w:marLeft w:val="0"/>
      <w:marRight w:val="0"/>
      <w:marTop w:val="0"/>
      <w:marBottom w:val="0"/>
      <w:divBdr>
        <w:top w:val="none" w:sz="0" w:space="0" w:color="auto"/>
        <w:left w:val="none" w:sz="0" w:space="0" w:color="auto"/>
        <w:bottom w:val="none" w:sz="0" w:space="0" w:color="auto"/>
        <w:right w:val="none" w:sz="0" w:space="0" w:color="auto"/>
      </w:divBdr>
    </w:div>
    <w:div w:id="1792018358">
      <w:bodyDiv w:val="1"/>
      <w:marLeft w:val="0"/>
      <w:marRight w:val="0"/>
      <w:marTop w:val="0"/>
      <w:marBottom w:val="0"/>
      <w:divBdr>
        <w:top w:val="none" w:sz="0" w:space="0" w:color="auto"/>
        <w:left w:val="none" w:sz="0" w:space="0" w:color="auto"/>
        <w:bottom w:val="none" w:sz="0" w:space="0" w:color="auto"/>
        <w:right w:val="none" w:sz="0" w:space="0" w:color="auto"/>
      </w:divBdr>
    </w:div>
    <w:div w:id="1853643693">
      <w:bodyDiv w:val="1"/>
      <w:marLeft w:val="0"/>
      <w:marRight w:val="0"/>
      <w:marTop w:val="0"/>
      <w:marBottom w:val="0"/>
      <w:divBdr>
        <w:top w:val="none" w:sz="0" w:space="0" w:color="auto"/>
        <w:left w:val="none" w:sz="0" w:space="0" w:color="auto"/>
        <w:bottom w:val="none" w:sz="0" w:space="0" w:color="auto"/>
        <w:right w:val="none" w:sz="0" w:space="0" w:color="auto"/>
      </w:divBdr>
    </w:div>
    <w:div w:id="1869373136">
      <w:bodyDiv w:val="1"/>
      <w:marLeft w:val="0"/>
      <w:marRight w:val="0"/>
      <w:marTop w:val="0"/>
      <w:marBottom w:val="0"/>
      <w:divBdr>
        <w:top w:val="none" w:sz="0" w:space="0" w:color="auto"/>
        <w:left w:val="none" w:sz="0" w:space="0" w:color="auto"/>
        <w:bottom w:val="none" w:sz="0" w:space="0" w:color="auto"/>
        <w:right w:val="none" w:sz="0" w:space="0" w:color="auto"/>
      </w:divBdr>
    </w:div>
    <w:div w:id="1879706665">
      <w:bodyDiv w:val="1"/>
      <w:marLeft w:val="0"/>
      <w:marRight w:val="0"/>
      <w:marTop w:val="0"/>
      <w:marBottom w:val="0"/>
      <w:divBdr>
        <w:top w:val="none" w:sz="0" w:space="0" w:color="auto"/>
        <w:left w:val="none" w:sz="0" w:space="0" w:color="auto"/>
        <w:bottom w:val="none" w:sz="0" w:space="0" w:color="auto"/>
        <w:right w:val="none" w:sz="0" w:space="0" w:color="auto"/>
      </w:divBdr>
    </w:div>
    <w:div w:id="1937398509">
      <w:bodyDiv w:val="1"/>
      <w:marLeft w:val="0"/>
      <w:marRight w:val="0"/>
      <w:marTop w:val="0"/>
      <w:marBottom w:val="0"/>
      <w:divBdr>
        <w:top w:val="none" w:sz="0" w:space="0" w:color="auto"/>
        <w:left w:val="none" w:sz="0" w:space="0" w:color="auto"/>
        <w:bottom w:val="none" w:sz="0" w:space="0" w:color="auto"/>
        <w:right w:val="none" w:sz="0" w:space="0" w:color="auto"/>
      </w:divBdr>
    </w:div>
    <w:div w:id="2012678675">
      <w:bodyDiv w:val="1"/>
      <w:marLeft w:val="0"/>
      <w:marRight w:val="0"/>
      <w:marTop w:val="0"/>
      <w:marBottom w:val="0"/>
      <w:divBdr>
        <w:top w:val="none" w:sz="0" w:space="0" w:color="auto"/>
        <w:left w:val="none" w:sz="0" w:space="0" w:color="auto"/>
        <w:bottom w:val="none" w:sz="0" w:space="0" w:color="auto"/>
        <w:right w:val="none" w:sz="0" w:space="0" w:color="auto"/>
      </w:divBdr>
      <w:divsChild>
        <w:div w:id="259729149">
          <w:marLeft w:val="360"/>
          <w:marRight w:val="0"/>
          <w:marTop w:val="200"/>
          <w:marBottom w:val="0"/>
          <w:divBdr>
            <w:top w:val="none" w:sz="0" w:space="0" w:color="auto"/>
            <w:left w:val="none" w:sz="0" w:space="0" w:color="auto"/>
            <w:bottom w:val="none" w:sz="0" w:space="0" w:color="auto"/>
            <w:right w:val="none" w:sz="0" w:space="0" w:color="auto"/>
          </w:divBdr>
        </w:div>
        <w:div w:id="1894727230">
          <w:marLeft w:val="1080"/>
          <w:marRight w:val="0"/>
          <w:marTop w:val="100"/>
          <w:marBottom w:val="0"/>
          <w:divBdr>
            <w:top w:val="none" w:sz="0" w:space="0" w:color="auto"/>
            <w:left w:val="none" w:sz="0" w:space="0" w:color="auto"/>
            <w:bottom w:val="none" w:sz="0" w:space="0" w:color="auto"/>
            <w:right w:val="none" w:sz="0" w:space="0" w:color="auto"/>
          </w:divBdr>
        </w:div>
        <w:div w:id="1706826858">
          <w:marLeft w:val="1080"/>
          <w:marRight w:val="0"/>
          <w:marTop w:val="100"/>
          <w:marBottom w:val="0"/>
          <w:divBdr>
            <w:top w:val="none" w:sz="0" w:space="0" w:color="auto"/>
            <w:left w:val="none" w:sz="0" w:space="0" w:color="auto"/>
            <w:bottom w:val="none" w:sz="0" w:space="0" w:color="auto"/>
            <w:right w:val="none" w:sz="0" w:space="0" w:color="auto"/>
          </w:divBdr>
        </w:div>
        <w:div w:id="258104376">
          <w:marLeft w:val="1080"/>
          <w:marRight w:val="0"/>
          <w:marTop w:val="100"/>
          <w:marBottom w:val="0"/>
          <w:divBdr>
            <w:top w:val="none" w:sz="0" w:space="0" w:color="auto"/>
            <w:left w:val="none" w:sz="0" w:space="0" w:color="auto"/>
            <w:bottom w:val="none" w:sz="0" w:space="0" w:color="auto"/>
            <w:right w:val="none" w:sz="0" w:space="0" w:color="auto"/>
          </w:divBdr>
        </w:div>
      </w:divsChild>
    </w:div>
    <w:div w:id="2052342947">
      <w:bodyDiv w:val="1"/>
      <w:marLeft w:val="0"/>
      <w:marRight w:val="0"/>
      <w:marTop w:val="0"/>
      <w:marBottom w:val="0"/>
      <w:divBdr>
        <w:top w:val="none" w:sz="0" w:space="0" w:color="auto"/>
        <w:left w:val="none" w:sz="0" w:space="0" w:color="auto"/>
        <w:bottom w:val="none" w:sz="0" w:space="0" w:color="auto"/>
        <w:right w:val="none" w:sz="0" w:space="0" w:color="auto"/>
      </w:divBdr>
    </w:div>
    <w:div w:id="2062944061">
      <w:bodyDiv w:val="1"/>
      <w:marLeft w:val="0"/>
      <w:marRight w:val="0"/>
      <w:marTop w:val="0"/>
      <w:marBottom w:val="0"/>
      <w:divBdr>
        <w:top w:val="none" w:sz="0" w:space="0" w:color="auto"/>
        <w:left w:val="none" w:sz="0" w:space="0" w:color="auto"/>
        <w:bottom w:val="none" w:sz="0" w:space="0" w:color="auto"/>
        <w:right w:val="none" w:sz="0" w:space="0" w:color="auto"/>
      </w:divBdr>
    </w:div>
    <w:div w:id="2080207607">
      <w:bodyDiv w:val="1"/>
      <w:marLeft w:val="0"/>
      <w:marRight w:val="0"/>
      <w:marTop w:val="0"/>
      <w:marBottom w:val="0"/>
      <w:divBdr>
        <w:top w:val="none" w:sz="0" w:space="0" w:color="auto"/>
        <w:left w:val="none" w:sz="0" w:space="0" w:color="auto"/>
        <w:bottom w:val="none" w:sz="0" w:space="0" w:color="auto"/>
        <w:right w:val="none" w:sz="0" w:space="0" w:color="auto"/>
      </w:divBdr>
    </w:div>
    <w:div w:id="2100324181">
      <w:bodyDiv w:val="1"/>
      <w:marLeft w:val="0"/>
      <w:marRight w:val="0"/>
      <w:marTop w:val="0"/>
      <w:marBottom w:val="0"/>
      <w:divBdr>
        <w:top w:val="none" w:sz="0" w:space="0" w:color="auto"/>
        <w:left w:val="none" w:sz="0" w:space="0" w:color="auto"/>
        <w:bottom w:val="none" w:sz="0" w:space="0" w:color="auto"/>
        <w:right w:val="none" w:sz="0" w:space="0" w:color="auto"/>
      </w:divBdr>
    </w:div>
    <w:div w:id="2101751932">
      <w:bodyDiv w:val="1"/>
      <w:marLeft w:val="0"/>
      <w:marRight w:val="0"/>
      <w:marTop w:val="0"/>
      <w:marBottom w:val="0"/>
      <w:divBdr>
        <w:top w:val="none" w:sz="0" w:space="0" w:color="auto"/>
        <w:left w:val="none" w:sz="0" w:space="0" w:color="auto"/>
        <w:bottom w:val="none" w:sz="0" w:space="0" w:color="auto"/>
        <w:right w:val="none" w:sz="0" w:space="0" w:color="auto"/>
      </w:divBdr>
    </w:div>
    <w:div w:id="2104571476">
      <w:bodyDiv w:val="1"/>
      <w:marLeft w:val="0"/>
      <w:marRight w:val="0"/>
      <w:marTop w:val="0"/>
      <w:marBottom w:val="0"/>
      <w:divBdr>
        <w:top w:val="none" w:sz="0" w:space="0" w:color="auto"/>
        <w:left w:val="none" w:sz="0" w:space="0" w:color="auto"/>
        <w:bottom w:val="none" w:sz="0" w:space="0" w:color="auto"/>
        <w:right w:val="none" w:sz="0" w:space="0" w:color="auto"/>
      </w:divBdr>
    </w:div>
    <w:div w:id="2109547108">
      <w:bodyDiv w:val="1"/>
      <w:marLeft w:val="0"/>
      <w:marRight w:val="0"/>
      <w:marTop w:val="0"/>
      <w:marBottom w:val="0"/>
      <w:divBdr>
        <w:top w:val="none" w:sz="0" w:space="0" w:color="auto"/>
        <w:left w:val="none" w:sz="0" w:space="0" w:color="auto"/>
        <w:bottom w:val="none" w:sz="0" w:space="0" w:color="auto"/>
        <w:right w:val="none" w:sz="0" w:space="0" w:color="auto"/>
      </w:divBdr>
    </w:div>
    <w:div w:id="2143303585">
      <w:bodyDiv w:val="1"/>
      <w:marLeft w:val="0"/>
      <w:marRight w:val="0"/>
      <w:marTop w:val="0"/>
      <w:marBottom w:val="0"/>
      <w:divBdr>
        <w:top w:val="none" w:sz="0" w:space="0" w:color="auto"/>
        <w:left w:val="none" w:sz="0" w:space="0" w:color="auto"/>
        <w:bottom w:val="none" w:sz="0" w:space="0" w:color="auto"/>
        <w:right w:val="none" w:sz="0" w:space="0" w:color="auto"/>
      </w:divBdr>
      <w:divsChild>
        <w:div w:id="553662926">
          <w:marLeft w:val="360"/>
          <w:marRight w:val="0"/>
          <w:marTop w:val="200"/>
          <w:marBottom w:val="0"/>
          <w:divBdr>
            <w:top w:val="none" w:sz="0" w:space="0" w:color="auto"/>
            <w:left w:val="none" w:sz="0" w:space="0" w:color="auto"/>
            <w:bottom w:val="none" w:sz="0" w:space="0" w:color="auto"/>
            <w:right w:val="none" w:sz="0" w:space="0" w:color="auto"/>
          </w:divBdr>
        </w:div>
        <w:div w:id="1838963590">
          <w:marLeft w:val="1080"/>
          <w:marRight w:val="0"/>
          <w:marTop w:val="100"/>
          <w:marBottom w:val="0"/>
          <w:divBdr>
            <w:top w:val="none" w:sz="0" w:space="0" w:color="auto"/>
            <w:left w:val="none" w:sz="0" w:space="0" w:color="auto"/>
            <w:bottom w:val="none" w:sz="0" w:space="0" w:color="auto"/>
            <w:right w:val="none" w:sz="0" w:space="0" w:color="auto"/>
          </w:divBdr>
        </w:div>
        <w:div w:id="998078833">
          <w:marLeft w:val="1080"/>
          <w:marRight w:val="0"/>
          <w:marTop w:val="100"/>
          <w:marBottom w:val="0"/>
          <w:divBdr>
            <w:top w:val="none" w:sz="0" w:space="0" w:color="auto"/>
            <w:left w:val="none" w:sz="0" w:space="0" w:color="auto"/>
            <w:bottom w:val="none" w:sz="0" w:space="0" w:color="auto"/>
            <w:right w:val="none" w:sz="0" w:space="0" w:color="auto"/>
          </w:divBdr>
        </w:div>
        <w:div w:id="130181308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07/relationships/hdphoto" Target="media/hdphoto5.wdp"/><Relationship Id="rId26" Type="http://schemas.microsoft.com/office/2007/relationships/hdphoto" Target="media/hdphoto8.wdp"/><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07/relationships/hdphoto" Target="media/hdphoto7.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image" Target="media/image9.png"/><Relationship Id="rId27" Type="http://schemas.openxmlformats.org/officeDocument/2006/relationships/image" Target="media/image12.png"/></Relationships>
</file>

<file path=word/_rels/footnotes.xml.rels><?xml version="1.0" encoding="UTF-8" standalone="yes"?>
<Relationships xmlns="http://schemas.openxmlformats.org/package/2006/relationships"><Relationship Id="rId1" Type="http://schemas.openxmlformats.org/officeDocument/2006/relationships/hyperlink" Target="http://www.gov.cn/guowuyuan/2018-08/20/content_5315204.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B774-02FC-487C-AA30-9BEB5B5B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3595</Words>
  <Characters>20496</Characters>
  <Application>Microsoft Office Word</Application>
  <DocSecurity>0</DocSecurity>
  <Lines>170</Lines>
  <Paragraphs>48</Paragraphs>
  <ScaleCrop>false</ScaleCrop>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Feng</dc:creator>
  <cp:keywords/>
  <dc:description/>
  <cp:lastModifiedBy>He Wei</cp:lastModifiedBy>
  <cp:revision>417</cp:revision>
  <dcterms:created xsi:type="dcterms:W3CDTF">2021-07-25T02:35:00Z</dcterms:created>
  <dcterms:modified xsi:type="dcterms:W3CDTF">2021-09-15T13:07:00Z</dcterms:modified>
</cp:coreProperties>
</file>